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9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90000" w:fill="FFFFFF"/>
          <w:lang w:eastAsia="zh-CN"/>
        </w:rPr>
        <w:t>北京市大兴区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90000" w:fill="FFFFFF"/>
        </w:rPr>
        <w:t>市场监督管理局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90000" w:fill="FFFFFF"/>
        </w:rPr>
        <w:t>药品零售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90000" w:fill="FFFFFF"/>
          <w:lang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90000" w:fill="FFFFFF"/>
        </w:rPr>
        <w:t>监督检查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090000" w:fill="FFFFFF"/>
          <w:lang w:eastAsia="zh-CN"/>
        </w:rPr>
        <w:t>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为切实加强药品零售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环节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检查力度，进一步规范药品零售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经营秩序，结合2023年药品安全巩固提升专项行动，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北京市大兴区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市场监督管理局对辖区内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val="en-US" w:eastAsia="zh-CN"/>
        </w:rPr>
        <w:t>350家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药品零售单位开展监督检查。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本次检查突出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重点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对零售药店是否存在超经营范围经营药品的行为、药品购进渠道是否合法、是否落实进货查验制度，购进药品是否做到“票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证、账、货、款”相符一致，实现药品可追溯管理；处方药、含麻黄碱复方制剂管理是否合规等重点环节、重点品种开展隐患排查。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共出动执法人员132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人次，检查药品零售单位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val="en-US" w:eastAsia="zh-CN"/>
        </w:rPr>
        <w:t>612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，发现问题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已全部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整改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下一步，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北京市大兴区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市场监督管理局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督促药品零售企业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落实主体责任，持续加大对药品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零售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环节的执法力度，发现问题依法严肃查处，全力保障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  <w:lang w:eastAsia="zh-CN"/>
        </w:rPr>
        <w:t>大兴区群众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090000" w:fill="FFFFFF"/>
        </w:rPr>
        <w:t>的用药安全。</w:t>
      </w:r>
    </w:p>
    <w:p>
      <w:p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2IwYTY2ZDljZjdlN2RiYmZlZDBhNmFlMjYwYTdjZDQifQ=="/>
  </w:docVars>
  <w:rsids>
    <w:rsidRoot w:val="00000000"/>
    <w:rsid w:val="0D6B0803"/>
    <w:rsid w:val="0E3846D4"/>
    <w:rsid w:val="790917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2023-11-23T08:14:00Z</dcterms:created>
  <dc:creator>syj</dc:creator>
  <cp:lastModifiedBy>XYSD</cp:lastModifiedBy>
  <dcterms:modified xsi:type="dcterms:W3CDTF">2023-11-23T08:43:57Z</dcterms:modified>
  <dc:title>大兴区市场监督管理局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51FAD5F4E3A44F80B4EDA3DD545CCA8F_12</vt:lpwstr>
  </property>
</Properties>
</file>