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6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62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44"/>
          <w:szCs w:val="44"/>
        </w:rPr>
        <w:t>目 录</w:t>
      </w:r>
    </w:p>
    <w:p>
      <w:pPr>
        <w:spacing w:line="620" w:lineRule="exac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ascii="仿宋_GB2312" w:hAnsi="宋体" w:eastAsia="仿宋_GB2312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20"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 w:cs="宋体"/>
          <w:b/>
          <w:bCs/>
          <w:color w:val="000000"/>
          <w:spacing w:val="20"/>
          <w:kern w:val="0"/>
          <w:sz w:val="32"/>
          <w:szCs w:val="32"/>
          <w:lang w:val="en-US" w:eastAsia="zh-CN"/>
        </w:rPr>
        <w:t xml:space="preserve"> 2020</w:t>
      </w:r>
      <w:r>
        <w:rPr>
          <w:rFonts w:hint="eastAsia" w:ascii="仿宋_GB2312" w:hAnsi="宋体" w:eastAsia="仿宋_GB2312" w:cs="宋体"/>
          <w:b/>
          <w:bCs/>
          <w:color w:val="000000"/>
          <w:spacing w:val="20"/>
          <w:kern w:val="0"/>
          <w:sz w:val="32"/>
          <w:szCs w:val="32"/>
        </w:rPr>
        <w:t>年度部门预算报表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一、收支预算总表</w:t>
      </w:r>
    </w:p>
    <w:p>
      <w:pPr>
        <w:tabs>
          <w:tab w:val="center" w:pos="6979"/>
        </w:tabs>
        <w:spacing w:line="480" w:lineRule="auto"/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二、收入预算表</w:t>
      </w:r>
    </w:p>
    <w:p>
      <w:pPr>
        <w:tabs>
          <w:tab w:val="center" w:pos="6979"/>
        </w:tabs>
        <w:spacing w:line="480" w:lineRule="auto"/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三、支出预算表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、财政拨款收支预算表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、一般公共预算财政拨款支出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预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、一般公共预算财政拨款基本支出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预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、政府性基金预算财政拨款支出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预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算表</w:t>
      </w:r>
    </w:p>
    <w:p>
      <w:pPr>
        <w:autoSpaceDE w:val="0"/>
        <w:autoSpaceDN w:val="0"/>
        <w:adjustRightInd w:val="0"/>
        <w:spacing w:line="480" w:lineRule="auto"/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、一般公共预算“三公”经费财政拨款支出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预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算表</w:t>
      </w:r>
    </w:p>
    <w:p>
      <w:pPr>
        <w:autoSpaceDE w:val="0"/>
        <w:autoSpaceDN w:val="0"/>
        <w:adjustRightInd w:val="0"/>
        <w:spacing w:line="480" w:lineRule="auto"/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九、政府采购预算明细表</w:t>
      </w:r>
    </w:p>
    <w:p>
      <w:pPr>
        <w:tabs>
          <w:tab w:val="center" w:pos="6979"/>
        </w:tabs>
        <w:spacing w:line="480" w:lineRule="auto"/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eastAsia="zh-CN"/>
        </w:rPr>
        <w:t>项目支出绩效目标申报表</w:t>
      </w:r>
    </w:p>
    <w:p>
      <w:pPr>
        <w:tabs>
          <w:tab w:val="center" w:pos="6979"/>
        </w:tabs>
        <w:spacing w:line="480" w:lineRule="auto"/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  <w:lang w:val="en-US" w:eastAsia="zh-CN"/>
        </w:rPr>
        <w:t>十一、政府购买服务预算财政拨款明细表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auto"/>
        <w:rPr>
          <w:rFonts w:ascii="仿宋_GB2312" w:hAnsi="仿宋" w:eastAsia="仿宋_GB2312"/>
          <w:b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pacing w:val="40"/>
          <w:kern w:val="0"/>
          <w:sz w:val="32"/>
          <w:szCs w:val="32"/>
        </w:rPr>
        <w:t>第二部分</w:t>
      </w:r>
      <w:r>
        <w:rPr>
          <w:rFonts w:hint="eastAsia" w:ascii="仿宋_GB2312" w:hAnsi="仿宋" w:eastAsia="仿宋_GB2312" w:cs="仿宋_GB2312"/>
          <w:b/>
          <w:spacing w:val="40"/>
          <w:kern w:val="0"/>
          <w:sz w:val="32"/>
          <w:szCs w:val="32"/>
          <w:lang w:val="en-US" w:eastAsia="zh-CN"/>
        </w:rPr>
        <w:t xml:space="preserve"> 2020</w:t>
      </w:r>
      <w:r>
        <w:rPr>
          <w:rFonts w:hint="eastAsia" w:ascii="仿宋_GB2312" w:hAnsi="仿宋" w:eastAsia="仿宋_GB2312" w:cs="仿宋_GB2312"/>
          <w:b/>
          <w:spacing w:val="40"/>
          <w:kern w:val="0"/>
          <w:sz w:val="32"/>
          <w:szCs w:val="32"/>
        </w:rPr>
        <w:t>年度部门预算报表说明</w:t>
      </w:r>
    </w:p>
    <w:p>
      <w:pPr>
        <w:spacing w:line="620" w:lineRule="exact"/>
        <w:rPr>
          <w:rFonts w:hint="eastAsia" w:ascii="黑体" w:hAnsi="文星标宋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5E7712A"/>
    <w:rsid w:val="28643F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2020-08-17T02:13:36Z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