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北京市大兴区市场监督管理局</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2022年政府信息公开工作年度报告</w:t>
      </w:r>
    </w:p>
    <w:p>
      <w:pPr>
        <w:spacing w:line="560" w:lineRule="exact"/>
        <w:jc w:val="center"/>
        <w:rPr>
          <w:sz w:val="44"/>
          <w:szCs w:val="44"/>
        </w:rPr>
      </w:pPr>
      <w:r>
        <w:rPr>
          <w:rFonts w:hint="eastAsia" w:ascii="微软雅黑" w:hAnsi="微软雅黑" w:eastAsia="微软雅黑" w:cs="宋体"/>
          <w:color w:val="404040"/>
          <w:kern w:val="0"/>
          <w:sz w:val="24"/>
        </w:rPr>
        <w:t>　</w:t>
      </w:r>
      <w:r>
        <w:rPr>
          <w:rFonts w:hint="eastAsia" w:ascii="微软雅黑" w:hAnsi="微软雅黑" w:eastAsia="微软雅黑" w:cs="宋体"/>
          <w:color w:val="404040"/>
          <w:kern w:val="0"/>
          <w:sz w:val="32"/>
          <w:szCs w:val="32"/>
        </w:rPr>
        <w:t xml:space="preserve"> </w:t>
      </w:r>
      <w:r>
        <w:rPr>
          <w:rFonts w:ascii="微软雅黑" w:hAnsi="微软雅黑" w:eastAsia="微软雅黑" w:cs="宋体"/>
          <w:color w:val="404040"/>
          <w:kern w:val="0"/>
          <w:sz w:val="32"/>
          <w:szCs w:val="32"/>
        </w:rPr>
        <w:t xml:space="preserve"> </w:t>
      </w:r>
    </w:p>
    <w:p>
      <w:pPr>
        <w:widowControl/>
        <w:spacing w:line="560" w:lineRule="exact"/>
        <w:jc w:val="left"/>
        <w:rPr>
          <w:rFonts w:ascii="仿宋_GB2312" w:hAnsi="宋体" w:eastAsia="仿宋_GB2312" w:cs="宋体"/>
          <w:spacing w:val="8"/>
          <w:kern w:val="0"/>
          <w:sz w:val="32"/>
          <w:szCs w:val="32"/>
        </w:rPr>
      </w:pPr>
      <w:r>
        <w:rPr>
          <w:rFonts w:hint="eastAsia" w:ascii="微软雅黑" w:hAnsi="微软雅黑" w:eastAsia="微软雅黑" w:cs="宋体"/>
          <w:color w:val="404040"/>
          <w:kern w:val="0"/>
          <w:sz w:val="24"/>
        </w:rPr>
        <w:t>　　</w:t>
      </w:r>
      <w:r>
        <w:rPr>
          <w:rFonts w:hint="eastAsia" w:ascii="微软雅黑" w:hAnsi="微软雅黑" w:eastAsia="微软雅黑" w:cs="宋体"/>
          <w:color w:val="404040"/>
          <w:kern w:val="0"/>
          <w:sz w:val="32"/>
          <w:szCs w:val="32"/>
        </w:rPr>
        <w:t xml:space="preserve"> </w:t>
      </w:r>
      <w:r>
        <w:rPr>
          <w:rFonts w:ascii="微软雅黑" w:hAnsi="微软雅黑" w:eastAsia="微软雅黑" w:cs="宋体"/>
          <w:color w:val="404040"/>
          <w:kern w:val="0"/>
          <w:sz w:val="32"/>
          <w:szCs w:val="32"/>
        </w:rPr>
        <w:t xml:space="preserve">  </w:t>
      </w:r>
      <w:r>
        <w:rPr>
          <w:rFonts w:hint="eastAsia" w:ascii="仿宋_GB2312" w:hAnsi="宋体" w:eastAsia="仿宋_GB2312" w:cs="宋体"/>
          <w:spacing w:val="8"/>
          <w:kern w:val="0"/>
          <w:sz w:val="32"/>
          <w:szCs w:val="32"/>
        </w:rPr>
        <w:t>依据《中华人民共和国政府信息公开条例》(以下简称《政府信息公开条例》)第五十条规定，编制本报告。</w:t>
      </w:r>
    </w:p>
    <w:p>
      <w:pPr>
        <w:widowControl/>
        <w:spacing w:line="560" w:lineRule="exact"/>
        <w:ind w:firstLine="672" w:firstLineChars="200"/>
        <w:jc w:val="left"/>
        <w:rPr>
          <w:rFonts w:ascii="黑体" w:hAnsi="黑体" w:eastAsia="黑体" w:cs="宋体"/>
          <w:spacing w:val="8"/>
          <w:kern w:val="0"/>
          <w:sz w:val="32"/>
          <w:szCs w:val="32"/>
        </w:rPr>
      </w:pPr>
      <w:r>
        <w:rPr>
          <w:rFonts w:ascii="黑体" w:hAnsi="黑体" w:eastAsia="黑体" w:cs="宋体"/>
          <w:spacing w:val="8"/>
          <w:kern w:val="0"/>
          <w:sz w:val="32"/>
          <w:szCs w:val="32"/>
        </w:rPr>
        <w:t>一、总体情况</w:t>
      </w:r>
    </w:p>
    <w:p>
      <w:pPr>
        <w:widowControl/>
        <w:spacing w:line="560" w:lineRule="exact"/>
        <w:ind w:firstLine="672" w:firstLineChars="200"/>
        <w:rPr>
          <w:rFonts w:ascii="仿宋_GB2312" w:hAnsi="宋体" w:eastAsia="仿宋_GB2312" w:cs="宋体"/>
          <w:spacing w:val="8"/>
          <w:kern w:val="0"/>
          <w:sz w:val="32"/>
          <w:szCs w:val="32"/>
        </w:rPr>
      </w:pPr>
      <w:r>
        <w:rPr>
          <w:rFonts w:ascii="仿宋_GB2312" w:hAnsi="宋体" w:eastAsia="仿宋_GB2312" w:cs="宋体"/>
          <w:spacing w:val="8"/>
          <w:kern w:val="0"/>
          <w:sz w:val="32"/>
          <w:szCs w:val="32"/>
        </w:rPr>
        <w:t>（一）组织领导。</w:t>
      </w:r>
      <w:r>
        <w:rPr>
          <w:rFonts w:hint="eastAsia" w:ascii="仿宋_GB2312" w:hAnsi="宋体" w:eastAsia="仿宋_GB2312" w:cs="宋体"/>
          <w:spacing w:val="8"/>
          <w:kern w:val="0"/>
          <w:sz w:val="32"/>
          <w:szCs w:val="32"/>
        </w:rPr>
        <w:t>持续推动政府信息公开工作再上新台阶，成立局政府信息公开工作领导小组，负责统筹、组织、推进、监督政府信息公开工作，制定政府信息公开保密审查工作制度，强化组织领导、制度建设。</w:t>
      </w:r>
    </w:p>
    <w:p>
      <w:pPr>
        <w:widowControl/>
        <w:spacing w:line="560" w:lineRule="exact"/>
        <w:ind w:firstLine="672" w:firstLineChars="200"/>
        <w:rPr>
          <w:rFonts w:ascii="仿宋_GB2312" w:hAnsi="宋体" w:eastAsia="仿宋_GB2312" w:cs="宋体"/>
          <w:spacing w:val="8"/>
          <w:kern w:val="0"/>
          <w:sz w:val="32"/>
          <w:szCs w:val="32"/>
        </w:rPr>
      </w:pPr>
      <w:r>
        <w:rPr>
          <w:rFonts w:ascii="仿宋_GB2312" w:hAnsi="宋体" w:eastAsia="仿宋_GB2312" w:cs="宋体"/>
          <w:spacing w:val="8"/>
          <w:kern w:val="0"/>
          <w:sz w:val="32"/>
          <w:szCs w:val="32"/>
        </w:rPr>
        <w:t>（二）主动公开。202</w:t>
      </w:r>
      <w:r>
        <w:rPr>
          <w:rFonts w:hint="eastAsia" w:ascii="仿宋_GB2312" w:hAnsi="宋体" w:eastAsia="仿宋_GB2312" w:cs="宋体"/>
          <w:spacing w:val="8"/>
          <w:kern w:val="0"/>
          <w:sz w:val="32"/>
          <w:szCs w:val="32"/>
        </w:rPr>
        <w:t>2</w:t>
      </w:r>
      <w:r>
        <w:rPr>
          <w:rFonts w:ascii="仿宋_GB2312" w:hAnsi="宋体" w:eastAsia="仿宋_GB2312" w:cs="宋体"/>
          <w:spacing w:val="8"/>
          <w:kern w:val="0"/>
          <w:sz w:val="32"/>
          <w:szCs w:val="32"/>
        </w:rPr>
        <w:t>年我局通过网站主动公开政府信息</w:t>
      </w:r>
      <w:r>
        <w:rPr>
          <w:rFonts w:hint="eastAsia" w:ascii="仿宋_GB2312" w:hAnsi="宋体" w:eastAsia="仿宋_GB2312" w:cs="宋体"/>
          <w:spacing w:val="8"/>
          <w:kern w:val="0"/>
          <w:sz w:val="32"/>
          <w:szCs w:val="32"/>
        </w:rPr>
        <w:t>344</w:t>
      </w:r>
      <w:r>
        <w:rPr>
          <w:rFonts w:ascii="仿宋_GB2312" w:hAnsi="宋体" w:eastAsia="仿宋_GB2312" w:cs="宋体"/>
          <w:spacing w:val="8"/>
          <w:kern w:val="0"/>
          <w:sz w:val="32"/>
          <w:szCs w:val="32"/>
        </w:rPr>
        <w:t>条，重点领域公开政府信息数</w:t>
      </w:r>
      <w:r>
        <w:rPr>
          <w:rFonts w:hint="eastAsia" w:ascii="仿宋_GB2312" w:hAnsi="宋体" w:eastAsia="仿宋_GB2312" w:cs="宋体"/>
          <w:spacing w:val="8"/>
          <w:kern w:val="0"/>
          <w:sz w:val="32"/>
          <w:szCs w:val="32"/>
        </w:rPr>
        <w:t>332</w:t>
      </w:r>
      <w:r>
        <w:rPr>
          <w:rFonts w:ascii="仿宋_GB2312" w:hAnsi="宋体" w:eastAsia="仿宋_GB2312" w:cs="宋体"/>
          <w:spacing w:val="8"/>
          <w:kern w:val="0"/>
          <w:sz w:val="32"/>
          <w:szCs w:val="32"/>
        </w:rPr>
        <w:t>条，涉及食品药品、医疗器械、产品质量、执法检查等市场监管工作。围绕抗击疫情等重大工作，我局主动发声，在保供应、稳物价、加强食品安全、支持企业复工复产等方面主动公开政府信息。围绕群众关心的热点问题，我局持续加强食品药品、产品质量等涉及群众切身利益的政府信息公开工作。202</w:t>
      </w:r>
      <w:r>
        <w:rPr>
          <w:rFonts w:hint="eastAsia" w:ascii="仿宋_GB2312" w:hAnsi="宋体" w:eastAsia="仿宋_GB2312" w:cs="宋体"/>
          <w:spacing w:val="8"/>
          <w:kern w:val="0"/>
          <w:sz w:val="32"/>
          <w:szCs w:val="32"/>
        </w:rPr>
        <w:t>2</w:t>
      </w:r>
      <w:r>
        <w:rPr>
          <w:rFonts w:ascii="仿宋_GB2312" w:hAnsi="宋体" w:eastAsia="仿宋_GB2312" w:cs="宋体"/>
          <w:spacing w:val="8"/>
          <w:kern w:val="0"/>
          <w:sz w:val="32"/>
          <w:szCs w:val="32"/>
        </w:rPr>
        <w:t>年发布食品安全监督抽检信息公告2</w:t>
      </w:r>
      <w:r>
        <w:rPr>
          <w:rFonts w:hint="eastAsia" w:ascii="仿宋_GB2312" w:hAnsi="宋体" w:eastAsia="仿宋_GB2312" w:cs="宋体"/>
          <w:spacing w:val="8"/>
          <w:kern w:val="0"/>
          <w:sz w:val="32"/>
          <w:szCs w:val="32"/>
        </w:rPr>
        <w:t>4</w:t>
      </w:r>
      <w:r>
        <w:rPr>
          <w:rFonts w:ascii="仿宋_GB2312" w:hAnsi="宋体" w:eastAsia="仿宋_GB2312" w:cs="宋体"/>
          <w:spacing w:val="8"/>
          <w:kern w:val="0"/>
          <w:sz w:val="32"/>
          <w:szCs w:val="32"/>
        </w:rPr>
        <w:t>期，发布各类产品质量抽查结果公示信息</w:t>
      </w:r>
      <w:r>
        <w:rPr>
          <w:rFonts w:hint="eastAsia" w:ascii="仿宋_GB2312" w:hAnsi="宋体" w:eastAsia="仿宋_GB2312" w:cs="宋体"/>
          <w:spacing w:val="8"/>
          <w:kern w:val="0"/>
          <w:sz w:val="32"/>
          <w:szCs w:val="32"/>
        </w:rPr>
        <w:t>27</w:t>
      </w:r>
      <w:r>
        <w:rPr>
          <w:rFonts w:ascii="仿宋_GB2312" w:hAnsi="宋体" w:eastAsia="仿宋_GB2312" w:cs="宋体"/>
          <w:spacing w:val="8"/>
          <w:kern w:val="0"/>
          <w:sz w:val="32"/>
          <w:szCs w:val="32"/>
        </w:rPr>
        <w:t>期。</w:t>
      </w:r>
    </w:p>
    <w:p>
      <w:pPr>
        <w:widowControl/>
        <w:spacing w:line="560" w:lineRule="exact"/>
        <w:ind w:firstLine="672" w:firstLineChars="200"/>
        <w:rPr>
          <w:rFonts w:ascii="仿宋_GB2312" w:hAnsi="宋体" w:eastAsia="仿宋_GB2312" w:cs="宋体"/>
          <w:spacing w:val="8"/>
          <w:kern w:val="0"/>
          <w:sz w:val="32"/>
          <w:szCs w:val="32"/>
        </w:rPr>
      </w:pPr>
      <w:r>
        <w:rPr>
          <w:rFonts w:ascii="仿宋_GB2312" w:hAnsi="宋体" w:eastAsia="仿宋_GB2312" w:cs="宋体"/>
          <w:spacing w:val="8"/>
          <w:kern w:val="0"/>
          <w:sz w:val="32"/>
          <w:szCs w:val="32"/>
        </w:rPr>
        <w:t>（三）依申请公开。我局202</w:t>
      </w:r>
      <w:r>
        <w:rPr>
          <w:rFonts w:hint="eastAsia" w:ascii="仿宋_GB2312" w:hAnsi="宋体" w:eastAsia="仿宋_GB2312" w:cs="宋体"/>
          <w:spacing w:val="8"/>
          <w:kern w:val="0"/>
          <w:sz w:val="32"/>
          <w:szCs w:val="32"/>
          <w:lang w:val="en-US" w:eastAsia="zh-CN"/>
        </w:rPr>
        <w:t>2</w:t>
      </w:r>
      <w:r>
        <w:rPr>
          <w:rFonts w:ascii="仿宋_GB2312" w:hAnsi="宋体" w:eastAsia="仿宋_GB2312" w:cs="宋体"/>
          <w:spacing w:val="8"/>
          <w:kern w:val="0"/>
          <w:sz w:val="32"/>
          <w:szCs w:val="32"/>
        </w:rPr>
        <w:t>年共受理政府信息公开申请</w:t>
      </w:r>
      <w:r>
        <w:rPr>
          <w:rFonts w:hint="eastAsia" w:ascii="仿宋_GB2312" w:hAnsi="宋体" w:eastAsia="仿宋_GB2312" w:cs="宋体"/>
          <w:spacing w:val="8"/>
          <w:kern w:val="0"/>
          <w:sz w:val="32"/>
          <w:szCs w:val="32"/>
        </w:rPr>
        <w:t>63</w:t>
      </w:r>
      <w:r>
        <w:rPr>
          <w:rFonts w:ascii="仿宋_GB2312" w:hAnsi="宋体" w:eastAsia="仿宋_GB2312" w:cs="宋体"/>
          <w:spacing w:val="8"/>
          <w:kern w:val="0"/>
          <w:sz w:val="32"/>
          <w:szCs w:val="32"/>
        </w:rPr>
        <w:t>件，其中通过网页申请</w:t>
      </w:r>
      <w:r>
        <w:rPr>
          <w:rFonts w:hint="eastAsia" w:ascii="仿宋_GB2312" w:hAnsi="宋体" w:eastAsia="仿宋_GB2312" w:cs="宋体"/>
          <w:spacing w:val="8"/>
          <w:kern w:val="0"/>
          <w:sz w:val="32"/>
          <w:szCs w:val="32"/>
        </w:rPr>
        <w:t>52</w:t>
      </w:r>
      <w:r>
        <w:rPr>
          <w:rFonts w:ascii="仿宋_GB2312" w:hAnsi="宋体" w:eastAsia="仿宋_GB2312" w:cs="宋体"/>
          <w:spacing w:val="8"/>
          <w:kern w:val="0"/>
          <w:sz w:val="32"/>
          <w:szCs w:val="32"/>
        </w:rPr>
        <w:t>件, 通过信函申请</w:t>
      </w:r>
      <w:r>
        <w:rPr>
          <w:rFonts w:hint="eastAsia" w:ascii="仿宋_GB2312" w:hAnsi="宋体" w:eastAsia="仿宋_GB2312" w:cs="宋体"/>
          <w:spacing w:val="8"/>
          <w:kern w:val="0"/>
          <w:sz w:val="32"/>
          <w:szCs w:val="32"/>
        </w:rPr>
        <w:t>10</w:t>
      </w:r>
      <w:r>
        <w:rPr>
          <w:rFonts w:ascii="仿宋_GB2312" w:hAnsi="宋体" w:eastAsia="仿宋_GB2312" w:cs="宋体"/>
          <w:spacing w:val="8"/>
          <w:kern w:val="0"/>
          <w:sz w:val="32"/>
          <w:szCs w:val="32"/>
        </w:rPr>
        <w:t>件，通过当面申请</w:t>
      </w:r>
      <w:r>
        <w:rPr>
          <w:rFonts w:hint="eastAsia" w:ascii="仿宋_GB2312" w:hAnsi="宋体" w:eastAsia="仿宋_GB2312" w:cs="宋体"/>
          <w:spacing w:val="8"/>
          <w:kern w:val="0"/>
          <w:sz w:val="32"/>
          <w:szCs w:val="32"/>
        </w:rPr>
        <w:t>1</w:t>
      </w:r>
      <w:r>
        <w:rPr>
          <w:rFonts w:ascii="仿宋_GB2312" w:hAnsi="宋体" w:eastAsia="仿宋_GB2312" w:cs="宋体"/>
          <w:spacing w:val="8"/>
          <w:kern w:val="0"/>
          <w:sz w:val="32"/>
          <w:szCs w:val="32"/>
        </w:rPr>
        <w:t>件，均在法定期限内办结</w:t>
      </w:r>
      <w:bookmarkStart w:id="0" w:name="_GoBack"/>
      <w:bookmarkEnd w:id="0"/>
      <w:r>
        <w:rPr>
          <w:rFonts w:ascii="仿宋_GB2312" w:hAnsi="宋体" w:eastAsia="仿宋_GB2312" w:cs="宋体"/>
          <w:spacing w:val="8"/>
          <w:kern w:val="0"/>
          <w:sz w:val="32"/>
          <w:szCs w:val="32"/>
        </w:rPr>
        <w:t>答复</w:t>
      </w:r>
      <w:r>
        <w:rPr>
          <w:rFonts w:hint="eastAsia" w:ascii="仿宋_GB2312" w:hAnsi="宋体" w:eastAsia="仿宋_GB2312" w:cs="宋体"/>
          <w:spacing w:val="8"/>
          <w:kern w:val="0"/>
          <w:sz w:val="32"/>
          <w:szCs w:val="32"/>
        </w:rPr>
        <w:t>。</w:t>
      </w:r>
      <w:r>
        <w:rPr>
          <w:rFonts w:ascii="仿宋_GB2312" w:hAnsi="宋体" w:eastAsia="仿宋_GB2312" w:cs="宋体"/>
          <w:spacing w:val="8"/>
          <w:kern w:val="0"/>
          <w:sz w:val="32"/>
          <w:szCs w:val="32"/>
        </w:rPr>
        <w:t>涉及行政复议</w:t>
      </w:r>
      <w:r>
        <w:rPr>
          <w:rFonts w:hint="eastAsia" w:ascii="仿宋_GB2312" w:hAnsi="宋体" w:eastAsia="仿宋_GB2312" w:cs="宋体"/>
          <w:spacing w:val="8"/>
          <w:kern w:val="0"/>
          <w:sz w:val="32"/>
          <w:szCs w:val="32"/>
        </w:rPr>
        <w:t>2件，</w:t>
      </w:r>
      <w:r>
        <w:rPr>
          <w:rFonts w:ascii="仿宋_GB2312" w:hAnsi="宋体" w:eastAsia="仿宋_GB2312" w:cs="宋体"/>
          <w:spacing w:val="8"/>
          <w:kern w:val="0"/>
          <w:sz w:val="32"/>
          <w:szCs w:val="32"/>
        </w:rPr>
        <w:t>行政诉讼</w:t>
      </w:r>
      <w:r>
        <w:rPr>
          <w:rFonts w:hint="eastAsia" w:ascii="仿宋_GB2312" w:hAnsi="宋体" w:eastAsia="仿宋_GB2312" w:cs="宋体"/>
          <w:spacing w:val="8"/>
          <w:kern w:val="0"/>
          <w:sz w:val="32"/>
          <w:szCs w:val="32"/>
        </w:rPr>
        <w:t>1件，</w:t>
      </w:r>
      <w:r>
        <w:rPr>
          <w:rFonts w:ascii="仿宋_GB2312" w:hAnsi="宋体" w:eastAsia="仿宋_GB2312" w:cs="宋体"/>
          <w:spacing w:val="8"/>
          <w:kern w:val="0"/>
          <w:sz w:val="32"/>
          <w:szCs w:val="32"/>
        </w:rPr>
        <w:t>无败诉案件。</w:t>
      </w:r>
    </w:p>
    <w:p>
      <w:pPr>
        <w:widowControl/>
        <w:spacing w:line="560" w:lineRule="exact"/>
        <w:ind w:firstLine="672" w:firstLineChars="200"/>
        <w:rPr>
          <w:rFonts w:ascii="仿宋_GB2312" w:hAnsi="宋体" w:eastAsia="仿宋_GB2312" w:cs="宋体"/>
          <w:spacing w:val="8"/>
          <w:kern w:val="0"/>
          <w:sz w:val="32"/>
          <w:szCs w:val="32"/>
        </w:rPr>
      </w:pPr>
      <w:r>
        <w:rPr>
          <w:rFonts w:ascii="仿宋_GB2312" w:hAnsi="宋体" w:eastAsia="仿宋_GB2312" w:cs="宋体"/>
          <w:spacing w:val="8"/>
          <w:kern w:val="0"/>
          <w:sz w:val="32"/>
          <w:szCs w:val="32"/>
        </w:rPr>
        <w:t>（四）政府信息管理。我局始终坚持以公开为常态、不公开为例外，</w:t>
      </w:r>
      <w:r>
        <w:rPr>
          <w:rFonts w:hint="eastAsia" w:ascii="仿宋_GB2312" w:hAnsi="宋体" w:eastAsia="仿宋_GB2312" w:cs="宋体"/>
          <w:spacing w:val="8"/>
          <w:kern w:val="0"/>
          <w:sz w:val="32"/>
          <w:szCs w:val="32"/>
        </w:rPr>
        <w:t>遵循“谁主管、谁负责；谁公开、谁审查；先审查、后公开；一事一审查”的工作原则，强化政府信息的管理，确保公开信息合法合规。</w:t>
      </w:r>
    </w:p>
    <w:p>
      <w:pPr>
        <w:widowControl/>
        <w:spacing w:line="560" w:lineRule="exact"/>
        <w:ind w:firstLine="672" w:firstLineChars="200"/>
        <w:rPr>
          <w:rFonts w:hint="eastAsia" w:ascii="仿宋_GB2312" w:hAnsi="宋体" w:eastAsia="仿宋_GB2312" w:cs="宋体"/>
          <w:spacing w:val="8"/>
          <w:kern w:val="0"/>
          <w:sz w:val="32"/>
          <w:szCs w:val="32"/>
        </w:rPr>
      </w:pPr>
      <w:r>
        <w:rPr>
          <w:rFonts w:ascii="仿宋_GB2312" w:hAnsi="宋体" w:eastAsia="仿宋_GB2312" w:cs="宋体"/>
          <w:spacing w:val="8"/>
          <w:kern w:val="0"/>
          <w:sz w:val="32"/>
          <w:szCs w:val="32"/>
        </w:rPr>
        <w:t>（五）政府信息公开平台建设。按照市、区政务公开工作相关要求，我局202</w:t>
      </w:r>
      <w:r>
        <w:rPr>
          <w:rFonts w:hint="eastAsia" w:ascii="仿宋_GB2312" w:hAnsi="宋体" w:eastAsia="仿宋_GB2312" w:cs="宋体"/>
          <w:spacing w:val="8"/>
          <w:kern w:val="0"/>
          <w:sz w:val="32"/>
          <w:szCs w:val="32"/>
        </w:rPr>
        <w:t>2</w:t>
      </w:r>
      <w:r>
        <w:rPr>
          <w:rFonts w:ascii="仿宋_GB2312" w:hAnsi="宋体" w:eastAsia="仿宋_GB2312" w:cs="宋体"/>
          <w:spacing w:val="8"/>
          <w:kern w:val="0"/>
          <w:sz w:val="32"/>
          <w:szCs w:val="32"/>
        </w:rPr>
        <w:t>年在区食品药品监控中心开展政务开放日活动</w:t>
      </w:r>
      <w:r>
        <w:rPr>
          <w:rFonts w:hint="eastAsia" w:ascii="仿宋_GB2312" w:hAnsi="宋体" w:eastAsia="仿宋_GB2312" w:cs="宋体"/>
          <w:spacing w:val="8"/>
          <w:kern w:val="0"/>
          <w:sz w:val="32"/>
          <w:szCs w:val="32"/>
        </w:rPr>
        <w:t>，</w:t>
      </w:r>
      <w:r>
        <w:rPr>
          <w:rFonts w:ascii="仿宋_GB2312" w:hAnsi="宋体" w:eastAsia="仿宋_GB2312" w:cs="宋体"/>
          <w:spacing w:val="8"/>
          <w:kern w:val="0"/>
          <w:sz w:val="32"/>
          <w:szCs w:val="32"/>
        </w:rPr>
        <w:t>结合工作实际</w:t>
      </w:r>
      <w:r>
        <w:rPr>
          <w:rFonts w:hint="eastAsia" w:ascii="仿宋_GB2312" w:hAnsi="宋体" w:eastAsia="仿宋_GB2312" w:cs="宋体"/>
          <w:spacing w:val="8"/>
          <w:kern w:val="0"/>
          <w:sz w:val="32"/>
          <w:szCs w:val="32"/>
        </w:rPr>
        <w:t>运营维护官方公众号“北京大兴市场监管”及官方微博“北京大兴市场监管”，积极配合政务局主动做好时政信息等新媒体政务公开，全年公众账号发布信息600余条，微信900余条！</w:t>
      </w:r>
    </w:p>
    <w:p>
      <w:pPr>
        <w:widowControl/>
        <w:spacing w:line="560" w:lineRule="exact"/>
        <w:ind w:firstLine="672" w:firstLineChars="200"/>
        <w:rPr>
          <w:rFonts w:ascii="仿宋_GB2312" w:hAnsi="宋体" w:eastAsia="仿宋_GB2312" w:cs="宋体"/>
          <w:spacing w:val="8"/>
          <w:kern w:val="0"/>
          <w:sz w:val="32"/>
          <w:szCs w:val="32"/>
        </w:rPr>
      </w:pPr>
      <w:r>
        <w:rPr>
          <w:rFonts w:ascii="仿宋_GB2312" w:hAnsi="宋体" w:eastAsia="仿宋_GB2312" w:cs="宋体"/>
          <w:spacing w:val="8"/>
          <w:kern w:val="0"/>
          <w:sz w:val="32"/>
          <w:szCs w:val="32"/>
        </w:rPr>
        <w:t>（六）教育培训。</w:t>
      </w:r>
      <w:r>
        <w:rPr>
          <w:rFonts w:hint="eastAsia" w:ascii="仿宋_GB2312" w:hAnsi="宋体" w:eastAsia="仿宋_GB2312" w:cs="宋体"/>
          <w:spacing w:val="8"/>
          <w:kern w:val="0"/>
          <w:sz w:val="32"/>
          <w:szCs w:val="32"/>
        </w:rPr>
        <w:t>一方面，积极参加区政务服务局举办的政府信息依申请公开培训，增强政府信息公开工作人员专业素养以及处理政府信息公开的能力和水平。另一方面，注重加强内部培训，将普遍性问题以业务指导的形式下发，指导各部门办理政府信息公开，提升政府信息公开整体水平</w:t>
      </w:r>
      <w:r>
        <w:rPr>
          <w:rFonts w:ascii="仿宋_GB2312" w:hAnsi="宋体" w:eastAsia="仿宋_GB2312" w:cs="宋体"/>
          <w:spacing w:val="8"/>
          <w:kern w:val="0"/>
          <w:sz w:val="32"/>
          <w:szCs w:val="32"/>
        </w:rPr>
        <w:t xml:space="preserve">。全年我局组织开展政府信息公开教育培训2次，参加大兴区政务服务局组织召开的政务公开工作推进会 </w:t>
      </w:r>
      <w:r>
        <w:rPr>
          <w:rFonts w:hint="eastAsia" w:ascii="仿宋_GB2312" w:hAnsi="宋体" w:eastAsia="仿宋_GB2312" w:cs="宋体"/>
          <w:spacing w:val="8"/>
          <w:kern w:val="0"/>
          <w:sz w:val="32"/>
          <w:szCs w:val="32"/>
        </w:rPr>
        <w:t>3</w:t>
      </w:r>
      <w:r>
        <w:rPr>
          <w:rFonts w:ascii="仿宋_GB2312" w:hAnsi="宋体" w:eastAsia="仿宋_GB2312" w:cs="宋体"/>
          <w:spacing w:val="8"/>
          <w:kern w:val="0"/>
          <w:sz w:val="32"/>
          <w:szCs w:val="32"/>
        </w:rPr>
        <w:t>次，共参加培训15人次。</w:t>
      </w:r>
    </w:p>
    <w:p>
      <w:pPr>
        <w:widowControl/>
        <w:spacing w:line="560" w:lineRule="exact"/>
        <w:ind w:firstLine="672" w:firstLineChars="200"/>
        <w:rPr>
          <w:rFonts w:ascii="仿宋_GB2312" w:hAnsi="宋体" w:eastAsia="仿宋_GB2312" w:cs="宋体"/>
          <w:spacing w:val="8"/>
          <w:kern w:val="0"/>
          <w:sz w:val="32"/>
          <w:szCs w:val="32"/>
        </w:rPr>
      </w:pPr>
      <w:r>
        <w:rPr>
          <w:rFonts w:ascii="仿宋_GB2312" w:hAnsi="宋体" w:eastAsia="仿宋_GB2312" w:cs="宋体"/>
          <w:spacing w:val="8"/>
          <w:kern w:val="0"/>
          <w:sz w:val="32"/>
          <w:szCs w:val="32"/>
        </w:rPr>
        <w:t>（七）监督保障</w:t>
      </w:r>
      <w:r>
        <w:rPr>
          <w:rFonts w:hint="eastAsia" w:ascii="仿宋_GB2312" w:hAnsi="宋体" w:eastAsia="仿宋_GB2312" w:cs="宋体"/>
          <w:spacing w:val="8"/>
          <w:kern w:val="0"/>
          <w:sz w:val="32"/>
          <w:szCs w:val="32"/>
        </w:rPr>
        <w:t>。</w:t>
      </w:r>
      <w:r>
        <w:rPr>
          <w:rFonts w:ascii="仿宋_GB2312" w:hAnsi="宋体" w:eastAsia="仿宋_GB2312" w:cs="宋体"/>
          <w:spacing w:val="8"/>
          <w:kern w:val="0"/>
          <w:sz w:val="32"/>
          <w:szCs w:val="32"/>
        </w:rPr>
        <w:t>本年度我局充分发挥以政府信息公开促市场监管工作落实、促工作规范、促服务能力提升的广泛作用，为市场监管工作接受社会各界和人民群众监督提供有力保障，为提升大兴区市场监管工作和服务水平发挥积极作用。</w:t>
      </w:r>
    </w:p>
    <w:p>
      <w:pPr>
        <w:widowControl/>
        <w:spacing w:line="560" w:lineRule="exact"/>
        <w:ind w:firstLine="672" w:firstLineChars="200"/>
        <w:rPr>
          <w:rFonts w:ascii="仿宋_GB2312" w:hAnsi="宋体" w:eastAsia="仿宋_GB2312" w:cs="宋体"/>
          <w:spacing w:val="8"/>
          <w:kern w:val="0"/>
          <w:sz w:val="32"/>
          <w:szCs w:val="32"/>
        </w:rPr>
      </w:pPr>
    </w:p>
    <w:p>
      <w:pPr>
        <w:numPr>
          <w:ilvl w:val="0"/>
          <w:numId w:val="1"/>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主动公开政府信息情况</w:t>
      </w:r>
    </w:p>
    <w:p>
      <w:pPr>
        <w:pStyle w:val="2"/>
      </w:pPr>
    </w:p>
    <w:p>
      <w:pPr>
        <w:pStyle w:val="2"/>
      </w:pPr>
    </w:p>
    <w:tbl>
      <w:tblPr>
        <w:tblStyle w:val="6"/>
        <w:tblW w:w="0" w:type="auto"/>
        <w:jc w:val="center"/>
        <w:tblLayout w:type="fixed"/>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9BC2E6"/>
            <w:tcMar>
              <w:left w:w="57" w:type="dxa"/>
              <w:right w:w="57" w:type="dxa"/>
            </w:tcMar>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center"/>
            </w:pPr>
            <w:r>
              <w:rPr>
                <w:rFonts w:hint="eastAsia" w:ascii="宋体" w:hAnsi="宋体" w:cs="宋体"/>
                <w:color w:val="000000"/>
                <w:kern w:val="0"/>
                <w:sz w:val="20"/>
                <w:szCs w:val="20"/>
              </w:rPr>
              <w:t>信息内容</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本年制发件数</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widowControl/>
              <w:jc w:val="center"/>
            </w:pPr>
            <w:r>
              <w:rPr>
                <w:rFonts w:hint="eastAsia" w:ascii="宋体" w:hAnsi="宋体" w:cs="宋体"/>
                <w:color w:val="000000"/>
                <w:kern w:val="0"/>
                <w:sz w:val="20"/>
                <w:szCs w:val="20"/>
              </w:rPr>
              <w:t>本年废止件数</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widowControl/>
              <w:jc w:val="center"/>
            </w:pPr>
            <w:r>
              <w:rPr>
                <w:rFonts w:hint="eastAsia" w:ascii="宋体" w:hAnsi="宋体" w:cs="宋体"/>
                <w:color w:val="000000"/>
                <w:kern w:val="0"/>
                <w:sz w:val="20"/>
                <w:szCs w:val="20"/>
              </w:rPr>
              <w:t>现行有效件</w:t>
            </w:r>
            <w:r>
              <w:rPr>
                <w:rFonts w:hint="eastAsia" w:ascii="宋体" w:hAnsi="宋体" w:cs="宋体"/>
                <w:kern w:val="0"/>
                <w:sz w:val="20"/>
                <w:szCs w:val="20"/>
              </w:rPr>
              <w:t>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color w:val="000000"/>
                <w:kern w:val="0"/>
                <w:sz w:val="20"/>
                <w:szCs w:val="20"/>
              </w:rPr>
              <w:t>规章</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color w:val="000000"/>
                <w:kern w:val="0"/>
                <w:sz w:val="20"/>
                <w:szCs w:val="20"/>
              </w:rPr>
              <w:t>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color w:val="000000"/>
                <w:kern w:val="0"/>
                <w:sz w:val="20"/>
                <w:szCs w:val="20"/>
              </w:rPr>
              <w:t>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Cs w:val="21"/>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color w:val="000000"/>
                <w:kern w:val="0"/>
                <w:sz w:val="20"/>
                <w:szCs w:val="20"/>
              </w:rPr>
              <w:t>行政规范性文件</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color w:val="000000"/>
                <w:kern w:val="0"/>
                <w:sz w:val="20"/>
                <w:szCs w:val="20"/>
              </w:rPr>
              <w:t>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color w:val="000000"/>
                <w:kern w:val="0"/>
                <w:sz w:val="20"/>
                <w:szCs w:val="20"/>
              </w:rPr>
              <w:t>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Cs w:val="21"/>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color w:val="000000"/>
                <w:kern w:val="0"/>
                <w:sz w:val="20"/>
                <w:szCs w:val="20"/>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center"/>
            </w:pPr>
            <w:r>
              <w:rPr>
                <w:rFonts w:hint="eastAsia" w:ascii="宋体" w:hAnsi="宋体" w:cs="宋体"/>
                <w:color w:val="000000"/>
                <w:kern w:val="0"/>
                <w:sz w:val="20"/>
                <w:szCs w:val="20"/>
              </w:rPr>
              <w:t>信息内容</w:t>
            </w:r>
          </w:p>
        </w:tc>
        <w:tc>
          <w:tcPr>
            <w:tcW w:w="7305" w:type="dxa"/>
            <w:gridSpan w:val="3"/>
            <w:tcBorders>
              <w:top w:val="nil"/>
              <w:left w:val="nil"/>
              <w:bottom w:val="single" w:color="auto" w:sz="8" w:space="0"/>
              <w:right w:val="single" w:color="auto" w:sz="8" w:space="0"/>
            </w:tcBorders>
            <w:shd w:val="clear" w:color="auto" w:fill="DDEBF7"/>
            <w:tcMar>
              <w:left w:w="57" w:type="dxa"/>
              <w:right w:w="57" w:type="dxa"/>
            </w:tcMar>
            <w:vAlign w:val="center"/>
          </w:tcPr>
          <w:p>
            <w:pPr>
              <w:widowControl/>
              <w:jc w:val="center"/>
            </w:pPr>
            <w:r>
              <w:rPr>
                <w:rFonts w:hint="eastAsia" w:ascii="宋体" w:hAnsi="宋体" w:cs="宋体"/>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color w:val="000000"/>
                <w:kern w:val="0"/>
                <w:sz w:val="20"/>
                <w:szCs w:val="20"/>
              </w:rPr>
              <w:t>行政许可</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color w:val="000000"/>
                <w:kern w:val="0"/>
                <w:sz w:val="20"/>
                <w:szCs w:val="20"/>
              </w:rPr>
              <w:t>66132</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color w:val="000000"/>
                <w:kern w:val="0"/>
                <w:sz w:val="20"/>
                <w:szCs w:val="20"/>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center"/>
            </w:pPr>
            <w:r>
              <w:rPr>
                <w:rFonts w:hint="eastAsia" w:ascii="宋体" w:hAnsi="宋体" w:cs="宋体"/>
                <w:color w:val="000000"/>
                <w:kern w:val="0"/>
                <w:sz w:val="20"/>
                <w:szCs w:val="20"/>
              </w:rPr>
              <w:t>信息内容</w:t>
            </w:r>
          </w:p>
        </w:tc>
        <w:tc>
          <w:tcPr>
            <w:tcW w:w="7305" w:type="dxa"/>
            <w:gridSpan w:val="3"/>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widowControl/>
              <w:jc w:val="center"/>
            </w:pPr>
            <w:r>
              <w:rPr>
                <w:rFonts w:hint="eastAsia" w:ascii="宋体" w:hAnsi="宋体" w:cs="宋体"/>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color w:val="000000"/>
                <w:kern w:val="0"/>
                <w:sz w:val="20"/>
                <w:szCs w:val="20"/>
              </w:rPr>
              <w:t>行政处罚</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4037</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color w:val="000000"/>
                <w:kern w:val="0"/>
                <w:sz w:val="20"/>
                <w:szCs w:val="20"/>
              </w:rPr>
              <w:t>行政强制</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43</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color w:val="000000"/>
                <w:kern w:val="0"/>
                <w:sz w:val="20"/>
                <w:szCs w:val="20"/>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center"/>
            </w:pPr>
            <w:r>
              <w:rPr>
                <w:rFonts w:hint="eastAsia" w:ascii="宋体" w:hAnsi="宋体" w:cs="宋体"/>
                <w:color w:val="000000"/>
                <w:kern w:val="0"/>
                <w:sz w:val="20"/>
                <w:szCs w:val="20"/>
              </w:rPr>
              <w:t>信息内容</w:t>
            </w:r>
          </w:p>
        </w:tc>
        <w:tc>
          <w:tcPr>
            <w:tcW w:w="7305" w:type="dxa"/>
            <w:gridSpan w:val="3"/>
            <w:tcBorders>
              <w:top w:val="nil"/>
              <w:left w:val="nil"/>
              <w:bottom w:val="single" w:color="auto" w:sz="8" w:space="0"/>
              <w:right w:val="single" w:color="000000" w:sz="8" w:space="0"/>
            </w:tcBorders>
            <w:shd w:val="clear" w:color="auto" w:fill="DDEBF7"/>
            <w:tcMar>
              <w:left w:w="57" w:type="dxa"/>
              <w:right w:w="57" w:type="dxa"/>
            </w:tcMar>
            <w:vAlign w:val="center"/>
          </w:tcPr>
          <w:p>
            <w:pPr>
              <w:widowControl/>
              <w:jc w:val="center"/>
            </w:pPr>
            <w:r>
              <w:rPr>
                <w:rFonts w:hint="eastAsia" w:ascii="宋体" w:hAnsi="宋体" w:cs="宋体"/>
                <w:color w:val="000000"/>
                <w:kern w:val="0"/>
                <w:sz w:val="20"/>
                <w:szCs w:val="20"/>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color w:val="000000"/>
                <w:kern w:val="0"/>
                <w:sz w:val="20"/>
                <w:szCs w:val="20"/>
              </w:rPr>
              <w:t>行政事业性收费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widowControl/>
              <w:jc w:val="center"/>
              <w:rPr>
                <w:rFonts w:ascii="宋体"/>
                <w:sz w:val="24"/>
              </w:rPr>
            </w:pPr>
            <w:r>
              <w:rPr>
                <w:rFonts w:hint="eastAsia" w:ascii="宋体" w:hAnsi="宋体" w:cs="宋体"/>
                <w:color w:val="000000"/>
                <w:kern w:val="0"/>
                <w:sz w:val="20"/>
                <w:szCs w:val="20"/>
              </w:rPr>
              <w:t>857.870676</w:t>
            </w:r>
          </w:p>
        </w:tc>
      </w:tr>
    </w:tbl>
    <w:p>
      <w:pPr>
        <w:pStyle w:val="2"/>
      </w:pPr>
    </w:p>
    <w:p>
      <w:pPr>
        <w:pStyle w:val="2"/>
      </w:pPr>
    </w:p>
    <w:p>
      <w:pPr>
        <w:numPr>
          <w:ilvl w:val="0"/>
          <w:numId w:val="1"/>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收到和处理政府信息公开申请情况</w:t>
      </w:r>
    </w:p>
    <w:p>
      <w:pPr>
        <w:pStyle w:val="5"/>
        <w:widowControl/>
        <w:shd w:val="clear" w:color="auto" w:fill="FFFFFF"/>
        <w:spacing w:before="0" w:beforeAutospacing="0" w:after="0" w:afterAutospacing="0"/>
        <w:jc w:val="both"/>
        <w:rPr>
          <w:rFonts w:ascii="宋体" w:hAnsi="宋体" w:cs="宋体"/>
          <w:color w:val="333333"/>
        </w:rPr>
      </w:pPr>
    </w:p>
    <w:tbl>
      <w:tblPr>
        <w:tblStyle w:val="6"/>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outset" w:color="auto" w:sz="8" w:space="0"/>
              <w:right w:val="single" w:color="auto" w:sz="8" w:space="0"/>
            </w:tcBorders>
            <w:shd w:val="clear" w:color="auto" w:fill="9BC2E6"/>
            <w:tcMar>
              <w:left w:w="108" w:type="dxa"/>
              <w:right w:w="108" w:type="dxa"/>
            </w:tcMar>
            <w:vAlign w:val="center"/>
          </w:tcPr>
          <w:p>
            <w:pPr>
              <w:widowControl/>
              <w:jc w:val="left"/>
            </w:pPr>
            <w:r>
              <w:rPr>
                <w:rFonts w:ascii="楷体" w:hAnsi="楷体" w:eastAsia="楷体" w:cs="楷体"/>
                <w:kern w:val="0"/>
                <w:sz w:val="20"/>
                <w:szCs w:val="20"/>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9BC2E6"/>
            <w:tcMar>
              <w:left w:w="108" w:type="dxa"/>
              <w:right w:w="108" w:type="dxa"/>
            </w:tcMar>
            <w:vAlign w:val="center"/>
          </w:tcPr>
          <w:p>
            <w:pPr>
              <w:rPr>
                <w:rFonts w:ascii="宋体"/>
                <w:sz w:val="24"/>
              </w:rPr>
            </w:pPr>
          </w:p>
        </w:tc>
        <w:tc>
          <w:tcPr>
            <w:tcW w:w="688" w:type="dxa"/>
            <w:vMerge w:val="restart"/>
            <w:tcBorders>
              <w:top w:val="nil"/>
              <w:left w:val="nil"/>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rPr>
              <w:t>自然人</w:t>
            </w:r>
          </w:p>
        </w:tc>
        <w:tc>
          <w:tcPr>
            <w:tcW w:w="3440" w:type="dxa"/>
            <w:gridSpan w:val="5"/>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rPr>
              <w:t>法人或其他组织</w:t>
            </w:r>
          </w:p>
        </w:tc>
        <w:tc>
          <w:tcPr>
            <w:tcW w:w="689" w:type="dxa"/>
            <w:vMerge w:val="restart"/>
            <w:tcBorders>
              <w:top w:val="single" w:color="auto" w:sz="8" w:space="0"/>
              <w:left w:val="nil"/>
              <w:bottom w:val="outset"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9BC2E6"/>
            <w:tcMar>
              <w:left w:w="108" w:type="dxa"/>
              <w:right w:w="108" w:type="dxa"/>
            </w:tcMar>
            <w:vAlign w:val="center"/>
          </w:tcPr>
          <w:p>
            <w:pPr>
              <w:rPr>
                <w:rFonts w:ascii="宋体"/>
                <w:sz w:val="24"/>
              </w:rPr>
            </w:pPr>
          </w:p>
        </w:tc>
        <w:tc>
          <w:tcPr>
            <w:tcW w:w="688" w:type="dxa"/>
            <w:vMerge w:val="continue"/>
            <w:tcBorders>
              <w:top w:val="nil"/>
              <w:left w:val="nil"/>
              <w:bottom w:val="single" w:color="auto" w:sz="8" w:space="0"/>
              <w:right w:val="single" w:color="auto" w:sz="8" w:space="0"/>
            </w:tcBorders>
            <w:shd w:val="clear" w:color="auto" w:fill="9BC2E6"/>
            <w:tcMar>
              <w:left w:w="57" w:type="dxa"/>
              <w:right w:w="57" w:type="dxa"/>
            </w:tcMar>
            <w:vAlign w:val="center"/>
          </w:tcPr>
          <w:p>
            <w:pPr>
              <w:rPr>
                <w:rFonts w:ascii="宋体"/>
                <w:sz w:val="24"/>
              </w:rPr>
            </w:pPr>
          </w:p>
        </w:tc>
        <w:tc>
          <w:tcPr>
            <w:tcW w:w="688" w:type="dxa"/>
            <w:tcBorders>
              <w:top w:val="nil"/>
              <w:left w:val="nil"/>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rPr>
              <w:t>商业</w:t>
            </w:r>
          </w:p>
          <w:p>
            <w:pPr>
              <w:widowControl/>
              <w:jc w:val="center"/>
            </w:pPr>
            <w:r>
              <w:rPr>
                <w:rFonts w:hint="eastAsia" w:ascii="宋体" w:hAnsi="宋体" w:cs="宋体"/>
                <w:kern w:val="0"/>
                <w:sz w:val="20"/>
                <w:szCs w:val="20"/>
              </w:rPr>
              <w:t>企业</w:t>
            </w:r>
          </w:p>
        </w:tc>
        <w:tc>
          <w:tcPr>
            <w:tcW w:w="688" w:type="dxa"/>
            <w:tcBorders>
              <w:top w:val="nil"/>
              <w:left w:val="nil"/>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rPr>
              <w:t>科研</w:t>
            </w:r>
          </w:p>
          <w:p>
            <w:pPr>
              <w:widowControl/>
              <w:jc w:val="center"/>
            </w:pPr>
            <w:r>
              <w:rPr>
                <w:rFonts w:hint="eastAsia" w:ascii="宋体" w:hAnsi="宋体" w:cs="宋体"/>
                <w:kern w:val="0"/>
                <w:sz w:val="20"/>
                <w:szCs w:val="20"/>
              </w:rPr>
              <w:t>机构</w:t>
            </w:r>
          </w:p>
        </w:tc>
        <w:tc>
          <w:tcPr>
            <w:tcW w:w="688" w:type="dxa"/>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rPr>
              <w:t>社会公益组织</w:t>
            </w:r>
          </w:p>
        </w:tc>
        <w:tc>
          <w:tcPr>
            <w:tcW w:w="688" w:type="dxa"/>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rPr>
              <w:t>法律服务机构</w:t>
            </w:r>
          </w:p>
        </w:tc>
        <w:tc>
          <w:tcPr>
            <w:tcW w:w="688" w:type="dxa"/>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rPr>
              <w:t>其他</w:t>
            </w:r>
          </w:p>
        </w:tc>
        <w:tc>
          <w:tcPr>
            <w:tcW w:w="689" w:type="dxa"/>
            <w:vMerge w:val="continue"/>
            <w:tcBorders>
              <w:top w:val="single" w:color="auto" w:sz="8" w:space="0"/>
              <w:left w:val="nil"/>
              <w:bottom w:val="outset" w:color="auto" w:sz="8" w:space="0"/>
              <w:right w:val="single" w:color="auto" w:sz="8" w:space="0"/>
            </w:tcBorders>
            <w:shd w:val="clear" w:color="auto" w:fill="9BC2E6"/>
            <w:tcMar>
              <w:left w:w="57" w:type="dxa"/>
              <w:right w:w="57" w:type="dxa"/>
            </w:tcMar>
            <w:vAlign w:val="center"/>
          </w:tcPr>
          <w:p>
            <w:pPr>
              <w:rPr>
                <w:rFonts w:ascii="宋体"/>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kern w:val="0"/>
                <w:sz w:val="20"/>
                <w:szCs w:val="20"/>
              </w:rPr>
              <w:t>一、本年新收政府信息公开申请数量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61</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2</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c>
          <w:tcPr>
            <w:tcW w:w="689" w:type="dxa"/>
            <w:tcBorders>
              <w:top w:val="nil"/>
              <w:left w:val="nil"/>
              <w:bottom w:val="single" w:color="auto" w:sz="8" w:space="0"/>
              <w:right w:val="single" w:color="auto" w:sz="8" w:space="0"/>
            </w:tcBorders>
            <w:tcMar>
              <w:left w:w="57" w:type="dxa"/>
              <w:right w:w="57" w:type="dxa"/>
            </w:tcMar>
          </w:tcPr>
          <w:p>
            <w:pPr>
              <w:widowControl/>
              <w:jc w:val="center"/>
            </w:pPr>
            <w:r>
              <w:rPr>
                <w:rFonts w:hint="eastAsia"/>
              </w:rPr>
              <w:t>63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kern w:val="0"/>
                <w:sz w:val="20"/>
                <w:szCs w:val="20"/>
              </w:rPr>
              <w:t>二、上年结转政府信息公开申请数量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c>
          <w:tcPr>
            <w:tcW w:w="689" w:type="dxa"/>
            <w:tcBorders>
              <w:top w:val="nil"/>
              <w:left w:val="nil"/>
              <w:bottom w:val="single" w:color="auto" w:sz="8" w:space="0"/>
              <w:right w:val="single" w:color="auto" w:sz="8" w:space="0"/>
            </w:tcBorders>
            <w:tcMar>
              <w:left w:w="57" w:type="dxa"/>
              <w:right w:w="57" w:type="dxa"/>
            </w:tcMar>
          </w:tcPr>
          <w:p>
            <w:pPr>
              <w:widowControl/>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restart"/>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kern w:val="0"/>
                <w:sz w:val="20"/>
                <w:szCs w:val="20"/>
              </w:rPr>
              <w:t>三、本年度办理结果</w:t>
            </w:r>
          </w:p>
        </w:tc>
        <w:tc>
          <w:tcPr>
            <w:tcW w:w="4163" w:type="dxa"/>
            <w:gridSpan w:val="2"/>
            <w:tcBorders>
              <w:top w:val="nil"/>
              <w:left w:val="nil"/>
              <w:bottom w:val="single"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rPr>
              <w:t>（一）予以公开</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11</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c>
          <w:tcPr>
            <w:tcW w:w="689" w:type="dxa"/>
            <w:tcBorders>
              <w:top w:val="single" w:color="auto" w:sz="8" w:space="0"/>
              <w:left w:val="nil"/>
              <w:bottom w:val="single" w:color="auto" w:sz="8" w:space="0"/>
              <w:right w:val="single" w:color="auto" w:sz="8" w:space="0"/>
            </w:tcBorders>
            <w:tcMar>
              <w:left w:w="57" w:type="dxa"/>
              <w:right w:w="57" w:type="dxa"/>
            </w:tcMar>
          </w:tcPr>
          <w:p>
            <w:pPr>
              <w:widowControl/>
              <w:jc w:val="center"/>
            </w:pPr>
            <w:r>
              <w:rPr>
                <w:rFonts w:hint="eastAsia"/>
              </w:rPr>
              <w:t>11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4163" w:type="dxa"/>
            <w:gridSpan w:val="2"/>
            <w:tcBorders>
              <w:top w:val="nil"/>
              <w:left w:val="nil"/>
              <w:bottom w:val="single"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rPr>
              <w:t>（二）部分公开</w:t>
            </w:r>
            <w:r>
              <w:rPr>
                <w:rFonts w:ascii="楷体" w:hAnsi="楷体" w:eastAsia="楷体" w:cs="楷体"/>
                <w:kern w:val="0"/>
                <w:sz w:val="20"/>
                <w:szCs w:val="20"/>
              </w:rPr>
              <w:t>（区分处理的，只计这一情形，不计其他情形）</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11</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c>
          <w:tcPr>
            <w:tcW w:w="689" w:type="dxa"/>
            <w:tcBorders>
              <w:top w:val="nil"/>
              <w:left w:val="nil"/>
              <w:bottom w:val="single" w:color="auto" w:sz="8" w:space="0"/>
              <w:right w:val="single" w:color="auto" w:sz="8" w:space="0"/>
            </w:tcBorders>
            <w:tcMar>
              <w:left w:w="57" w:type="dxa"/>
              <w:right w:w="57" w:type="dxa"/>
            </w:tcMar>
          </w:tcPr>
          <w:p>
            <w:pPr>
              <w:widowControl/>
              <w:jc w:val="center"/>
            </w:pPr>
            <w:r>
              <w:rPr>
                <w:rFonts w:hint="eastAsia"/>
              </w:rPr>
              <w:t>11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restart"/>
            <w:tcBorders>
              <w:top w:val="nil"/>
              <w:left w:val="nil"/>
              <w:bottom w:val="outset"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rPr>
              <w:t>（三）不予公开</w:t>
            </w: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rPr>
              <w:t>1.属于国家秘密</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c>
          <w:tcPr>
            <w:tcW w:w="689" w:type="dxa"/>
            <w:tcBorders>
              <w:top w:val="single" w:color="auto" w:sz="8" w:space="0"/>
              <w:left w:val="nil"/>
              <w:bottom w:val="single" w:color="auto" w:sz="8" w:space="0"/>
              <w:right w:val="single" w:color="auto" w:sz="8" w:space="0"/>
            </w:tcBorders>
            <w:tcMar>
              <w:left w:w="57" w:type="dxa"/>
              <w:right w:w="57" w:type="dxa"/>
            </w:tcMar>
          </w:tcPr>
          <w:p>
            <w:pPr>
              <w:widowControl/>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rPr>
              <w:t>2.其他法律行政法规禁止公开</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c>
          <w:tcPr>
            <w:tcW w:w="689" w:type="dxa"/>
            <w:tcBorders>
              <w:top w:val="nil"/>
              <w:left w:val="nil"/>
              <w:bottom w:val="single" w:color="auto" w:sz="8" w:space="0"/>
              <w:right w:val="single" w:color="auto" w:sz="8" w:space="0"/>
            </w:tcBorders>
            <w:tcMar>
              <w:left w:w="57" w:type="dxa"/>
              <w:right w:w="57" w:type="dxa"/>
            </w:tcMar>
          </w:tcPr>
          <w:p>
            <w:pPr>
              <w:widowControl/>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rPr>
              <w:t>3.危及“三安全一稳定”</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c>
          <w:tcPr>
            <w:tcW w:w="689" w:type="dxa"/>
            <w:tcBorders>
              <w:top w:val="nil"/>
              <w:left w:val="nil"/>
              <w:bottom w:val="single" w:color="auto" w:sz="8" w:space="0"/>
              <w:right w:val="single" w:color="auto" w:sz="8" w:space="0"/>
            </w:tcBorders>
            <w:tcMar>
              <w:left w:w="57" w:type="dxa"/>
              <w:right w:w="57" w:type="dxa"/>
            </w:tcMar>
          </w:tcPr>
          <w:p>
            <w:pPr>
              <w:widowControl/>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rPr>
              <w:t>4.保护第三方合法权益</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c>
          <w:tcPr>
            <w:tcW w:w="689" w:type="dxa"/>
            <w:tcBorders>
              <w:top w:val="nil"/>
              <w:left w:val="nil"/>
              <w:bottom w:val="single" w:color="auto" w:sz="8" w:space="0"/>
              <w:right w:val="single" w:color="auto" w:sz="8" w:space="0"/>
            </w:tcBorders>
            <w:tcMar>
              <w:left w:w="57" w:type="dxa"/>
              <w:right w:w="57" w:type="dxa"/>
            </w:tcMar>
          </w:tcPr>
          <w:p>
            <w:pPr>
              <w:widowControl/>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rPr>
              <w:t>5.属于三类内部事务信息</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1</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c>
          <w:tcPr>
            <w:tcW w:w="689" w:type="dxa"/>
            <w:tcBorders>
              <w:top w:val="nil"/>
              <w:left w:val="nil"/>
              <w:bottom w:val="single" w:color="auto" w:sz="8" w:space="0"/>
              <w:right w:val="single" w:color="auto" w:sz="8" w:space="0"/>
            </w:tcBorders>
            <w:tcMar>
              <w:left w:w="57" w:type="dxa"/>
              <w:right w:w="57" w:type="dxa"/>
            </w:tcMar>
          </w:tcPr>
          <w:p>
            <w:pPr>
              <w:widowControl/>
              <w:jc w:val="center"/>
            </w:pPr>
            <w:r>
              <w:rPr>
                <w:rFonts w:hint="eastAsia"/>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rPr>
              <w:t>6.属于四类过程性信息</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c>
          <w:tcPr>
            <w:tcW w:w="689" w:type="dxa"/>
            <w:tcBorders>
              <w:top w:val="nil"/>
              <w:left w:val="nil"/>
              <w:bottom w:val="single" w:color="auto" w:sz="8" w:space="0"/>
              <w:right w:val="single" w:color="auto" w:sz="8" w:space="0"/>
            </w:tcBorders>
            <w:tcMar>
              <w:left w:w="57" w:type="dxa"/>
              <w:right w:w="57" w:type="dxa"/>
            </w:tcMar>
          </w:tcPr>
          <w:p>
            <w:pPr>
              <w:widowControl/>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rPr>
              <w:t>7.属于行政执法案卷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8</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1</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c>
          <w:tcPr>
            <w:tcW w:w="689" w:type="dxa"/>
            <w:tcBorders>
              <w:top w:val="nil"/>
              <w:left w:val="nil"/>
              <w:bottom w:val="single" w:color="auto" w:sz="8" w:space="0"/>
              <w:right w:val="single" w:color="auto" w:sz="8" w:space="0"/>
            </w:tcBorders>
            <w:tcMar>
              <w:left w:w="57" w:type="dxa"/>
              <w:right w:w="57" w:type="dxa"/>
            </w:tcMar>
          </w:tcPr>
          <w:p>
            <w:pPr>
              <w:widowControl/>
              <w:jc w:val="center"/>
            </w:pPr>
            <w:r>
              <w:rPr>
                <w:rFonts w:hint="eastAsia"/>
              </w:rPr>
              <w:t>9</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rPr>
              <w:t>8.属于行政查询事项</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1</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1</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c>
          <w:tcPr>
            <w:tcW w:w="689" w:type="dxa"/>
            <w:tcBorders>
              <w:top w:val="nil"/>
              <w:left w:val="nil"/>
              <w:bottom w:val="single" w:color="auto" w:sz="8" w:space="0"/>
              <w:right w:val="single" w:color="auto" w:sz="8" w:space="0"/>
            </w:tcBorders>
            <w:tcMar>
              <w:left w:w="57" w:type="dxa"/>
              <w:right w:w="57" w:type="dxa"/>
            </w:tcMar>
          </w:tcPr>
          <w:p>
            <w:pPr>
              <w:widowControl/>
              <w:jc w:val="center"/>
            </w:pPr>
            <w:r>
              <w:rPr>
                <w:rFonts w:hint="eastAsia"/>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restart"/>
            <w:tcBorders>
              <w:top w:val="nil"/>
              <w:left w:val="nil"/>
              <w:bottom w:val="outset"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rPr>
              <w:t>（四）无法提供</w:t>
            </w: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rPr>
              <w:t>1.本机关不掌握相关政府信息</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6</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c>
          <w:tcPr>
            <w:tcW w:w="689" w:type="dxa"/>
            <w:tcBorders>
              <w:top w:val="nil"/>
              <w:left w:val="nil"/>
              <w:bottom w:val="single" w:color="auto" w:sz="8" w:space="0"/>
              <w:right w:val="single" w:color="auto" w:sz="8" w:space="0"/>
            </w:tcBorders>
            <w:tcMar>
              <w:left w:w="57" w:type="dxa"/>
              <w:right w:w="57" w:type="dxa"/>
            </w:tcMar>
          </w:tcPr>
          <w:p>
            <w:pPr>
              <w:widowControl/>
              <w:jc w:val="center"/>
            </w:pPr>
            <w:r>
              <w:rPr>
                <w:rFonts w:hint="eastAsia"/>
              </w:rPr>
              <w:t>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rPr>
              <w:t>2.没有现成信息需要另行制作</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5</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c>
          <w:tcPr>
            <w:tcW w:w="689" w:type="dxa"/>
            <w:tcBorders>
              <w:top w:val="nil"/>
              <w:left w:val="nil"/>
              <w:bottom w:val="single" w:color="auto" w:sz="8" w:space="0"/>
              <w:right w:val="single" w:color="auto" w:sz="8" w:space="0"/>
            </w:tcBorders>
            <w:tcMar>
              <w:left w:w="57" w:type="dxa"/>
              <w:right w:w="57" w:type="dxa"/>
            </w:tcMar>
          </w:tcPr>
          <w:p>
            <w:pPr>
              <w:widowControl/>
              <w:jc w:val="center"/>
            </w:pPr>
            <w:r>
              <w:rPr>
                <w:rFonts w:hint="eastAsia"/>
              </w:rPr>
              <w:t>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rPr>
              <w:t>3.补正后申请内容仍不明确</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c>
          <w:tcPr>
            <w:tcW w:w="689" w:type="dxa"/>
            <w:tcBorders>
              <w:top w:val="nil"/>
              <w:left w:val="nil"/>
              <w:bottom w:val="single" w:color="auto" w:sz="8" w:space="0"/>
              <w:right w:val="single" w:color="auto" w:sz="8" w:space="0"/>
            </w:tcBorders>
            <w:tcMar>
              <w:left w:w="57" w:type="dxa"/>
              <w:right w:w="57" w:type="dxa"/>
            </w:tcMar>
          </w:tcPr>
          <w:p>
            <w:pPr>
              <w:widowControl/>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restart"/>
            <w:tcBorders>
              <w:top w:val="nil"/>
              <w:left w:val="nil"/>
              <w:bottom w:val="outset"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rPr>
              <w:t>（五）不予处理</w:t>
            </w: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rPr>
              <w:t>1.信访举报投诉类申请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14</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c>
          <w:tcPr>
            <w:tcW w:w="689" w:type="dxa"/>
            <w:tcBorders>
              <w:top w:val="nil"/>
              <w:left w:val="nil"/>
              <w:bottom w:val="single" w:color="auto" w:sz="8" w:space="0"/>
              <w:right w:val="single" w:color="auto" w:sz="8" w:space="0"/>
            </w:tcBorders>
            <w:tcMar>
              <w:left w:w="57" w:type="dxa"/>
              <w:right w:w="57" w:type="dxa"/>
            </w:tcMar>
          </w:tcPr>
          <w:p>
            <w:pPr>
              <w:widowControl/>
              <w:jc w:val="center"/>
            </w:pPr>
            <w:r>
              <w:rPr>
                <w:rFonts w:hint="eastAsia"/>
              </w:rPr>
              <w:t>14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rPr>
              <w:t>2.重复申请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1</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c>
          <w:tcPr>
            <w:tcW w:w="689" w:type="dxa"/>
            <w:tcBorders>
              <w:top w:val="nil"/>
              <w:left w:val="nil"/>
              <w:bottom w:val="single" w:color="auto" w:sz="8" w:space="0"/>
              <w:right w:val="single" w:color="auto" w:sz="8" w:space="0"/>
            </w:tcBorders>
            <w:tcMar>
              <w:left w:w="57" w:type="dxa"/>
              <w:right w:w="57" w:type="dxa"/>
            </w:tcMar>
          </w:tcPr>
          <w:p>
            <w:pPr>
              <w:widowControl/>
              <w:jc w:val="center"/>
            </w:pPr>
            <w:r>
              <w:rPr>
                <w:rFonts w:hint="eastAsia"/>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rPr>
              <w:t>3.要求提供公开出版物</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c>
          <w:tcPr>
            <w:tcW w:w="689" w:type="dxa"/>
            <w:tcBorders>
              <w:top w:val="nil"/>
              <w:left w:val="nil"/>
              <w:bottom w:val="single" w:color="auto" w:sz="8" w:space="0"/>
              <w:right w:val="single" w:color="auto" w:sz="8" w:space="0"/>
            </w:tcBorders>
            <w:tcMar>
              <w:left w:w="57" w:type="dxa"/>
              <w:right w:w="57" w:type="dxa"/>
            </w:tcMar>
          </w:tcPr>
          <w:p>
            <w:pPr>
              <w:widowControl/>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rPr>
              <w:t>4.无正当理由大量反复申请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c>
          <w:tcPr>
            <w:tcW w:w="689" w:type="dxa"/>
            <w:tcBorders>
              <w:top w:val="nil"/>
              <w:left w:val="nil"/>
              <w:bottom w:val="single" w:color="auto" w:sz="8" w:space="0"/>
              <w:right w:val="single" w:color="auto" w:sz="8" w:space="0"/>
            </w:tcBorders>
            <w:tcMar>
              <w:left w:w="57" w:type="dxa"/>
              <w:right w:w="57" w:type="dxa"/>
            </w:tcMar>
          </w:tcPr>
          <w:p>
            <w:pPr>
              <w:widowControl/>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outset" w:color="auto" w:sz="8" w:space="0"/>
              <w:right w:val="single" w:color="auto" w:sz="8" w:space="0"/>
            </w:tcBorders>
            <w:shd w:val="clear" w:color="auto" w:fill="DDEBF7"/>
            <w:tcMar>
              <w:left w:w="57" w:type="dxa"/>
              <w:right w:w="57" w:type="dxa"/>
            </w:tcMar>
            <w:vAlign w:val="center"/>
          </w:tcPr>
          <w:p>
            <w:pPr>
              <w:widowControl/>
            </w:pPr>
            <w:r>
              <w:rPr>
                <w:rFonts w:hint="eastAsia" w:ascii="宋体" w:hAnsi="宋体" w:cs="宋体"/>
                <w:kern w:val="0"/>
                <w:sz w:val="20"/>
                <w:szCs w:val="20"/>
              </w:rPr>
              <w:t>5.要求行政机关确认或重新出具已获取信息</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pPr>
            <w:r>
              <w:rPr>
                <w:rFonts w:hint="eastAsia"/>
              </w:rPr>
              <w:t>0</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pPr>
            <w:r>
              <w:rPr>
                <w:rFonts w:hint="eastAsia"/>
              </w:rPr>
              <w:t>0</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pPr>
            <w:r>
              <w:rPr>
                <w:rFonts w:hint="eastAsia"/>
              </w:rPr>
              <w:t>0</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pPr>
            <w:r>
              <w:rPr>
                <w:rFonts w:hint="eastAsia"/>
              </w:rPr>
              <w:t>0</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pPr>
            <w:r>
              <w:rPr>
                <w:rFonts w:hint="eastAsia"/>
              </w:rPr>
              <w:t>0</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pPr>
            <w:r>
              <w:rPr>
                <w:rFonts w:hint="eastAsia"/>
              </w:rPr>
              <w:t>0</w:t>
            </w:r>
          </w:p>
        </w:tc>
        <w:tc>
          <w:tcPr>
            <w:tcW w:w="689" w:type="dxa"/>
            <w:tcBorders>
              <w:top w:val="nil"/>
              <w:left w:val="nil"/>
              <w:bottom w:val="outset" w:color="auto" w:sz="8" w:space="0"/>
              <w:right w:val="single" w:color="auto" w:sz="8" w:space="0"/>
            </w:tcBorders>
            <w:tcMar>
              <w:left w:w="57" w:type="dxa"/>
              <w:right w:w="57" w:type="dxa"/>
            </w:tcMar>
          </w:tcPr>
          <w:p>
            <w:pPr>
              <w:widowControl/>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restart"/>
            <w:tcBorders>
              <w:top w:val="outset" w:color="auto" w:sz="8" w:space="0"/>
              <w:left w:val="nil"/>
              <w:bottom w:val="outset"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rPr>
              <w:t>（六）其他处理</w:t>
            </w:r>
          </w:p>
        </w:tc>
        <w:tc>
          <w:tcPr>
            <w:tcW w:w="3220" w:type="dxa"/>
            <w:tcBorders>
              <w:top w:val="nil"/>
              <w:left w:val="nil"/>
              <w:bottom w:val="single" w:color="auto" w:sz="8" w:space="0"/>
              <w:right w:val="single" w:color="auto" w:sz="8" w:space="0"/>
            </w:tcBorders>
            <w:shd w:val="clear" w:color="auto" w:fill="DDEBF7"/>
            <w:tcMar>
              <w:left w:w="57" w:type="dxa"/>
              <w:right w:w="57" w:type="dxa"/>
            </w:tcMar>
            <w:vAlign w:val="center"/>
          </w:tcPr>
          <w:p>
            <w:pPr>
              <w:widowControl/>
            </w:pPr>
            <w:r>
              <w:rPr>
                <w:rFonts w:hint="eastAsia" w:ascii="宋体" w:hAnsi="宋体" w:cs="宋体"/>
                <w:kern w:val="0"/>
                <w:sz w:val="20"/>
                <w:szCs w:val="20"/>
              </w:rPr>
              <w:t>1.申请人无正当理由逾期不补正、行政机关不再处理其政府信息公开申请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c>
          <w:tcPr>
            <w:tcW w:w="689" w:type="dxa"/>
            <w:tcBorders>
              <w:top w:val="nil"/>
              <w:left w:val="nil"/>
              <w:bottom w:val="single" w:color="auto" w:sz="8" w:space="0"/>
              <w:right w:val="single" w:color="auto" w:sz="8" w:space="0"/>
            </w:tcBorders>
            <w:tcMar>
              <w:left w:w="57" w:type="dxa"/>
              <w:right w:w="57" w:type="dxa"/>
            </w:tcMar>
          </w:tcPr>
          <w:p>
            <w:pPr>
              <w:widowControl/>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outset" w:color="auto" w:sz="8" w:space="0"/>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center"/>
          </w:tcPr>
          <w:p>
            <w:pPr>
              <w:widowControl/>
            </w:pPr>
            <w:r>
              <w:rPr>
                <w:rFonts w:hint="eastAsia" w:ascii="宋体" w:hAnsi="宋体" w:cs="宋体"/>
                <w:kern w:val="0"/>
                <w:sz w:val="20"/>
                <w:szCs w:val="20"/>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c>
          <w:tcPr>
            <w:tcW w:w="689" w:type="dxa"/>
            <w:tcBorders>
              <w:top w:val="nil"/>
              <w:left w:val="nil"/>
              <w:bottom w:val="single" w:color="auto" w:sz="8" w:space="0"/>
              <w:right w:val="single" w:color="auto" w:sz="8" w:space="0"/>
            </w:tcBorders>
            <w:tcMar>
              <w:left w:w="57" w:type="dxa"/>
              <w:right w:w="57" w:type="dxa"/>
            </w:tcMar>
          </w:tcPr>
          <w:p>
            <w:pPr>
              <w:widowControl/>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outset" w:color="auto" w:sz="8" w:space="0"/>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rPr>
              <w:t>3.其他</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3</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c>
          <w:tcPr>
            <w:tcW w:w="689" w:type="dxa"/>
            <w:tcBorders>
              <w:top w:val="nil"/>
              <w:left w:val="nil"/>
              <w:bottom w:val="single" w:color="auto" w:sz="8" w:space="0"/>
              <w:right w:val="single" w:color="auto" w:sz="8" w:space="0"/>
            </w:tcBorders>
            <w:tcMar>
              <w:left w:w="57" w:type="dxa"/>
              <w:right w:w="57" w:type="dxa"/>
            </w:tcMar>
          </w:tcPr>
          <w:p>
            <w:pPr>
              <w:widowControl/>
              <w:jc w:val="center"/>
            </w:pPr>
            <w:r>
              <w:rPr>
                <w:rFonts w:hint="eastAsia"/>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4163" w:type="dxa"/>
            <w:gridSpan w:val="2"/>
            <w:tcBorders>
              <w:top w:val="nil"/>
              <w:left w:val="nil"/>
              <w:bottom w:val="single"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rPr>
              <w:t>（七）总计</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61</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2</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c>
          <w:tcPr>
            <w:tcW w:w="689"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63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kern w:val="0"/>
                <w:sz w:val="20"/>
                <w:szCs w:val="20"/>
              </w:rPr>
              <w:t>四、结转下年度继续办理</w:t>
            </w:r>
          </w:p>
        </w:tc>
        <w:tc>
          <w:tcPr>
            <w:tcW w:w="688" w:type="dxa"/>
            <w:tcBorders>
              <w:top w:val="outset" w:color="auto" w:sz="6" w:space="0"/>
              <w:left w:val="nil"/>
              <w:bottom w:val="outset" w:color="auto" w:sz="6" w:space="0"/>
              <w:right w:val="outset" w:color="auto" w:sz="6" w:space="0"/>
            </w:tcBorders>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8" w:type="dxa"/>
            <w:tcBorders>
              <w:top w:val="outset" w:color="auto" w:sz="6" w:space="0"/>
              <w:left w:val="nil"/>
              <w:bottom w:val="outset" w:color="auto" w:sz="6" w:space="0"/>
              <w:right w:val="outset" w:color="auto" w:sz="6" w:space="0"/>
            </w:tcBorders>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8" w:type="dxa"/>
            <w:tcBorders>
              <w:top w:val="outset" w:color="auto" w:sz="6" w:space="0"/>
              <w:left w:val="nil"/>
              <w:bottom w:val="outset" w:color="auto" w:sz="6" w:space="0"/>
              <w:right w:val="outset" w:color="auto" w:sz="6" w:space="0"/>
            </w:tcBorders>
            <w:vAlign w:val="center"/>
          </w:tcPr>
          <w:p>
            <w:pPr>
              <w:widowControl/>
              <w:jc w:val="center"/>
            </w:pPr>
            <w:r>
              <w:rPr>
                <w:rFonts w:hint="eastAsia"/>
              </w:rPr>
              <w:t>0</w:t>
            </w:r>
          </w:p>
        </w:tc>
        <w:tc>
          <w:tcPr>
            <w:tcW w:w="688" w:type="dxa"/>
            <w:tcBorders>
              <w:top w:val="outset" w:color="auto" w:sz="6" w:space="0"/>
              <w:left w:val="nil"/>
              <w:bottom w:val="outset" w:color="auto" w:sz="6" w:space="0"/>
              <w:right w:val="outset" w:color="auto" w:sz="6" w:space="0"/>
            </w:tcBorders>
            <w:vAlign w:val="center"/>
          </w:tcPr>
          <w:p>
            <w:pPr>
              <w:widowControl/>
              <w:jc w:val="center"/>
            </w:pPr>
            <w:r>
              <w:rPr>
                <w:rFonts w:hint="eastAsia"/>
              </w:rPr>
              <w:t>0</w:t>
            </w:r>
          </w:p>
        </w:tc>
        <w:tc>
          <w:tcPr>
            <w:tcW w:w="688" w:type="dxa"/>
            <w:tcBorders>
              <w:top w:val="outset" w:color="auto" w:sz="6" w:space="0"/>
              <w:left w:val="nil"/>
              <w:bottom w:val="outset" w:color="auto" w:sz="6" w:space="0"/>
              <w:right w:val="outset" w:color="auto" w:sz="6" w:space="0"/>
            </w:tcBorders>
            <w:vAlign w:val="center"/>
          </w:tcPr>
          <w:p>
            <w:pPr>
              <w:widowControl/>
              <w:jc w:val="center"/>
            </w:pPr>
            <w:r>
              <w:rPr>
                <w:rFonts w:hint="eastAsia"/>
              </w:rPr>
              <w:t>0</w:t>
            </w:r>
          </w:p>
        </w:tc>
        <w:tc>
          <w:tcPr>
            <w:tcW w:w="688" w:type="dxa"/>
            <w:tcBorders>
              <w:top w:val="outset" w:color="auto" w:sz="6" w:space="0"/>
              <w:left w:val="nil"/>
              <w:bottom w:val="outset" w:color="auto" w:sz="6" w:space="0"/>
              <w:right w:val="outset" w:color="auto" w:sz="6" w:space="0"/>
            </w:tcBorders>
            <w:vAlign w:val="center"/>
          </w:tcPr>
          <w:p>
            <w:pPr>
              <w:widowControl/>
              <w:jc w:val="center"/>
            </w:pPr>
            <w:r>
              <w:rPr>
                <w:rFonts w:hint="eastAsia"/>
              </w:rPr>
              <w:t>0</w:t>
            </w:r>
          </w:p>
        </w:tc>
        <w:tc>
          <w:tcPr>
            <w:tcW w:w="689" w:type="dxa"/>
            <w:tcBorders>
              <w:top w:val="outset" w:color="auto" w:sz="6" w:space="0"/>
              <w:left w:val="nil"/>
              <w:bottom w:val="outset" w:color="auto" w:sz="6" w:space="0"/>
              <w:right w:val="outset" w:color="auto" w:sz="6" w:space="0"/>
            </w:tcBorders>
            <w:vAlign w:val="center"/>
          </w:tcPr>
          <w:p>
            <w:pPr>
              <w:widowControl/>
              <w:jc w:val="center"/>
            </w:pPr>
            <w:r>
              <w:rPr>
                <w:rFonts w:hint="eastAsia"/>
              </w:rPr>
              <w:t>0</w:t>
            </w:r>
          </w:p>
        </w:tc>
      </w:tr>
    </w:tbl>
    <w:p>
      <w:pPr>
        <w:pStyle w:val="2"/>
        <w:ind w:left="420" w:leftChars="200"/>
      </w:pPr>
    </w:p>
    <w:p>
      <w:pPr>
        <w:pStyle w:val="2"/>
        <w:ind w:left="420" w:leftChars="200"/>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四、政府信息公开行政复议、行政诉讼情况</w:t>
      </w:r>
    </w:p>
    <w:p>
      <w:pPr>
        <w:widowControl/>
        <w:jc w:val="center"/>
      </w:pPr>
    </w:p>
    <w:tbl>
      <w:tblPr>
        <w:tblStyle w:val="6"/>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7" w:hRule="atLeast"/>
          <w:jc w:val="center"/>
        </w:trPr>
        <w:tc>
          <w:tcPr>
            <w:tcW w:w="3245" w:type="dxa"/>
            <w:gridSpan w:val="5"/>
            <w:tcBorders>
              <w:top w:val="single" w:color="auto" w:sz="8" w:space="0"/>
              <w:left w:val="single" w:color="auto" w:sz="8" w:space="0"/>
              <w:bottom w:val="single" w:color="auto" w:sz="8" w:space="0"/>
              <w:right w:val="single" w:color="auto" w:sz="8" w:space="0"/>
            </w:tcBorders>
            <w:shd w:val="clear" w:color="auto" w:fill="BDD7EE"/>
            <w:tcMar>
              <w:left w:w="108" w:type="dxa"/>
              <w:right w:w="108" w:type="dxa"/>
            </w:tcMar>
            <w:vAlign w:val="center"/>
          </w:tcPr>
          <w:p>
            <w:pPr>
              <w:widowControl/>
              <w:jc w:val="center"/>
            </w:pPr>
            <w:r>
              <w:rPr>
                <w:rFonts w:hint="eastAsia" w:ascii="宋体" w:hAnsi="宋体" w:cs="宋体"/>
                <w:kern w:val="0"/>
                <w:sz w:val="20"/>
                <w:szCs w:val="20"/>
              </w:rPr>
              <w:t>行政复议</w:t>
            </w:r>
          </w:p>
        </w:tc>
        <w:tc>
          <w:tcPr>
            <w:tcW w:w="6503" w:type="dxa"/>
            <w:gridSpan w:val="10"/>
            <w:tcBorders>
              <w:top w:val="single" w:color="auto" w:sz="8" w:space="0"/>
              <w:left w:val="single" w:color="auto" w:sz="8" w:space="0"/>
              <w:bottom w:val="single" w:color="auto" w:sz="8" w:space="0"/>
              <w:right w:val="single" w:color="auto" w:sz="8" w:space="0"/>
            </w:tcBorders>
            <w:shd w:val="clear" w:color="auto" w:fill="BDD7EE"/>
            <w:tcMar>
              <w:left w:w="108" w:type="dxa"/>
              <w:right w:w="108" w:type="dxa"/>
            </w:tcMar>
            <w:vAlign w:val="center"/>
          </w:tcPr>
          <w:p>
            <w:pPr>
              <w:widowControl/>
              <w:jc w:val="center"/>
            </w:pPr>
            <w:r>
              <w:rPr>
                <w:rFonts w:hint="eastAsia" w:ascii="宋体" w:hAnsi="宋体" w:cs="宋体"/>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82" w:hRule="atLeast"/>
          <w:jc w:val="center"/>
        </w:trPr>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cs="宋体"/>
                <w:kern w:val="0"/>
                <w:sz w:val="20"/>
                <w:szCs w:val="20"/>
              </w:rPr>
              <w:t>结果维持</w:t>
            </w:r>
          </w:p>
        </w:tc>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cs="宋体"/>
                <w:kern w:val="0"/>
                <w:sz w:val="20"/>
                <w:szCs w:val="20"/>
              </w:rPr>
              <w:t>结果</w:t>
            </w:r>
            <w:r>
              <w:rPr>
                <w:rFonts w:hint="eastAsia" w:ascii="宋体" w:hAnsi="宋体" w:cs="宋体"/>
                <w:kern w:val="0"/>
                <w:sz w:val="20"/>
                <w:szCs w:val="20"/>
              </w:rPr>
              <w:br w:type="textWrapping"/>
            </w:r>
            <w:r>
              <w:rPr>
                <w:rFonts w:hint="eastAsia" w:ascii="宋体" w:hAnsi="宋体" w:cs="宋体"/>
                <w:kern w:val="0"/>
                <w:sz w:val="20"/>
                <w:szCs w:val="20"/>
              </w:rPr>
              <w:t>纠正</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cs="宋体"/>
                <w:kern w:val="0"/>
                <w:sz w:val="20"/>
                <w:szCs w:val="20"/>
              </w:rPr>
              <w:t>其他</w:t>
            </w:r>
            <w:r>
              <w:rPr>
                <w:rFonts w:hint="eastAsia" w:ascii="宋体" w:hAnsi="宋体" w:cs="宋体"/>
                <w:kern w:val="0"/>
                <w:sz w:val="20"/>
                <w:szCs w:val="20"/>
              </w:rPr>
              <w:br w:type="textWrapping"/>
            </w:r>
            <w:r>
              <w:rPr>
                <w:rFonts w:hint="eastAsia" w:ascii="宋体" w:hAnsi="宋体" w:cs="宋体"/>
                <w:kern w:val="0"/>
                <w:sz w:val="20"/>
                <w:szCs w:val="20"/>
              </w:rPr>
              <w:t>结果</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cs="宋体"/>
                <w:kern w:val="0"/>
                <w:sz w:val="20"/>
                <w:szCs w:val="20"/>
              </w:rPr>
              <w:t>尚未</w:t>
            </w:r>
            <w:r>
              <w:rPr>
                <w:rFonts w:hint="eastAsia" w:ascii="宋体" w:hAnsi="宋体" w:cs="宋体"/>
                <w:kern w:val="0"/>
                <w:sz w:val="20"/>
                <w:szCs w:val="20"/>
              </w:rPr>
              <w:br w:type="textWrapping"/>
            </w:r>
            <w:r>
              <w:rPr>
                <w:rFonts w:hint="eastAsia" w:ascii="宋体" w:hAnsi="宋体" w:cs="宋体"/>
                <w:kern w:val="0"/>
                <w:sz w:val="20"/>
                <w:szCs w:val="20"/>
              </w:rPr>
              <w:t>审结</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cs="宋体"/>
                <w:kern w:val="0"/>
                <w:sz w:val="20"/>
                <w:szCs w:val="20"/>
              </w:rPr>
              <w:t>总计</w:t>
            </w:r>
          </w:p>
        </w:tc>
        <w:tc>
          <w:tcPr>
            <w:tcW w:w="3248" w:type="dxa"/>
            <w:gridSpan w:val="5"/>
            <w:tcBorders>
              <w:top w:val="single" w:color="auto" w:sz="8" w:space="0"/>
              <w:left w:val="single" w:color="auto" w:sz="8" w:space="0"/>
              <w:bottom w:val="single" w:color="auto" w:sz="8" w:space="0"/>
              <w:right w:val="single" w:color="auto" w:sz="8" w:space="0"/>
            </w:tcBorders>
            <w:shd w:val="clear" w:color="auto" w:fill="DDEBF7"/>
            <w:tcMar>
              <w:left w:w="108" w:type="dxa"/>
              <w:right w:w="108" w:type="dxa"/>
            </w:tcMar>
            <w:vAlign w:val="center"/>
          </w:tcPr>
          <w:p>
            <w:pPr>
              <w:widowControl/>
              <w:jc w:val="center"/>
            </w:pPr>
            <w:r>
              <w:rPr>
                <w:rFonts w:hint="eastAsia" w:ascii="宋体" w:hAnsi="宋体" w:cs="宋体"/>
                <w:kern w:val="0"/>
                <w:sz w:val="20"/>
                <w:szCs w:val="20"/>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shd w:val="clear" w:color="auto" w:fill="DDEBF7"/>
            <w:tcMar>
              <w:left w:w="108" w:type="dxa"/>
              <w:right w:w="108" w:type="dxa"/>
            </w:tcMar>
            <w:vAlign w:val="center"/>
          </w:tcPr>
          <w:p>
            <w:pPr>
              <w:widowControl/>
              <w:jc w:val="center"/>
            </w:pPr>
            <w:r>
              <w:rPr>
                <w:rFonts w:hint="eastAsia" w:ascii="宋体" w:hAnsi="宋体" w:cs="宋体"/>
                <w:kern w:val="0"/>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14" w:hRule="atLeast"/>
          <w:jc w:val="center"/>
        </w:trPr>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rPr>
              <w:t>结果</w:t>
            </w:r>
            <w:r>
              <w:rPr>
                <w:rFonts w:hint="eastAsia" w:ascii="宋体" w:hAnsi="宋体" w:cs="宋体"/>
                <w:kern w:val="0"/>
                <w:sz w:val="20"/>
                <w:szCs w:val="20"/>
              </w:rPr>
              <w:br w:type="textWrapping"/>
            </w:r>
            <w:r>
              <w:rPr>
                <w:rFonts w:hint="eastAsia" w:ascii="宋体" w:hAnsi="宋体" w:cs="宋体"/>
                <w:kern w:val="0"/>
                <w:sz w:val="20"/>
                <w:szCs w:val="20"/>
              </w:rPr>
              <w:t>维持</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rPr>
              <w:t>结果</w:t>
            </w:r>
            <w:r>
              <w:rPr>
                <w:rFonts w:hint="eastAsia" w:ascii="宋体" w:hAnsi="宋体" w:cs="宋体"/>
                <w:kern w:val="0"/>
                <w:sz w:val="20"/>
                <w:szCs w:val="20"/>
              </w:rPr>
              <w:br w:type="textWrapping"/>
            </w:r>
            <w:r>
              <w:rPr>
                <w:rFonts w:hint="eastAsia" w:ascii="宋体" w:hAnsi="宋体" w:cs="宋体"/>
                <w:kern w:val="0"/>
                <w:sz w:val="20"/>
                <w:szCs w:val="20"/>
              </w:rPr>
              <w:t>纠正</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rPr>
              <w:t>其他</w:t>
            </w:r>
            <w:r>
              <w:rPr>
                <w:rFonts w:hint="eastAsia" w:ascii="宋体" w:hAnsi="宋体" w:cs="宋体"/>
                <w:kern w:val="0"/>
                <w:sz w:val="20"/>
                <w:szCs w:val="20"/>
              </w:rPr>
              <w:br w:type="textWrapping"/>
            </w:r>
            <w:r>
              <w:rPr>
                <w:rFonts w:hint="eastAsia" w:ascii="宋体" w:hAnsi="宋体" w:cs="宋体"/>
                <w:kern w:val="0"/>
                <w:sz w:val="20"/>
                <w:szCs w:val="20"/>
              </w:rPr>
              <w:t>结果</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rPr>
              <w:t>尚未</w:t>
            </w:r>
            <w:r>
              <w:rPr>
                <w:rFonts w:hint="eastAsia" w:ascii="宋体" w:hAnsi="宋体" w:cs="宋体"/>
                <w:kern w:val="0"/>
                <w:sz w:val="20"/>
                <w:szCs w:val="20"/>
              </w:rPr>
              <w:br w:type="textWrapping"/>
            </w:r>
            <w:r>
              <w:rPr>
                <w:rFonts w:hint="eastAsia" w:ascii="宋体" w:hAnsi="宋体" w:cs="宋体"/>
                <w:kern w:val="0"/>
                <w:sz w:val="20"/>
                <w:szCs w:val="20"/>
              </w:rPr>
              <w:t>审结</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color w:val="000000"/>
                <w:kern w:val="0"/>
                <w:sz w:val="20"/>
                <w:szCs w:val="20"/>
              </w:rPr>
              <w:t>总计</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rPr>
              <w:t>结果</w:t>
            </w:r>
            <w:r>
              <w:rPr>
                <w:rFonts w:hint="eastAsia" w:ascii="宋体" w:hAnsi="宋体" w:cs="宋体"/>
                <w:kern w:val="0"/>
                <w:sz w:val="20"/>
                <w:szCs w:val="20"/>
              </w:rPr>
              <w:br w:type="textWrapping"/>
            </w:r>
            <w:r>
              <w:rPr>
                <w:rFonts w:hint="eastAsia" w:ascii="宋体" w:hAnsi="宋体" w:cs="宋体"/>
                <w:kern w:val="0"/>
                <w:sz w:val="20"/>
                <w:szCs w:val="20"/>
              </w:rPr>
              <w:t>维持</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rPr>
              <w:t>结果</w:t>
            </w:r>
            <w:r>
              <w:rPr>
                <w:rFonts w:hint="eastAsia" w:ascii="宋体" w:hAnsi="宋体" w:cs="宋体"/>
                <w:kern w:val="0"/>
                <w:sz w:val="20"/>
                <w:szCs w:val="20"/>
              </w:rPr>
              <w:br w:type="textWrapping"/>
            </w:r>
            <w:r>
              <w:rPr>
                <w:rFonts w:hint="eastAsia" w:ascii="宋体" w:hAnsi="宋体" w:cs="宋体"/>
                <w:kern w:val="0"/>
                <w:sz w:val="20"/>
                <w:szCs w:val="20"/>
              </w:rPr>
              <w:t>纠正</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color w:val="000000"/>
                <w:kern w:val="0"/>
                <w:sz w:val="20"/>
                <w:szCs w:val="20"/>
              </w:rPr>
              <w:t>其他</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结果</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rPr>
              <w:t>尚未</w:t>
            </w:r>
            <w:r>
              <w:rPr>
                <w:rFonts w:hint="eastAsia" w:ascii="宋体" w:hAnsi="宋体" w:cs="宋体"/>
                <w:kern w:val="0"/>
                <w:sz w:val="20"/>
                <w:szCs w:val="20"/>
              </w:rPr>
              <w:br w:type="textWrapping"/>
            </w:r>
            <w:r>
              <w:rPr>
                <w:rFonts w:hint="eastAsia" w:ascii="宋体" w:hAnsi="宋体" w:cs="宋体"/>
                <w:kern w:val="0"/>
                <w:sz w:val="20"/>
                <w:szCs w:val="20"/>
              </w:rPr>
              <w:t>审结</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color w:val="000000"/>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黑体" w:hAnsi="宋体" w:eastAsia="黑体" w:cs="黑体"/>
                <w:kern w:val="0"/>
                <w:sz w:val="20"/>
                <w:szCs w:val="20"/>
              </w:rPr>
              <w:t>2</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黑体" w:hAnsi="宋体" w:eastAsia="黑体" w:cs="黑体"/>
                <w:kern w:val="0"/>
                <w:sz w:val="20"/>
                <w:szCs w:val="20"/>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黑体" w:hAnsi="宋体" w:eastAsia="黑体" w:cs="黑体"/>
                <w:kern w:val="0"/>
                <w:sz w:val="20"/>
                <w:szCs w:val="20"/>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黑体" w:hAnsi="宋体" w:eastAsia="黑体" w:cs="黑体"/>
                <w:kern w:val="0"/>
                <w:sz w:val="20"/>
                <w:szCs w:val="20"/>
              </w:rPr>
              <w:t>2</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黑体" w:hAnsi="宋体" w:eastAsia="黑体" w:cs="黑体"/>
                <w:kern w:val="0"/>
                <w:sz w:val="20"/>
                <w:szCs w:val="20"/>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黑体" w:hAnsi="宋体" w:eastAsia="黑体" w:cs="黑体"/>
                <w:kern w:val="0"/>
                <w:sz w:val="20"/>
                <w:szCs w:val="20"/>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黑体" w:hAnsi="宋体" w:eastAsia="黑体" w:cs="黑体"/>
                <w:kern w:val="0"/>
                <w:sz w:val="20"/>
                <w:szCs w:val="20"/>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黑体" w:hAnsi="宋体" w:eastAsia="黑体" w:cs="黑体"/>
                <w:kern w:val="0"/>
                <w:sz w:val="20"/>
                <w:szCs w:val="20"/>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黑体" w:hAnsi="宋体" w:eastAsia="黑体" w:cs="黑体"/>
                <w:kern w:val="0"/>
                <w:sz w:val="20"/>
                <w:szCs w:val="20"/>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黑体" w:hAnsi="宋体" w:eastAsia="黑体" w:cs="黑体"/>
                <w:kern w:val="0"/>
                <w:sz w:val="20"/>
                <w:szCs w:val="20"/>
              </w:rPr>
              <w:t>1</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黑体" w:hAnsi="宋体" w:eastAsia="黑体" w:cs="黑体"/>
                <w:kern w:val="0"/>
                <w:sz w:val="20"/>
                <w:szCs w:val="20"/>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黑体" w:hAnsi="宋体" w:eastAsia="黑体" w:cs="黑体"/>
                <w:kern w:val="0"/>
                <w:sz w:val="20"/>
                <w:szCs w:val="20"/>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黑体" w:hAnsi="宋体" w:eastAsia="黑体" w:cs="黑体"/>
                <w:kern w:val="0"/>
                <w:sz w:val="20"/>
                <w:szCs w:val="20"/>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jc w:val="center"/>
              <w:rPr>
                <w:rFonts w:ascii="宋体"/>
                <w:sz w:val="24"/>
              </w:rPr>
            </w:pPr>
            <w:r>
              <w:rPr>
                <w:rFonts w:hint="eastAsia" w:ascii="宋体"/>
                <w:sz w:val="24"/>
              </w:rPr>
              <w:t>1</w:t>
            </w:r>
          </w:p>
        </w:tc>
      </w:tr>
    </w:tbl>
    <w:p>
      <w:pPr>
        <w:widowControl/>
        <w:jc w:val="left"/>
      </w:pPr>
    </w:p>
    <w:p>
      <w:pPr>
        <w:widowControl/>
        <w:spacing w:line="560" w:lineRule="exact"/>
        <w:ind w:firstLine="672" w:firstLineChars="200"/>
        <w:jc w:val="left"/>
        <w:rPr>
          <w:rFonts w:ascii="宋体" w:hAnsi="宋体" w:cs="宋体"/>
          <w:spacing w:val="8"/>
          <w:kern w:val="0"/>
          <w:sz w:val="24"/>
        </w:rPr>
      </w:pPr>
      <w:r>
        <w:rPr>
          <w:rFonts w:ascii="黑体" w:hAnsi="黑体" w:eastAsia="黑体" w:cs="宋体"/>
          <w:spacing w:val="8"/>
          <w:kern w:val="0"/>
          <w:sz w:val="32"/>
          <w:szCs w:val="32"/>
        </w:rPr>
        <w:t>五、存在的主要问题及改进情况</w:t>
      </w:r>
    </w:p>
    <w:p>
      <w:pPr>
        <w:widowControl/>
        <w:spacing w:line="560" w:lineRule="exact"/>
        <w:ind w:firstLine="672" w:firstLineChars="200"/>
        <w:rPr>
          <w:rFonts w:ascii="仿宋_GB2312" w:hAnsi="宋体" w:eastAsia="仿宋_GB2312" w:cs="宋体"/>
          <w:spacing w:val="8"/>
          <w:kern w:val="0"/>
          <w:sz w:val="32"/>
          <w:szCs w:val="32"/>
        </w:rPr>
      </w:pPr>
      <w:r>
        <w:rPr>
          <w:rFonts w:ascii="仿宋_GB2312" w:hAnsi="宋体" w:eastAsia="仿宋_GB2312" w:cs="宋体"/>
          <w:spacing w:val="8"/>
          <w:kern w:val="0"/>
          <w:sz w:val="32"/>
          <w:szCs w:val="32"/>
        </w:rPr>
        <w:t>我局按照《政府信息公开条例》要求，积极开展政府信息公开各项工作，但因各类申请内容中，</w:t>
      </w:r>
      <w:r>
        <w:rPr>
          <w:rFonts w:hint="eastAsia" w:ascii="仿宋_GB2312" w:hAnsi="宋体" w:eastAsia="仿宋_GB2312" w:cs="宋体"/>
          <w:spacing w:val="8"/>
          <w:kern w:val="0"/>
          <w:sz w:val="32"/>
          <w:szCs w:val="32"/>
        </w:rPr>
        <w:t>呈现部分集中性特点，例如申请的内容集中在投诉举报案件、工商登记材料查询领域，</w:t>
      </w:r>
      <w:r>
        <w:rPr>
          <w:rFonts w:ascii="仿宋_GB2312" w:hAnsi="宋体" w:eastAsia="仿宋_GB2312" w:cs="宋体"/>
          <w:spacing w:val="8"/>
          <w:kern w:val="0"/>
          <w:sz w:val="32"/>
          <w:szCs w:val="32"/>
        </w:rPr>
        <w:t>多数将政府信息公开作为表达诉求、施加压力的途径</w:t>
      </w:r>
      <w:r>
        <w:rPr>
          <w:rFonts w:hint="eastAsia" w:ascii="仿宋_GB2312" w:hAnsi="宋体" w:eastAsia="仿宋_GB2312" w:cs="宋体"/>
          <w:spacing w:val="8"/>
          <w:kern w:val="0"/>
          <w:sz w:val="32"/>
          <w:szCs w:val="32"/>
        </w:rPr>
        <w:t>。针对上述问题，我局重点加强工作人员培训，要求办案人员在办理投诉举报案件过程中，严格把握办理流程，切实履行告知程序，并且在办理具体业务过程及时耐心的解惑答疑，解决群众的诉求，避免再通过申请政府信息公开的方式获取所需要的信息。</w:t>
      </w:r>
    </w:p>
    <w:p>
      <w:pPr>
        <w:widowControl/>
        <w:spacing w:line="560" w:lineRule="exact"/>
        <w:ind w:firstLine="675"/>
        <w:jc w:val="left"/>
        <w:rPr>
          <w:rFonts w:ascii="宋体" w:hAnsi="宋体" w:cs="宋体"/>
          <w:spacing w:val="8"/>
          <w:kern w:val="0"/>
          <w:sz w:val="32"/>
          <w:szCs w:val="32"/>
        </w:rPr>
      </w:pPr>
      <w:r>
        <w:rPr>
          <w:rFonts w:ascii="黑体" w:hAnsi="黑体" w:eastAsia="黑体" w:cs="宋体"/>
          <w:spacing w:val="8"/>
          <w:kern w:val="0"/>
          <w:sz w:val="32"/>
          <w:szCs w:val="32"/>
        </w:rPr>
        <w:t>六、其他需要报告的事项</w:t>
      </w:r>
    </w:p>
    <w:p>
      <w:pPr>
        <w:pStyle w:val="2"/>
        <w:spacing w:line="560" w:lineRule="exact"/>
        <w:ind w:firstLine="672" w:firstLineChars="200"/>
        <w:rPr>
          <w:rFonts w:ascii="仿宋_GB2312" w:hAnsi="宋体" w:eastAsia="仿宋_GB2312" w:cs="宋体"/>
          <w:spacing w:val="8"/>
          <w:kern w:val="0"/>
          <w:sz w:val="32"/>
          <w:szCs w:val="32"/>
        </w:rPr>
      </w:pPr>
      <w:r>
        <w:rPr>
          <w:rFonts w:ascii="仿宋_GB2312" w:hAnsi="宋体" w:eastAsia="仿宋_GB2312" w:cs="宋体"/>
          <w:spacing w:val="8"/>
          <w:kern w:val="0"/>
          <w:sz w:val="32"/>
          <w:szCs w:val="32"/>
        </w:rPr>
        <w:t>我单位发出收费通知的件数和总金额以及实际收取的总金额均为0。</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EC23C59-3195-412B-9F9C-C7A4E3D6D78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20FAFD74-AB22-47E1-A14B-28FDFF7EFC23}"/>
  </w:font>
  <w:font w:name="Courier New">
    <w:panose1 w:val="02070309020205020404"/>
    <w:charset w:val="00"/>
    <w:family w:val="modern"/>
    <w:pitch w:val="default"/>
    <w:sig w:usb0="E0002EFF" w:usb1="C0007843" w:usb2="00000009" w:usb3="00000000" w:csb0="400001FF" w:csb1="FFFF0000"/>
  </w:font>
  <w:font w:name="方正小标宋简体">
    <w:panose1 w:val="02000000000000000000"/>
    <w:charset w:val="86"/>
    <w:family w:val="script"/>
    <w:pitch w:val="default"/>
    <w:sig w:usb0="00000001" w:usb1="08000000" w:usb2="00000000" w:usb3="00000000" w:csb0="00040000" w:csb1="00000000"/>
    <w:embedRegular r:id="rId3" w:fontKey="{B55523CD-84BF-411C-AC73-1063CFD3C79B}"/>
  </w:font>
  <w:font w:name="微软雅黑">
    <w:panose1 w:val="020B0503020204020204"/>
    <w:charset w:val="86"/>
    <w:family w:val="swiss"/>
    <w:pitch w:val="default"/>
    <w:sig w:usb0="80000287" w:usb1="2ACF3C50" w:usb2="00000016" w:usb3="00000000" w:csb0="0004001F" w:csb1="00000000"/>
    <w:embedRegular r:id="rId4" w:fontKey="{AA67A7D9-19A0-4AA8-A938-0CC491D8229E}"/>
  </w:font>
  <w:font w:name="仿宋_GB2312">
    <w:altName w:val="仿宋"/>
    <w:panose1 w:val="02010609030101010101"/>
    <w:charset w:val="86"/>
    <w:family w:val="modern"/>
    <w:pitch w:val="default"/>
    <w:sig w:usb0="00000000" w:usb1="00000000" w:usb2="00000010" w:usb3="00000000" w:csb0="00040000" w:csb1="00000000"/>
    <w:embedRegular r:id="rId5" w:fontKey="{A93F6BA5-6F07-4A7C-A88C-A4EB1EB44050}"/>
  </w:font>
  <w:font w:name="楷体">
    <w:panose1 w:val="02010609060101010101"/>
    <w:charset w:val="86"/>
    <w:family w:val="modern"/>
    <w:pitch w:val="default"/>
    <w:sig w:usb0="800002BF" w:usb1="38CF7CFA" w:usb2="00000016" w:usb3="00000000" w:csb0="00040001" w:csb1="00000000"/>
    <w:embedRegular r:id="rId6" w:fontKey="{ED48EED6-524E-4C35-A192-ED25FA931FFA}"/>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FBF937"/>
    <w:multiLevelType w:val="singleLevel"/>
    <w:tmpl w:val="F8FBF93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WFmODEzMjhjYzAyOGQ2M2M1OWQ1ODAyZTg4N2UwN2UifQ=="/>
  </w:docVars>
  <w:rsids>
    <w:rsidRoot w:val="009B4A20"/>
    <w:rsid w:val="000724CA"/>
    <w:rsid w:val="00075AB1"/>
    <w:rsid w:val="000F399A"/>
    <w:rsid w:val="001170C0"/>
    <w:rsid w:val="001A5D10"/>
    <w:rsid w:val="001C499A"/>
    <w:rsid w:val="001E3780"/>
    <w:rsid w:val="001F262D"/>
    <w:rsid w:val="00202C6B"/>
    <w:rsid w:val="00261577"/>
    <w:rsid w:val="00287F6A"/>
    <w:rsid w:val="002A71A4"/>
    <w:rsid w:val="002E6D86"/>
    <w:rsid w:val="0030660B"/>
    <w:rsid w:val="00351FC6"/>
    <w:rsid w:val="00395740"/>
    <w:rsid w:val="003B2A1A"/>
    <w:rsid w:val="003F51D5"/>
    <w:rsid w:val="004641C2"/>
    <w:rsid w:val="005C03AD"/>
    <w:rsid w:val="005D7663"/>
    <w:rsid w:val="005E0F8E"/>
    <w:rsid w:val="00720971"/>
    <w:rsid w:val="0074231E"/>
    <w:rsid w:val="00774628"/>
    <w:rsid w:val="00823270"/>
    <w:rsid w:val="00836ECF"/>
    <w:rsid w:val="008A4F92"/>
    <w:rsid w:val="008B6A2C"/>
    <w:rsid w:val="009B4A20"/>
    <w:rsid w:val="009E28A9"/>
    <w:rsid w:val="009F502F"/>
    <w:rsid w:val="00A44A2B"/>
    <w:rsid w:val="00AA70C3"/>
    <w:rsid w:val="00AE3F78"/>
    <w:rsid w:val="00B707A0"/>
    <w:rsid w:val="00B70D6F"/>
    <w:rsid w:val="00CA5C3A"/>
    <w:rsid w:val="00CC311D"/>
    <w:rsid w:val="00CF6586"/>
    <w:rsid w:val="00DC6017"/>
    <w:rsid w:val="00E61228"/>
    <w:rsid w:val="00E80EA0"/>
    <w:rsid w:val="00EF1681"/>
    <w:rsid w:val="00F31A3B"/>
    <w:rsid w:val="00F52B79"/>
    <w:rsid w:val="00F672F0"/>
    <w:rsid w:val="00FB0854"/>
    <w:rsid w:val="7D9D6E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0"/>
    <w:qFormat/>
    <w:uiPriority w:val="0"/>
    <w:rPr>
      <w:rFonts w:ascii="宋体" w:hAnsi="Courier New"/>
    </w:rPr>
  </w:style>
  <w:style w:type="paragraph" w:styleId="3">
    <w:name w:val="footer"/>
    <w:basedOn w:val="1"/>
    <w:link w:val="9"/>
    <w:semiHidden/>
    <w:unhideWhenUsed/>
    <w:uiPriority w:val="99"/>
    <w:pPr>
      <w:tabs>
        <w:tab w:val="center" w:pos="4153"/>
        <w:tab w:val="right" w:pos="8306"/>
      </w:tabs>
      <w:snapToGrid w:val="0"/>
      <w:jc w:val="left"/>
    </w:pPr>
    <w:rPr>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spacing w:before="100" w:beforeAutospacing="1" w:after="100" w:afterAutospacing="1"/>
      <w:jc w:val="left"/>
    </w:pPr>
    <w:rPr>
      <w:kern w:val="0"/>
      <w:sz w:val="24"/>
    </w:rPr>
  </w:style>
  <w:style w:type="character" w:customStyle="1" w:styleId="8">
    <w:name w:val="页眉 Char"/>
    <w:basedOn w:val="7"/>
    <w:link w:val="4"/>
    <w:semiHidden/>
    <w:uiPriority w:val="99"/>
    <w:rPr>
      <w:sz w:val="18"/>
      <w:szCs w:val="18"/>
    </w:rPr>
  </w:style>
  <w:style w:type="character" w:customStyle="1" w:styleId="9">
    <w:name w:val="页脚 Char"/>
    <w:basedOn w:val="7"/>
    <w:link w:val="3"/>
    <w:semiHidden/>
    <w:qFormat/>
    <w:uiPriority w:val="99"/>
    <w:rPr>
      <w:sz w:val="18"/>
      <w:szCs w:val="18"/>
    </w:rPr>
  </w:style>
  <w:style w:type="character" w:customStyle="1" w:styleId="10">
    <w:name w:val="纯文本 Char"/>
    <w:basedOn w:val="7"/>
    <w:link w:val="2"/>
    <w:uiPriority w:val="0"/>
    <w:rPr>
      <w:rFonts w:ascii="宋体" w:hAnsi="Courier New" w:eastAsia="宋体" w:cs="Times New Roman"/>
      <w:szCs w:val="24"/>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 Company</Company>
  <Pages>5</Pages>
  <Words>2145</Words>
  <Characters>2220</Characters>
  <Lines>18</Lines>
  <Paragraphs>5</Paragraphs>
  <TotalTime>203</TotalTime>
  <ScaleCrop>false</ScaleCrop>
  <LinksUpToDate>false</LinksUpToDate>
  <CharactersWithSpaces>2232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2023-01-04T03:09:00Z</dcterms:created>
  <dc:creator>市场监督管理局公文</dc:creator>
  <cp:lastModifiedBy>米露露</cp:lastModifiedBy>
  <dcterms:modified xsi:type="dcterms:W3CDTF">2023-03-15T02:47:10Z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CBC9E3DD949346A8B74061E4EDFCF782</vt:lpwstr>
  </property>
</Properties>
</file>