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23" w:rsidRDefault="001C08EC">
      <w:pPr>
        <w:pStyle w:val="1"/>
        <w:tabs>
          <w:tab w:val="left" w:pos="567"/>
        </w:tabs>
        <w:ind w:firstLineChars="0" w:firstLine="0"/>
        <w:rPr>
          <w:rFonts w:ascii="仿宋_GB2312" w:eastAsia="仿宋_GB2312" w:hAnsi="仿宋"/>
          <w:b/>
          <w:bCs/>
          <w:sz w:val="32"/>
          <w:szCs w:val="32"/>
        </w:rPr>
      </w:pPr>
      <w:r>
        <w:rPr>
          <w:rFonts w:ascii="仿宋_GB2312" w:eastAsia="仿宋_GB2312" w:hAnsi="仿宋" w:hint="eastAsia"/>
          <w:b/>
          <w:bCs/>
          <w:sz w:val="32"/>
          <w:szCs w:val="32"/>
        </w:rPr>
        <w:t>附件2：</w:t>
      </w:r>
    </w:p>
    <w:p w:rsidR="00C80423" w:rsidRPr="00F47E02" w:rsidRDefault="001C08EC">
      <w:pPr>
        <w:pStyle w:val="1"/>
        <w:tabs>
          <w:tab w:val="left" w:pos="567"/>
        </w:tabs>
        <w:ind w:firstLineChars="0" w:firstLine="0"/>
        <w:jc w:val="center"/>
        <w:rPr>
          <w:rFonts w:asciiTheme="majorEastAsia" w:eastAsiaTheme="majorEastAsia" w:hAnsiTheme="majorEastAsia" w:cs="仿宋_GB2312"/>
          <w:b/>
          <w:bCs/>
          <w:sz w:val="44"/>
          <w:szCs w:val="44"/>
        </w:rPr>
      </w:pPr>
      <w:proofErr w:type="gramStart"/>
      <w:r w:rsidRPr="00F47E02">
        <w:rPr>
          <w:rFonts w:asciiTheme="majorEastAsia" w:eastAsiaTheme="majorEastAsia" w:hAnsiTheme="majorEastAsia" w:hint="eastAsia"/>
          <w:b/>
          <w:bCs/>
          <w:sz w:val="44"/>
          <w:szCs w:val="44"/>
        </w:rPr>
        <w:t>大兴区</w:t>
      </w:r>
      <w:proofErr w:type="gramEnd"/>
      <w:r w:rsidR="00F47E02" w:rsidRPr="00F47E02">
        <w:rPr>
          <w:rFonts w:asciiTheme="majorEastAsia" w:eastAsiaTheme="majorEastAsia" w:hAnsiTheme="majorEastAsia" w:hint="eastAsia"/>
          <w:b/>
          <w:bCs/>
          <w:sz w:val="44"/>
          <w:szCs w:val="44"/>
        </w:rPr>
        <w:t>绿地·</w:t>
      </w:r>
      <w:proofErr w:type="gramStart"/>
      <w:r w:rsidRPr="00F47E02">
        <w:rPr>
          <w:rFonts w:asciiTheme="majorEastAsia" w:eastAsiaTheme="majorEastAsia" w:hAnsiTheme="majorEastAsia" w:hint="eastAsia"/>
          <w:b/>
          <w:bCs/>
          <w:sz w:val="44"/>
          <w:szCs w:val="44"/>
        </w:rPr>
        <w:t>兴景苑</w:t>
      </w:r>
      <w:proofErr w:type="gramEnd"/>
      <w:r w:rsidRPr="00F47E02">
        <w:rPr>
          <w:rFonts w:asciiTheme="majorEastAsia" w:eastAsiaTheme="majorEastAsia" w:hAnsiTheme="majorEastAsia" w:cs="仿宋_GB2312" w:hint="eastAsia"/>
          <w:b/>
          <w:bCs/>
          <w:sz w:val="44"/>
          <w:szCs w:val="44"/>
        </w:rPr>
        <w:t>共有产权住房</w:t>
      </w:r>
    </w:p>
    <w:p w:rsidR="00C80423" w:rsidRPr="00F47E02" w:rsidRDefault="001C08EC">
      <w:pPr>
        <w:pStyle w:val="1"/>
        <w:tabs>
          <w:tab w:val="left" w:pos="567"/>
        </w:tabs>
        <w:ind w:firstLineChars="0" w:firstLine="0"/>
        <w:jc w:val="center"/>
        <w:rPr>
          <w:rFonts w:asciiTheme="majorEastAsia" w:eastAsiaTheme="majorEastAsia" w:hAnsiTheme="majorEastAsia"/>
          <w:b/>
          <w:bCs/>
          <w:sz w:val="44"/>
          <w:szCs w:val="44"/>
        </w:rPr>
      </w:pPr>
      <w:r w:rsidRPr="00F47E02">
        <w:rPr>
          <w:rFonts w:asciiTheme="majorEastAsia" w:eastAsiaTheme="majorEastAsia" w:hAnsiTheme="majorEastAsia" w:hint="eastAsia"/>
          <w:b/>
          <w:bCs/>
          <w:sz w:val="44"/>
          <w:szCs w:val="44"/>
        </w:rPr>
        <w:t>项目有关情况特别提示</w:t>
      </w:r>
    </w:p>
    <w:p w:rsidR="00C80423" w:rsidRDefault="00C80423">
      <w:pPr>
        <w:spacing w:line="600" w:lineRule="exact"/>
        <w:ind w:firstLineChars="400" w:firstLine="1285"/>
        <w:rPr>
          <w:rFonts w:ascii="仿宋_GB2312" w:eastAsia="仿宋_GB2312" w:hAnsi="仿宋" w:cstheme="minorBidi"/>
          <w:b/>
          <w:sz w:val="32"/>
          <w:szCs w:val="32"/>
        </w:rPr>
      </w:pPr>
      <w:bookmarkStart w:id="0" w:name="_GoBack"/>
      <w:bookmarkEnd w:id="0"/>
    </w:p>
    <w:p w:rsidR="00C80423" w:rsidRDefault="001C08EC">
      <w:pPr>
        <w:numPr>
          <w:ilvl w:val="0"/>
          <w:numId w:val="1"/>
        </w:numPr>
        <w:spacing w:line="6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项目情况</w:t>
      </w:r>
    </w:p>
    <w:p w:rsidR="00F47E02" w:rsidRPr="00F47E02" w:rsidRDefault="00F47E02" w:rsidP="00F47E02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F47E02">
        <w:rPr>
          <w:rFonts w:ascii="仿宋_GB2312" w:eastAsia="仿宋_GB2312" w:hint="eastAsia"/>
          <w:sz w:val="32"/>
          <w:szCs w:val="32"/>
        </w:rPr>
        <w:t>项目地上建筑面积约1.49万平方米，容积率</w:t>
      </w:r>
      <w:r w:rsidRPr="00F47E02">
        <w:rPr>
          <w:rFonts w:ascii="仿宋_GB2312" w:eastAsia="仿宋_GB2312"/>
          <w:sz w:val="32"/>
          <w:szCs w:val="32"/>
        </w:rPr>
        <w:t>2.</w:t>
      </w:r>
      <w:r w:rsidRPr="00F47E02">
        <w:rPr>
          <w:rFonts w:ascii="仿宋_GB2312" w:eastAsia="仿宋_GB2312" w:hint="eastAsia"/>
          <w:sz w:val="32"/>
          <w:szCs w:val="32"/>
        </w:rPr>
        <w:t>8。项目总套数171套，其中，</w:t>
      </w:r>
      <w:proofErr w:type="gramStart"/>
      <w:r w:rsidRPr="00F47E02">
        <w:rPr>
          <w:rFonts w:ascii="仿宋_GB2312" w:eastAsia="仿宋_GB2312" w:hint="eastAsia"/>
          <w:sz w:val="32"/>
          <w:szCs w:val="32"/>
        </w:rPr>
        <w:t>一</w:t>
      </w:r>
      <w:proofErr w:type="gramEnd"/>
      <w:r w:rsidRPr="00F47E02">
        <w:rPr>
          <w:rFonts w:ascii="仿宋_GB2312" w:eastAsia="仿宋_GB2312" w:hint="eastAsia"/>
          <w:sz w:val="32"/>
          <w:szCs w:val="32"/>
        </w:rPr>
        <w:t>居室16套，建筑面积约67-88平方米；两居室155套，建筑面积约87-89平方米。</w:t>
      </w:r>
      <w:r w:rsidRPr="00F47E02">
        <w:rPr>
          <w:rFonts w:ascii="仿宋_GB2312" w:eastAsia="仿宋_GB2312" w:hAnsi="仿宋_GB2312" w:cs="仿宋_GB2312" w:hint="eastAsia"/>
          <w:sz w:val="32"/>
          <w:szCs w:val="32"/>
        </w:rPr>
        <w:t>销售均价17500元/平方米（根据具体楼层、朝向在±5%的范围内调整销售价格），毛坯交房。</w:t>
      </w:r>
    </w:p>
    <w:p w:rsidR="00C80423" w:rsidRDefault="001C08EC" w:rsidP="00F47E02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(</w:t>
      </w:r>
      <w:r w:rsidR="00F47E02">
        <w:rPr>
          <w:rFonts w:ascii="仿宋_GB2312" w:eastAsia="仿宋_GB2312" w:hAnsi="仿宋_GB2312" w:cs="仿宋_GB2312" w:hint="eastAsia"/>
          <w:sz w:val="32"/>
          <w:szCs w:val="32"/>
        </w:rPr>
        <w:t>二）周边配套</w:t>
      </w:r>
    </w:p>
    <w:p w:rsidR="00F47E02" w:rsidRDefault="001C08EC">
      <w:pPr>
        <w:spacing w:line="360" w:lineRule="auto"/>
        <w:ind w:leftChars="304" w:left="638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医院：中国中医科学院广安门医院南区门诊，中国中医</w:t>
      </w:r>
    </w:p>
    <w:p w:rsidR="00C80423" w:rsidRDefault="001C08EC" w:rsidP="00F47E02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科学院广安门医院(南区)，北京市仁和医院。</w:t>
      </w:r>
    </w:p>
    <w:p w:rsidR="00C80423" w:rsidRDefault="001C08EC">
      <w:pPr>
        <w:spacing w:line="360" w:lineRule="auto"/>
        <w:ind w:firstLineChars="200" w:firstLine="640"/>
        <w:rPr>
          <w:rFonts w:ascii="仿宋_GB2312" w:eastAsia="仿宋_GB2312" w:hAnsi="仿宋_GB2312" w:cs="仿宋_GB2312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学校：黄村镇第一中心小学，红太阳幼儿园(清源路)。</w:t>
      </w:r>
    </w:p>
    <w:p w:rsidR="00F47E02" w:rsidRDefault="001C08EC">
      <w:pPr>
        <w:spacing w:line="360" w:lineRule="auto"/>
        <w:ind w:leftChars="304" w:left="638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超市：乐购，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世纪华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联、家家吉利超市、世纪鸿利达超</w:t>
      </w:r>
    </w:p>
    <w:p w:rsidR="00C80423" w:rsidRDefault="001C08EC" w:rsidP="00F47E02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市等。</w:t>
      </w:r>
    </w:p>
    <w:p w:rsidR="00F47E02" w:rsidRDefault="001C08EC">
      <w:pPr>
        <w:spacing w:line="360" w:lineRule="auto"/>
        <w:ind w:leftChars="304" w:left="638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银行：北京市农村商业银行、中国工商银行、中国建设</w:t>
      </w:r>
    </w:p>
    <w:p w:rsidR="00C80423" w:rsidRDefault="001C08EC" w:rsidP="00F47E02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银行、中国农业银行等。  </w:t>
      </w:r>
    </w:p>
    <w:p w:rsidR="00C80423" w:rsidRPr="003212C9" w:rsidRDefault="001C08EC" w:rsidP="003212C9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娱乐： 黄村公园，枣林公园，兴城广场，康庄公园。</w:t>
      </w:r>
    </w:p>
    <w:p w:rsidR="00C80423" w:rsidRDefault="001C08EC" w:rsidP="00F47E02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（三）周边可能存在的不利环境因素</w:t>
      </w:r>
    </w:p>
    <w:p w:rsidR="00C80423" w:rsidRDefault="003232ED" w:rsidP="003232ED">
      <w:pPr>
        <w:pStyle w:val="2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 w:rsidR="001C08EC">
        <w:rPr>
          <w:rFonts w:ascii="仿宋_GB2312" w:eastAsia="仿宋_GB2312" w:hAnsi="仿宋_GB2312" w:cs="仿宋_GB2312" w:hint="eastAsia"/>
          <w:sz w:val="32"/>
          <w:szCs w:val="32"/>
        </w:rPr>
        <w:t>本楼栋东侧为新凤河，后期可能有异味等影响。</w:t>
      </w:r>
    </w:p>
    <w:p w:rsidR="00C80423" w:rsidRDefault="003232ED" w:rsidP="003232ED">
      <w:pPr>
        <w:pStyle w:val="2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 w:rsidR="001C08EC">
        <w:rPr>
          <w:rFonts w:ascii="仿宋_GB2312" w:eastAsia="仿宋_GB2312" w:hAnsi="仿宋_GB2312" w:cs="仿宋_GB2312" w:hint="eastAsia"/>
          <w:sz w:val="32"/>
          <w:szCs w:val="32"/>
        </w:rPr>
        <w:t>本楼栋东侧为新凤河，后期因河道治理可能有噪音等影响。</w:t>
      </w:r>
    </w:p>
    <w:p w:rsidR="00C80423" w:rsidRDefault="001C08EC" w:rsidP="00FD55F7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3.本楼栋东侧为市政道路，后期可能有车行噪音等影响。</w:t>
      </w:r>
    </w:p>
    <w:p w:rsidR="00C80423" w:rsidRDefault="001C08EC" w:rsidP="00FD55F7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4.本楼栋西北侧为地下车库出入口，后期可能有噪音等影响。</w:t>
      </w:r>
    </w:p>
    <w:p w:rsidR="00C80423" w:rsidRDefault="001C08EC" w:rsidP="00FD55F7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5.本楼栋西侧为配建自行车坡道，后期可能因人员活动产生噪音等影响。</w:t>
      </w:r>
    </w:p>
    <w:p w:rsidR="00C80423" w:rsidRDefault="001C08EC" w:rsidP="00FD55F7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6.本楼栋西侧为活动场地，后期可能因人员活动产生噪音等影响。</w:t>
      </w:r>
    </w:p>
    <w:p w:rsidR="00C80423" w:rsidRDefault="001C08EC" w:rsidP="00FD55F7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7.本楼栋配建物业用房、商业配套，后期可能有噪音等影响。</w:t>
      </w:r>
    </w:p>
    <w:p w:rsidR="00C80423" w:rsidRDefault="001C08EC" w:rsidP="00FD55F7">
      <w:pPr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8.本楼栋北侧为小区车行出入口，后期可能有噪音等影响。</w:t>
      </w:r>
    </w:p>
    <w:p w:rsidR="00C80423" w:rsidRDefault="001C08EC" w:rsidP="00F47E02">
      <w:pPr>
        <w:spacing w:line="600" w:lineRule="exact"/>
        <w:ind w:firstLineChars="200" w:firstLine="640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（四）</w:t>
      </w:r>
      <w:r w:rsidR="00FD55F7">
        <w:rPr>
          <w:rFonts w:ascii="仿宋_GB2312" w:eastAsia="仿宋_GB2312" w:hAnsi="仿宋_GB2312" w:cs="仿宋_GB2312" w:hint="eastAsia"/>
          <w:sz w:val="32"/>
          <w:szCs w:val="32"/>
        </w:rPr>
        <w:t>绿地·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兴景苑共有产权住房</w:t>
      </w:r>
      <w:r w:rsidR="003212C9">
        <w:rPr>
          <w:rFonts w:ascii="仿宋_GB2312" w:eastAsia="仿宋_GB2312" w:hAnsi="仿宋_GB2312" w:cs="仿宋_GB2312" w:hint="eastAsia"/>
          <w:bCs/>
          <w:sz w:val="32"/>
          <w:szCs w:val="32"/>
        </w:rPr>
        <w:t>（1号楼）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项目有关情况特别提示</w:t>
      </w:r>
    </w:p>
    <w:p w:rsidR="00C80423" w:rsidRDefault="001C08EC">
      <w:pPr>
        <w:pStyle w:val="1"/>
        <w:widowControl/>
        <w:spacing w:line="345" w:lineRule="atLeast"/>
        <w:ind w:firstLine="640"/>
        <w:jc w:val="left"/>
        <w:rPr>
          <w:rFonts w:ascii="仿宋_GB2312" w:eastAsia="仿宋_GB2312" w:hAnsi="仿宋_GB2312" w:cs="仿宋_GB2312"/>
          <w:kern w:val="0"/>
          <w:sz w:val="32"/>
          <w:szCs w:val="21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21"/>
        </w:rPr>
        <w:t>本小区红线内现规划有公共配套设施，在符合国家标准的前提下，仍可能对相邻的自住房住宅产生影响：</w:t>
      </w:r>
    </w:p>
    <w:p w:rsidR="00C80423" w:rsidRDefault="00FD55F7">
      <w:pPr>
        <w:widowControl/>
        <w:spacing w:line="345" w:lineRule="atLeast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21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21"/>
        </w:rPr>
        <w:t>1.</w:t>
      </w:r>
      <w:r w:rsidR="001C08EC">
        <w:rPr>
          <w:rFonts w:ascii="仿宋_GB2312" w:eastAsia="仿宋_GB2312" w:hAnsi="仿宋_GB2312" w:cs="仿宋_GB2312" w:hint="eastAsia"/>
          <w:kern w:val="0"/>
          <w:sz w:val="32"/>
          <w:szCs w:val="21"/>
        </w:rPr>
        <w:t>本1号楼首层设置有便利店与物业服务用房。（见示意图标注1）。临近此建筑可能会产生噪声、灯光等有对住宅的影响。</w:t>
      </w:r>
    </w:p>
    <w:p w:rsidR="00C80423" w:rsidRDefault="00FD55F7">
      <w:pPr>
        <w:widowControl/>
        <w:spacing w:line="345" w:lineRule="atLeast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21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21"/>
        </w:rPr>
        <w:t>2.</w:t>
      </w:r>
      <w:r w:rsidR="001C08EC">
        <w:rPr>
          <w:rFonts w:ascii="仿宋_GB2312" w:eastAsia="仿宋_GB2312" w:hAnsi="仿宋_GB2312" w:cs="仿宋_GB2312" w:hint="eastAsia"/>
          <w:kern w:val="0"/>
          <w:sz w:val="32"/>
          <w:szCs w:val="21"/>
        </w:rPr>
        <w:t>地下汽车库机动车入口于本项目中有3个。其中1个位于本1号楼北侧。（见示意图标注2）</w:t>
      </w:r>
    </w:p>
    <w:p w:rsidR="00C80423" w:rsidRDefault="001C08EC">
      <w:pPr>
        <w:widowControl/>
        <w:spacing w:line="345" w:lineRule="atLeast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21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21"/>
        </w:rPr>
        <w:t>3</w:t>
      </w:r>
      <w:r w:rsidR="00FD55F7">
        <w:rPr>
          <w:rFonts w:ascii="仿宋_GB2312" w:eastAsia="仿宋_GB2312" w:hAnsi="仿宋_GB2312" w:cs="仿宋_GB2312" w:hint="eastAsia"/>
          <w:kern w:val="0"/>
          <w:sz w:val="32"/>
          <w:szCs w:val="21"/>
        </w:rPr>
        <w:t>.</w:t>
      </w:r>
      <w:r>
        <w:rPr>
          <w:rFonts w:ascii="仿宋_GB2312" w:eastAsia="仿宋_GB2312" w:hAnsi="仿宋_GB2312" w:cs="仿宋_GB2312" w:hint="eastAsia"/>
          <w:kern w:val="0"/>
          <w:sz w:val="32"/>
          <w:szCs w:val="21"/>
        </w:rPr>
        <w:t>非机动车出入口本项目共有3个。其中1个紧邻本1号楼西侧。（见示意图标注3）</w:t>
      </w:r>
    </w:p>
    <w:p w:rsidR="00C80423" w:rsidRPr="003232ED" w:rsidRDefault="00FD55F7" w:rsidP="003232ED">
      <w:pPr>
        <w:widowControl/>
        <w:spacing w:line="345" w:lineRule="atLeast"/>
        <w:ind w:firstLineChars="200" w:firstLine="640"/>
        <w:jc w:val="left"/>
        <w:rPr>
          <w:rFonts w:ascii="仿宋_GB2312" w:eastAsia="仿宋_GB2312" w:hAnsi="仿宋_GB2312" w:cs="仿宋_GB2312"/>
          <w:kern w:val="0"/>
          <w:sz w:val="32"/>
          <w:szCs w:val="21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21"/>
        </w:rPr>
        <w:lastRenderedPageBreak/>
        <w:t>4.</w:t>
      </w:r>
      <w:r w:rsidR="001C08EC">
        <w:rPr>
          <w:rFonts w:ascii="仿宋_GB2312" w:eastAsia="仿宋_GB2312" w:hAnsi="仿宋_GB2312" w:cs="仿宋_GB2312" w:hint="eastAsia"/>
          <w:kern w:val="0"/>
          <w:sz w:val="32"/>
          <w:szCs w:val="21"/>
        </w:rPr>
        <w:t xml:space="preserve"> 本1号楼首层有地库进、排风竖井及地下室所需出地面窗井。地下一层为本楼服务的进排风竖井及配电间可能会对住宅有影响。各竖井位置示意详见附图。（进风竖井见示意图标注4，排风竖井见示意图标注5，其他窗井位置见示意图标注6）</w:t>
      </w:r>
    </w:p>
    <w:p w:rsidR="00C80423" w:rsidRDefault="001C08EC">
      <w:pPr>
        <w:pStyle w:val="1"/>
        <w:widowControl/>
        <w:spacing w:line="345" w:lineRule="atLeast"/>
        <w:ind w:firstLineChars="0" w:firstLine="0"/>
        <w:jc w:val="left"/>
        <w:rPr>
          <w:rFonts w:ascii="仿宋" w:eastAsia="仿宋" w:hAnsi="仿宋" w:cs="宋体"/>
          <w:kern w:val="0"/>
          <w:sz w:val="32"/>
          <w:szCs w:val="21"/>
        </w:rPr>
      </w:pPr>
      <w:r>
        <w:rPr>
          <w:noProof/>
        </w:rPr>
        <w:drawing>
          <wp:inline distT="0" distB="0" distL="0" distR="0">
            <wp:extent cx="4914900" cy="5091430"/>
            <wp:effectExtent l="0" t="0" r="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3725" t="-5836" r="14580" b="5836"/>
                    <a:stretch>
                      <a:fillRect/>
                    </a:stretch>
                  </pic:blipFill>
                  <pic:spPr>
                    <a:xfrm>
                      <a:off x="0" y="0"/>
                      <a:ext cx="4918284" cy="50950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423" w:rsidRDefault="00C80423">
      <w:pPr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C80423" w:rsidRDefault="00C80423">
      <w:pPr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C80423" w:rsidRDefault="00C80423">
      <w:pPr>
        <w:jc w:val="left"/>
      </w:pPr>
    </w:p>
    <w:p w:rsidR="00C80423" w:rsidRDefault="00C80423"/>
    <w:p w:rsidR="00C80423" w:rsidRDefault="001C08EC">
      <w:pPr>
        <w:spacing w:line="600" w:lineRule="exact"/>
        <w:ind w:firstLine="645"/>
        <w:jc w:val="right"/>
        <w:rPr>
          <w:rFonts w:ascii="仿宋_GB2312" w:eastAsia="仿宋_GB2312"/>
          <w:sz w:val="32"/>
          <w:szCs w:val="32"/>
        </w:rPr>
      </w:pPr>
      <w:r>
        <w:tab/>
      </w:r>
      <w:r>
        <w:rPr>
          <w:rFonts w:ascii="仿宋_GB2312" w:eastAsia="仿宋_GB2312" w:hint="eastAsia"/>
          <w:sz w:val="32"/>
          <w:szCs w:val="32"/>
        </w:rPr>
        <w:t>北京绿地京翰房地产开发有限公司</w:t>
      </w:r>
    </w:p>
    <w:p w:rsidR="00C80423" w:rsidRDefault="00C80423">
      <w:pPr>
        <w:spacing w:line="600" w:lineRule="exact"/>
        <w:rPr>
          <w:rFonts w:ascii="仿宋_GB2312" w:eastAsia="仿宋_GB2312" w:hAnsi="仿宋" w:cstheme="minorBidi"/>
          <w:b/>
          <w:sz w:val="32"/>
          <w:szCs w:val="32"/>
        </w:rPr>
      </w:pPr>
    </w:p>
    <w:p w:rsidR="00C80423" w:rsidRDefault="00C80423">
      <w:pPr>
        <w:spacing w:line="600" w:lineRule="exact"/>
        <w:rPr>
          <w:rFonts w:ascii="仿宋_GB2312" w:eastAsia="仿宋_GB2312" w:hAnsi="仿宋" w:cstheme="minorBidi"/>
          <w:b/>
          <w:sz w:val="32"/>
          <w:szCs w:val="32"/>
        </w:rPr>
      </w:pPr>
    </w:p>
    <w:p w:rsidR="00C80423" w:rsidRDefault="001C08EC">
      <w:pPr>
        <w:widowControl/>
        <w:jc w:val="left"/>
      </w:pPr>
      <w:r>
        <w:rPr>
          <w:rFonts w:ascii="仿宋" w:eastAsia="仿宋" w:hAnsi="仿宋" w:cs="宋体" w:hint="eastAsia"/>
          <w:kern w:val="0"/>
          <w:sz w:val="32"/>
          <w:szCs w:val="21"/>
        </w:rPr>
        <w:t xml:space="preserve">　</w:t>
      </w:r>
    </w:p>
    <w:p w:rsidR="00C80423" w:rsidRDefault="00C80423">
      <w:pPr>
        <w:pStyle w:val="1"/>
        <w:widowControl/>
        <w:spacing w:line="345" w:lineRule="atLeast"/>
        <w:ind w:left="284" w:firstLineChars="0" w:firstLine="0"/>
        <w:jc w:val="left"/>
        <w:rPr>
          <w:rFonts w:ascii="仿宋" w:eastAsia="仿宋" w:hAnsi="仿宋" w:cs="宋体"/>
          <w:kern w:val="0"/>
          <w:sz w:val="32"/>
          <w:szCs w:val="21"/>
        </w:rPr>
      </w:pPr>
    </w:p>
    <w:p w:rsidR="00C80423" w:rsidRDefault="00C80423">
      <w:pPr>
        <w:rPr>
          <w:rFonts w:ascii="仿宋_GB2312" w:eastAsia="仿宋_GB2312"/>
        </w:rPr>
      </w:pPr>
    </w:p>
    <w:sectPr w:rsidR="00C80423" w:rsidSect="00C804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74E" w:rsidRDefault="009F474E" w:rsidP="00F47E02">
      <w:r>
        <w:separator/>
      </w:r>
    </w:p>
  </w:endnote>
  <w:endnote w:type="continuationSeparator" w:id="0">
    <w:p w:rsidR="009F474E" w:rsidRDefault="009F474E" w:rsidP="00F47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黑体"/>
    <w:charset w:val="86"/>
    <w:family w:val="modern"/>
    <w:pitch w:val="default"/>
    <w:sig w:usb0="00000000" w:usb1="0000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74E" w:rsidRDefault="009F474E" w:rsidP="00F47E02">
      <w:r>
        <w:separator/>
      </w:r>
    </w:p>
  </w:footnote>
  <w:footnote w:type="continuationSeparator" w:id="0">
    <w:p w:rsidR="009F474E" w:rsidRDefault="009F474E" w:rsidP="00F47E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B6A0B"/>
    <w:multiLevelType w:val="singleLevel"/>
    <w:tmpl w:val="594B6A0B"/>
    <w:lvl w:ilvl="0">
      <w:start w:val="1"/>
      <w:numFmt w:val="chineseCounting"/>
      <w:suff w:val="nothing"/>
      <w:lvlText w:val="（%1）"/>
      <w:lvlJc w:val="left"/>
    </w:lvl>
  </w:abstractNum>
  <w:abstractNum w:abstractNumId="1">
    <w:nsid w:val="6E5A4F9C"/>
    <w:multiLevelType w:val="multilevel"/>
    <w:tmpl w:val="6E5A4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2FA5"/>
    <w:rsid w:val="00053C0C"/>
    <w:rsid w:val="001840A4"/>
    <w:rsid w:val="001C08EC"/>
    <w:rsid w:val="002B2ECA"/>
    <w:rsid w:val="002E2FA5"/>
    <w:rsid w:val="003212C9"/>
    <w:rsid w:val="003232ED"/>
    <w:rsid w:val="003F42CE"/>
    <w:rsid w:val="004B2BF3"/>
    <w:rsid w:val="00511A48"/>
    <w:rsid w:val="009F474E"/>
    <w:rsid w:val="00AE2211"/>
    <w:rsid w:val="00B0035B"/>
    <w:rsid w:val="00C80423"/>
    <w:rsid w:val="00F47E02"/>
    <w:rsid w:val="00FD55F7"/>
    <w:rsid w:val="125C3989"/>
    <w:rsid w:val="35D67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42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rsid w:val="00C804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C804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80423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C80423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C80423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C80423"/>
    <w:pPr>
      <w:ind w:firstLineChars="200" w:firstLine="420"/>
    </w:pPr>
  </w:style>
  <w:style w:type="paragraph" w:styleId="a5">
    <w:name w:val="List Paragraph"/>
    <w:basedOn w:val="a"/>
    <w:uiPriority w:val="99"/>
    <w:unhideWhenUsed/>
    <w:rsid w:val="00F47E0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47E0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47E02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141</Words>
  <Characters>805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赵晨</dc:creator>
  <cp:lastModifiedBy>赵晨</cp:lastModifiedBy>
  <cp:revision>7</cp:revision>
  <dcterms:created xsi:type="dcterms:W3CDTF">2018-07-11T08:56:00Z</dcterms:created>
  <dcterms:modified xsi:type="dcterms:W3CDTF">2019-01-11T09:21:00Z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