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bCs/>
          <w:spacing w:val="-12"/>
          <w:sz w:val="48"/>
        </w:rPr>
      </w:pPr>
      <w:bookmarkStart w:id="0" w:name="_Toc182383977"/>
    </w:p>
    <w:p>
      <w:pPr>
        <w:jc w:val="center"/>
        <w:rPr>
          <w:b/>
          <w:bCs/>
          <w:spacing w:val="-12"/>
          <w:sz w:val="48"/>
        </w:rPr>
      </w:pPr>
    </w:p>
    <w:p>
      <w:pPr>
        <w:jc w:val="center"/>
        <w:rPr>
          <w:rFonts w:hint="eastAsia" w:ascii="Times New Roman" w:hAnsi="Times New Roman" w:cs="Times New Roman"/>
          <w:b/>
          <w:bCs/>
          <w:color w:val="auto"/>
          <w:spacing w:val="-20"/>
          <w:sz w:val="48"/>
          <w:szCs w:val="24"/>
          <w:lang w:val="en-US" w:eastAsia="zh-CN"/>
        </w:rPr>
      </w:pPr>
      <w:r>
        <w:rPr>
          <w:rFonts w:hint="default" w:ascii="Times New Roman" w:hAnsi="Times New Roman" w:cs="Times New Roman"/>
          <w:b/>
          <w:bCs/>
          <w:color w:val="auto"/>
          <w:spacing w:val="-20"/>
          <w:sz w:val="48"/>
          <w:szCs w:val="24"/>
        </w:rPr>
        <w:t>北京市大兴区</w:t>
      </w:r>
      <w:r>
        <w:rPr>
          <w:rFonts w:hint="eastAsia" w:ascii="Times New Roman" w:hAnsi="Times New Roman" w:cs="Times New Roman"/>
          <w:b/>
          <w:bCs/>
          <w:color w:val="auto"/>
          <w:spacing w:val="-20"/>
          <w:sz w:val="48"/>
          <w:szCs w:val="24"/>
          <w:lang w:val="en-US" w:eastAsia="zh-CN"/>
        </w:rPr>
        <w:t>瀛海镇集体经营性建设用地入市试点（一期）YZ00-0803-0011地块</w:t>
      </w:r>
    </w:p>
    <w:p>
      <w:pPr>
        <w:jc w:val="center"/>
        <w:rPr>
          <w:rFonts w:hint="eastAsia" w:ascii="Times New Roman" w:hAnsi="Times New Roman" w:cs="Times New Roman"/>
          <w:b/>
          <w:bCs/>
          <w:color w:val="auto"/>
          <w:spacing w:val="-20"/>
          <w:sz w:val="48"/>
          <w:szCs w:val="24"/>
          <w:lang w:val="en-US" w:eastAsia="zh-CN"/>
        </w:rPr>
      </w:pPr>
      <w:r>
        <w:rPr>
          <w:rFonts w:hint="eastAsia" w:ascii="Times New Roman" w:hAnsi="Times New Roman" w:cs="Times New Roman"/>
          <w:b/>
          <w:bCs/>
          <w:color w:val="auto"/>
          <w:spacing w:val="-20"/>
          <w:sz w:val="48"/>
          <w:szCs w:val="24"/>
          <w:lang w:val="en-US" w:eastAsia="zh-CN"/>
        </w:rPr>
        <w:t>集体经营性建设用地</w:t>
      </w:r>
      <w:r>
        <w:rPr>
          <w:rFonts w:hint="default" w:ascii="Times New Roman" w:hAnsi="Times New Roman" w:cs="Times New Roman"/>
          <w:b/>
          <w:bCs/>
          <w:color w:val="auto"/>
          <w:spacing w:val="-20"/>
          <w:sz w:val="48"/>
          <w:szCs w:val="24"/>
          <w:lang w:val="en-US" w:eastAsia="zh-CN"/>
        </w:rPr>
        <w:t>使用权出让</w:t>
      </w:r>
    </w:p>
    <w:p>
      <w:pPr>
        <w:jc w:val="center"/>
        <w:rPr>
          <w:rFonts w:eastAsia="仿宋_GB2312"/>
          <w:color w:val="auto"/>
          <w:sz w:val="28"/>
        </w:rPr>
      </w:pPr>
      <w:r>
        <w:rPr>
          <w:rFonts w:eastAsia="仿宋_GB2312"/>
          <w:color w:val="auto"/>
          <w:sz w:val="28"/>
        </w:rPr>
        <w:t>编号:</w:t>
      </w:r>
      <w:r>
        <w:rPr>
          <w:rFonts w:hint="eastAsia" w:eastAsia="仿宋_GB2312"/>
          <w:color w:val="auto"/>
          <w:sz w:val="28"/>
        </w:rPr>
        <w:t>京土集使挂（兴）[201</w:t>
      </w:r>
      <w:r>
        <w:rPr>
          <w:rFonts w:hint="eastAsia" w:eastAsia="仿宋_GB2312"/>
          <w:color w:val="auto"/>
          <w:sz w:val="28"/>
          <w:lang w:val="en-US" w:eastAsia="zh-CN"/>
        </w:rPr>
        <w:t>8</w:t>
      </w:r>
      <w:r>
        <w:rPr>
          <w:rFonts w:hint="eastAsia" w:eastAsia="仿宋_GB2312"/>
          <w:color w:val="auto"/>
          <w:sz w:val="28"/>
        </w:rPr>
        <w:t>]001号</w:t>
      </w:r>
    </w:p>
    <w:p>
      <w:pPr>
        <w:jc w:val="center"/>
        <w:rPr>
          <w:rFonts w:eastAsia="仿宋_GB2312"/>
          <w:color w:val="auto"/>
          <w:sz w:val="28"/>
        </w:rPr>
      </w:pPr>
    </w:p>
    <w:p>
      <w:pPr>
        <w:jc w:val="center"/>
        <w:rPr>
          <w:b/>
          <w:bCs/>
          <w:color w:val="auto"/>
          <w:sz w:val="52"/>
        </w:rPr>
      </w:pPr>
      <w:r>
        <w:rPr>
          <w:b/>
          <w:bCs/>
          <w:color w:val="auto"/>
          <w:sz w:val="52"/>
        </w:rPr>
        <w:t>挂</w:t>
      </w:r>
    </w:p>
    <w:p>
      <w:pPr>
        <w:jc w:val="center"/>
        <w:rPr>
          <w:b/>
          <w:bCs/>
          <w:color w:val="auto"/>
          <w:sz w:val="52"/>
        </w:rPr>
      </w:pPr>
    </w:p>
    <w:p>
      <w:pPr>
        <w:jc w:val="center"/>
        <w:rPr>
          <w:b/>
          <w:bCs/>
          <w:color w:val="auto"/>
          <w:sz w:val="52"/>
        </w:rPr>
      </w:pPr>
      <w:r>
        <w:rPr>
          <w:b/>
          <w:bCs/>
          <w:color w:val="auto"/>
          <w:sz w:val="52"/>
        </w:rPr>
        <w:t>牌</w:t>
      </w:r>
    </w:p>
    <w:p>
      <w:pPr>
        <w:jc w:val="center"/>
        <w:rPr>
          <w:b/>
          <w:bCs/>
          <w:color w:val="auto"/>
          <w:sz w:val="52"/>
        </w:rPr>
      </w:pPr>
    </w:p>
    <w:p>
      <w:pPr>
        <w:jc w:val="center"/>
        <w:rPr>
          <w:b/>
          <w:bCs/>
          <w:color w:val="auto"/>
          <w:sz w:val="52"/>
        </w:rPr>
      </w:pPr>
      <w:r>
        <w:rPr>
          <w:b/>
          <w:bCs/>
          <w:color w:val="auto"/>
          <w:sz w:val="52"/>
        </w:rPr>
        <w:t>文</w:t>
      </w:r>
    </w:p>
    <w:p>
      <w:pPr>
        <w:jc w:val="center"/>
        <w:rPr>
          <w:b/>
          <w:bCs/>
          <w:color w:val="auto"/>
          <w:sz w:val="52"/>
        </w:rPr>
      </w:pPr>
    </w:p>
    <w:p>
      <w:pPr>
        <w:jc w:val="center"/>
        <w:rPr>
          <w:b/>
          <w:bCs/>
          <w:color w:val="auto"/>
          <w:sz w:val="72"/>
        </w:rPr>
      </w:pPr>
      <w:r>
        <w:rPr>
          <w:b/>
          <w:bCs/>
          <w:color w:val="auto"/>
          <w:sz w:val="52"/>
        </w:rPr>
        <w:t>件</w:t>
      </w:r>
    </w:p>
    <w:p>
      <w:pPr>
        <w:rPr>
          <w:rFonts w:eastAsia="黑体"/>
          <w:color w:val="auto"/>
          <w:sz w:val="44"/>
        </w:rPr>
      </w:pPr>
    </w:p>
    <w:p>
      <w:pPr>
        <w:rPr>
          <w:rFonts w:eastAsia="黑体"/>
          <w:color w:val="auto"/>
          <w:sz w:val="44"/>
        </w:rPr>
      </w:pPr>
    </w:p>
    <w:p>
      <w:pPr>
        <w:jc w:val="center"/>
        <w:rPr>
          <w:rFonts w:eastAsia="黑体"/>
          <w:color w:val="auto"/>
          <w:sz w:val="44"/>
        </w:rPr>
      </w:pPr>
    </w:p>
    <w:p>
      <w:pPr>
        <w:jc w:val="center"/>
        <w:rPr>
          <w:rFonts w:eastAsia="仿宋_GB2312"/>
          <w:color w:val="auto"/>
          <w:sz w:val="30"/>
        </w:rPr>
      </w:pPr>
      <w:r>
        <w:rPr>
          <w:rFonts w:eastAsia="仿宋_GB2312"/>
          <w:color w:val="auto"/>
          <w:sz w:val="30"/>
        </w:rPr>
        <w:t>北京市</w:t>
      </w:r>
      <w:r>
        <w:rPr>
          <w:rFonts w:hint="eastAsia" w:eastAsia="仿宋_GB2312"/>
          <w:color w:val="auto"/>
          <w:sz w:val="30"/>
          <w:lang w:val="en-US" w:eastAsia="zh-CN"/>
        </w:rPr>
        <w:t>规划和</w:t>
      </w:r>
      <w:r>
        <w:rPr>
          <w:rFonts w:eastAsia="仿宋_GB2312"/>
          <w:color w:val="auto"/>
          <w:sz w:val="30"/>
        </w:rPr>
        <w:t>国土资源</w:t>
      </w:r>
      <w:r>
        <w:rPr>
          <w:rFonts w:hint="eastAsia" w:eastAsia="仿宋_GB2312"/>
          <w:color w:val="auto"/>
          <w:sz w:val="30"/>
          <w:lang w:val="en-US" w:eastAsia="zh-CN"/>
        </w:rPr>
        <w:t>管理委员会</w:t>
      </w:r>
      <w:r>
        <w:rPr>
          <w:rFonts w:eastAsia="仿宋_GB2312"/>
          <w:color w:val="auto"/>
          <w:sz w:val="30"/>
        </w:rPr>
        <w:t>大兴分局</w:t>
      </w:r>
    </w:p>
    <w:p>
      <w:pPr>
        <w:pStyle w:val="17"/>
        <w:rPr>
          <w:color w:val="auto"/>
        </w:rPr>
      </w:pPr>
      <w:r>
        <w:rPr>
          <w:color w:val="auto"/>
        </w:rPr>
        <w:t>二Ο一</w:t>
      </w:r>
      <w:r>
        <w:rPr>
          <w:rFonts w:hint="eastAsia"/>
          <w:color w:val="auto"/>
          <w:lang w:val="en-US" w:eastAsia="zh-CN"/>
        </w:rPr>
        <w:t>八</w:t>
      </w:r>
      <w:r>
        <w:rPr>
          <w:color w:val="auto"/>
        </w:rPr>
        <w:t>年</w:t>
      </w:r>
      <w:r>
        <w:rPr>
          <w:rFonts w:hint="eastAsia"/>
          <w:color w:val="auto"/>
        </w:rPr>
        <w:t>十</w:t>
      </w:r>
      <w:r>
        <w:rPr>
          <w:color w:val="auto"/>
        </w:rPr>
        <w:t>月</w:t>
      </w:r>
    </w:p>
    <w:p>
      <w:pPr>
        <w:pStyle w:val="17"/>
        <w:rPr>
          <w:color w:val="auto"/>
        </w:rPr>
      </w:pPr>
    </w:p>
    <w:p>
      <w:pPr>
        <w:rPr>
          <w:color w:val="auto"/>
        </w:rPr>
      </w:pPr>
    </w:p>
    <w:p>
      <w:pPr>
        <w:rPr>
          <w:color w:val="auto"/>
        </w:rPr>
      </w:pPr>
    </w:p>
    <w:p>
      <w:pPr>
        <w:pStyle w:val="17"/>
        <w:rPr>
          <w:color w:val="auto"/>
          <w:sz w:val="32"/>
          <w:szCs w:val="32"/>
        </w:rPr>
      </w:pPr>
      <w:r>
        <w:rPr>
          <w:color w:val="auto"/>
          <w:sz w:val="32"/>
          <w:szCs w:val="32"/>
        </w:rPr>
        <w:t>目录</w:t>
      </w:r>
    </w:p>
    <w:p>
      <w:pPr>
        <w:rPr>
          <w:color w:val="auto"/>
        </w:rPr>
      </w:pPr>
    </w:p>
    <w:p>
      <w:pPr>
        <w:pStyle w:val="17"/>
        <w:tabs>
          <w:tab w:val="right" w:leader="dot" w:pos="8306"/>
          <w:tab w:val="clear" w:pos="8296"/>
        </w:tabs>
        <w:rPr>
          <w:rFonts w:ascii="Times New Roman" w:hAnsi="Times New Roman" w:eastAsia="宋体" w:cs="Times New Roman"/>
          <w:color w:val="auto"/>
          <w:kern w:val="2"/>
          <w:szCs w:val="24"/>
          <w:lang w:val="en-US" w:eastAsia="zh-CN" w:bidi="ar-SA"/>
        </w:rPr>
      </w:pPr>
      <w:r>
        <w:rPr>
          <w:rFonts w:hint="eastAsia" w:ascii="仿宋_GB2312"/>
          <w:color w:val="auto"/>
          <w:sz w:val="32"/>
          <w:szCs w:val="32"/>
        </w:rPr>
        <w:fldChar w:fldCharType="begin"/>
      </w:r>
      <w:r>
        <w:rPr>
          <w:rFonts w:hint="eastAsia" w:ascii="仿宋_GB2312"/>
          <w:color w:val="auto"/>
          <w:sz w:val="32"/>
          <w:szCs w:val="32"/>
        </w:rPr>
        <w:instrText xml:space="preserve"> TOC \o "1-3" \h \z \u </w:instrText>
      </w:r>
      <w:r>
        <w:rPr>
          <w:rFonts w:hint="eastAsia" w:ascii="仿宋_GB2312"/>
          <w:color w:val="auto"/>
          <w:sz w:val="32"/>
          <w:szCs w:val="32"/>
        </w:rPr>
        <w:fldChar w:fldCharType="separate"/>
      </w:r>
      <w:r>
        <w:rPr>
          <w:rFonts w:hint="eastAsia" w:ascii="仿宋_GB2312" w:hAnsi="Times New Roman" w:eastAsia="宋体" w:cs="Times New Roman"/>
          <w:color w:val="auto"/>
          <w:kern w:val="2"/>
          <w:szCs w:val="32"/>
          <w:lang w:val="en-US" w:eastAsia="zh-CN" w:bidi="ar-SA"/>
        </w:rPr>
        <w:fldChar w:fldCharType="begin"/>
      </w:r>
      <w:r>
        <w:rPr>
          <w:rFonts w:hint="eastAsia" w:ascii="仿宋_GB2312" w:hAnsi="Times New Roman" w:eastAsia="宋体" w:cs="Times New Roman"/>
          <w:color w:val="auto"/>
          <w:kern w:val="2"/>
          <w:szCs w:val="32"/>
          <w:lang w:val="en-US" w:eastAsia="zh-CN" w:bidi="ar-SA"/>
        </w:rPr>
        <w:instrText xml:space="preserve"> HYPERLINK \l _Toc32548 </w:instrText>
      </w:r>
      <w:r>
        <w:rPr>
          <w:rFonts w:hint="eastAsia" w:ascii="仿宋_GB2312" w:hAnsi="Times New Roman" w:eastAsia="宋体" w:cs="Times New Roman"/>
          <w:color w:val="auto"/>
          <w:kern w:val="2"/>
          <w:szCs w:val="32"/>
          <w:lang w:val="en-US" w:eastAsia="zh-CN" w:bidi="ar-SA"/>
        </w:rPr>
        <w:fldChar w:fldCharType="separate"/>
      </w:r>
      <w:r>
        <w:rPr>
          <w:rFonts w:ascii="宋体" w:hAnsi="宋体" w:eastAsia="宋体" w:cs="Times New Roman"/>
          <w:color w:val="auto"/>
          <w:kern w:val="2"/>
          <w:szCs w:val="24"/>
          <w:lang w:val="en-US" w:eastAsia="zh-CN" w:bidi="ar-SA"/>
        </w:rPr>
        <w:t>竞 买 须 知</w:t>
      </w:r>
      <w:r>
        <w:rPr>
          <w:rFonts w:ascii="Times New Roman" w:hAnsi="Times New Roman" w:eastAsia="宋体" w:cs="Times New Roman"/>
          <w:color w:val="auto"/>
          <w:kern w:val="2"/>
          <w:szCs w:val="24"/>
          <w:lang w:val="en-US" w:eastAsia="zh-CN" w:bidi="ar-SA"/>
        </w:rPr>
        <w:tab/>
      </w:r>
      <w:r>
        <w:rPr>
          <w:rFonts w:ascii="Times New Roman" w:hAnsi="Times New Roman" w:eastAsia="宋体" w:cs="Times New Roman"/>
          <w:color w:val="auto"/>
          <w:kern w:val="2"/>
          <w:szCs w:val="24"/>
          <w:lang w:val="en-US" w:eastAsia="zh-CN" w:bidi="ar-SA"/>
        </w:rPr>
        <w:fldChar w:fldCharType="begin"/>
      </w:r>
      <w:r>
        <w:rPr>
          <w:rFonts w:ascii="Times New Roman" w:hAnsi="Times New Roman" w:eastAsia="宋体" w:cs="Times New Roman"/>
          <w:color w:val="auto"/>
          <w:kern w:val="2"/>
          <w:szCs w:val="24"/>
          <w:lang w:val="en-US" w:eastAsia="zh-CN" w:bidi="ar-SA"/>
        </w:rPr>
        <w:instrText xml:space="preserve"> PAGEREF _Toc32548 </w:instrText>
      </w:r>
      <w:r>
        <w:rPr>
          <w:rFonts w:ascii="Times New Roman" w:hAnsi="Times New Roman" w:eastAsia="宋体" w:cs="Times New Roman"/>
          <w:color w:val="auto"/>
          <w:kern w:val="2"/>
          <w:szCs w:val="24"/>
          <w:lang w:val="en-US" w:eastAsia="zh-CN" w:bidi="ar-SA"/>
        </w:rPr>
        <w:fldChar w:fldCharType="separate"/>
      </w:r>
      <w:r>
        <w:rPr>
          <w:rFonts w:ascii="Times New Roman" w:hAnsi="Times New Roman" w:eastAsia="宋体" w:cs="Times New Roman"/>
          <w:color w:val="auto"/>
          <w:kern w:val="2"/>
          <w:szCs w:val="24"/>
          <w:lang w:val="en-US" w:eastAsia="zh-CN" w:bidi="ar-SA"/>
        </w:rPr>
        <w:t>6</w:t>
      </w:r>
      <w:r>
        <w:rPr>
          <w:rFonts w:ascii="Times New Roman" w:hAnsi="Times New Roman" w:eastAsia="宋体" w:cs="Times New Roman"/>
          <w:color w:val="auto"/>
          <w:kern w:val="2"/>
          <w:szCs w:val="24"/>
          <w:lang w:val="en-US" w:eastAsia="zh-CN" w:bidi="ar-SA"/>
        </w:rPr>
        <w:fldChar w:fldCharType="end"/>
      </w:r>
      <w:r>
        <w:rPr>
          <w:rFonts w:hint="eastAsia" w:ascii="仿宋_GB2312" w:hAnsi="Times New Roman" w:eastAsia="宋体" w:cs="Times New Roman"/>
          <w:color w:val="auto"/>
          <w:kern w:val="2"/>
          <w:szCs w:val="32"/>
          <w:lang w:val="en-US" w:eastAsia="zh-CN" w:bidi="ar-SA"/>
        </w:rPr>
        <w:fldChar w:fldCharType="end"/>
      </w:r>
    </w:p>
    <w:p>
      <w:pPr>
        <w:pStyle w:val="21"/>
        <w:tabs>
          <w:tab w:val="right" w:leader="dot" w:pos="8306"/>
          <w:tab w:val="clear" w:pos="-3261"/>
          <w:tab w:val="clear" w:pos="840"/>
          <w:tab w:val="clear" w:pos="8296"/>
        </w:tabs>
        <w:rPr>
          <w:rFonts w:ascii="Times New Roman" w:hAnsi="Times New Roman" w:eastAsia="宋体" w:cs="Times New Roman"/>
          <w:color w:val="auto"/>
          <w:kern w:val="2"/>
          <w:szCs w:val="24"/>
          <w:lang w:val="en-US" w:eastAsia="zh-CN" w:bidi="ar-SA"/>
        </w:rPr>
      </w:pPr>
      <w:r>
        <w:rPr>
          <w:rFonts w:hint="eastAsia" w:ascii="仿宋_GB2312" w:hAnsi="Times New Roman" w:eastAsia="仿宋_GB2312" w:cs="Times New Roman"/>
          <w:color w:val="auto"/>
          <w:kern w:val="2"/>
          <w:szCs w:val="32"/>
          <w:lang w:val="en-US" w:eastAsia="zh-CN" w:bidi="ar-SA"/>
        </w:rPr>
        <w:fldChar w:fldCharType="begin"/>
      </w:r>
      <w:r>
        <w:rPr>
          <w:rFonts w:hint="eastAsia" w:ascii="仿宋_GB2312" w:hAnsi="Times New Roman" w:eastAsia="仿宋_GB2312" w:cs="Times New Roman"/>
          <w:color w:val="auto"/>
          <w:kern w:val="2"/>
          <w:szCs w:val="32"/>
          <w:lang w:val="en-US" w:eastAsia="zh-CN" w:bidi="ar-SA"/>
        </w:rPr>
        <w:instrText xml:space="preserve"> HYPERLINK \l _Toc26126 </w:instrText>
      </w:r>
      <w:r>
        <w:rPr>
          <w:rFonts w:hint="eastAsia" w:ascii="仿宋_GB2312" w:hAnsi="Times New Roman" w:eastAsia="仿宋_GB2312" w:cs="Times New Roman"/>
          <w:color w:val="auto"/>
          <w:kern w:val="2"/>
          <w:szCs w:val="32"/>
          <w:lang w:val="en-US" w:eastAsia="zh-CN" w:bidi="ar-SA"/>
        </w:rPr>
        <w:fldChar w:fldCharType="separate"/>
      </w:r>
      <w:r>
        <w:rPr>
          <w:rFonts w:ascii="Times New Roman" w:hAnsi="Times New Roman" w:eastAsia="宋体" w:cs="Times New Roman"/>
          <w:color w:val="auto"/>
          <w:kern w:val="2"/>
          <w:szCs w:val="24"/>
          <w:lang w:val="en-US" w:eastAsia="zh-CN" w:bidi="ar-SA"/>
        </w:rPr>
        <w:t>第</w:t>
      </w:r>
      <w:r>
        <w:rPr>
          <w:rFonts w:hint="default" w:ascii="Times New Roman" w:hAnsi="Times New Roman" w:eastAsia="仿宋_GB2312" w:cs="Times New Roman"/>
          <w:bCs/>
          <w:color w:val="auto"/>
          <w:kern w:val="2"/>
          <w:szCs w:val="32"/>
          <w:lang w:val="en-US" w:eastAsia="zh-CN" w:bidi="ar-SA"/>
        </w:rPr>
        <w:t xml:space="preserve">一章 </w:t>
      </w:r>
      <w:r>
        <w:rPr>
          <w:rFonts w:ascii="Times New Roman" w:hAnsi="Times New Roman" w:eastAsia="仿宋_GB2312" w:cs="Times New Roman"/>
          <w:color w:val="auto"/>
          <w:kern w:val="2"/>
          <w:szCs w:val="24"/>
          <w:lang w:val="en-US" w:eastAsia="zh-CN" w:bidi="ar-SA"/>
        </w:rPr>
        <w:t>总则</w:t>
      </w:r>
      <w:r>
        <w:rPr>
          <w:rFonts w:ascii="Times New Roman" w:hAnsi="Times New Roman" w:eastAsia="宋体" w:cs="Times New Roman"/>
          <w:color w:val="auto"/>
          <w:kern w:val="2"/>
          <w:szCs w:val="24"/>
          <w:lang w:val="en-US" w:eastAsia="zh-CN" w:bidi="ar-SA"/>
        </w:rPr>
        <w:tab/>
      </w:r>
      <w:r>
        <w:rPr>
          <w:rFonts w:ascii="Times New Roman" w:hAnsi="Times New Roman" w:eastAsia="宋体" w:cs="Times New Roman"/>
          <w:color w:val="auto"/>
          <w:kern w:val="2"/>
          <w:szCs w:val="24"/>
          <w:lang w:val="en-US" w:eastAsia="zh-CN" w:bidi="ar-SA"/>
        </w:rPr>
        <w:fldChar w:fldCharType="begin"/>
      </w:r>
      <w:r>
        <w:rPr>
          <w:rFonts w:ascii="Times New Roman" w:hAnsi="Times New Roman" w:eastAsia="宋体" w:cs="Times New Roman"/>
          <w:color w:val="auto"/>
          <w:kern w:val="2"/>
          <w:szCs w:val="24"/>
          <w:lang w:val="en-US" w:eastAsia="zh-CN" w:bidi="ar-SA"/>
        </w:rPr>
        <w:instrText xml:space="preserve"> PAGEREF _Toc26126 </w:instrText>
      </w:r>
      <w:r>
        <w:rPr>
          <w:rFonts w:ascii="Times New Roman" w:hAnsi="Times New Roman" w:eastAsia="宋体" w:cs="Times New Roman"/>
          <w:color w:val="auto"/>
          <w:kern w:val="2"/>
          <w:szCs w:val="24"/>
          <w:lang w:val="en-US" w:eastAsia="zh-CN" w:bidi="ar-SA"/>
        </w:rPr>
        <w:fldChar w:fldCharType="separate"/>
      </w:r>
      <w:r>
        <w:rPr>
          <w:rFonts w:ascii="Times New Roman" w:hAnsi="Times New Roman" w:eastAsia="宋体" w:cs="Times New Roman"/>
          <w:color w:val="auto"/>
          <w:kern w:val="2"/>
          <w:szCs w:val="24"/>
          <w:lang w:val="en-US" w:eastAsia="zh-CN" w:bidi="ar-SA"/>
        </w:rPr>
        <w:t>6</w:t>
      </w:r>
      <w:r>
        <w:rPr>
          <w:rFonts w:ascii="Times New Roman" w:hAnsi="Times New Roman" w:eastAsia="宋体" w:cs="Times New Roman"/>
          <w:color w:val="auto"/>
          <w:kern w:val="2"/>
          <w:szCs w:val="24"/>
          <w:lang w:val="en-US" w:eastAsia="zh-CN" w:bidi="ar-SA"/>
        </w:rPr>
        <w:fldChar w:fldCharType="end"/>
      </w:r>
      <w:r>
        <w:rPr>
          <w:rFonts w:hint="default" w:ascii="Times New Roman" w:hAnsi="Times New Roman" w:eastAsia="仿宋_GB2312" w:cs="Times New Roman"/>
          <w:bCs/>
          <w:color w:val="auto"/>
          <w:kern w:val="2"/>
          <w:szCs w:val="32"/>
          <w:lang w:val="en-US" w:eastAsia="zh-CN" w:bidi="ar-SA"/>
        </w:rPr>
        <w:fldChar w:fldCharType="end"/>
      </w:r>
    </w:p>
    <w:p>
      <w:pPr>
        <w:pStyle w:val="21"/>
        <w:tabs>
          <w:tab w:val="right" w:leader="dot" w:pos="8306"/>
          <w:tab w:val="clear" w:pos="-3261"/>
          <w:tab w:val="clear" w:pos="840"/>
          <w:tab w:val="clear" w:pos="8296"/>
        </w:tabs>
        <w:rPr>
          <w:rFonts w:ascii="Times New Roman" w:hAnsi="Times New Roman" w:eastAsia="宋体" w:cs="Times New Roman"/>
          <w:color w:val="auto"/>
          <w:kern w:val="2"/>
          <w:szCs w:val="24"/>
          <w:lang w:val="en-US" w:eastAsia="zh-CN" w:bidi="ar-SA"/>
        </w:rPr>
      </w:pPr>
      <w:r>
        <w:rPr>
          <w:rFonts w:hint="eastAsia" w:ascii="仿宋_GB2312" w:hAnsi="Times New Roman" w:eastAsia="仿宋_GB2312" w:cs="Times New Roman"/>
          <w:color w:val="auto"/>
          <w:kern w:val="2"/>
          <w:szCs w:val="32"/>
          <w:lang w:val="en-US" w:eastAsia="zh-CN" w:bidi="ar-SA"/>
        </w:rPr>
        <w:fldChar w:fldCharType="begin"/>
      </w:r>
      <w:r>
        <w:rPr>
          <w:rFonts w:hint="eastAsia" w:ascii="仿宋_GB2312" w:hAnsi="Times New Roman" w:eastAsia="仿宋_GB2312" w:cs="Times New Roman"/>
          <w:color w:val="auto"/>
          <w:kern w:val="2"/>
          <w:szCs w:val="32"/>
          <w:lang w:val="en-US" w:eastAsia="zh-CN" w:bidi="ar-SA"/>
        </w:rPr>
        <w:instrText xml:space="preserve"> HYPERLINK \l _Toc31489 </w:instrText>
      </w:r>
      <w:r>
        <w:rPr>
          <w:rFonts w:hint="eastAsia" w:ascii="仿宋_GB2312" w:hAnsi="Times New Roman" w:eastAsia="仿宋_GB2312" w:cs="Times New Roman"/>
          <w:color w:val="auto"/>
          <w:kern w:val="2"/>
          <w:szCs w:val="32"/>
          <w:lang w:val="en-US" w:eastAsia="zh-CN" w:bidi="ar-SA"/>
        </w:rPr>
        <w:fldChar w:fldCharType="separate"/>
      </w:r>
      <w:r>
        <w:rPr>
          <w:rFonts w:hint="eastAsia" w:ascii="Times New Roman" w:hAnsi="Times New Roman" w:eastAsia="仿宋_GB2312" w:cs="Times New Roman"/>
          <w:color w:val="auto"/>
          <w:kern w:val="2"/>
          <w:szCs w:val="24"/>
          <w:lang w:val="en-US" w:eastAsia="zh-CN" w:bidi="ar-SA"/>
        </w:rPr>
        <w:t>第二</w:t>
      </w:r>
      <w:r>
        <w:rPr>
          <w:rFonts w:ascii="Times New Roman" w:hAnsi="Times New Roman" w:eastAsia="仿宋_GB2312" w:cs="Times New Roman"/>
          <w:color w:val="auto"/>
          <w:kern w:val="2"/>
          <w:szCs w:val="24"/>
          <w:lang w:val="en-US" w:eastAsia="zh-CN" w:bidi="ar-SA"/>
        </w:rPr>
        <w:t>章</w:t>
      </w:r>
      <w:r>
        <w:rPr>
          <w:rFonts w:hint="eastAsia" w:ascii="Times New Roman" w:hAnsi="Times New Roman" w:eastAsia="仿宋_GB2312" w:cs="Times New Roman"/>
          <w:color w:val="auto"/>
          <w:kern w:val="2"/>
          <w:szCs w:val="24"/>
          <w:lang w:val="en-US" w:eastAsia="zh-CN" w:bidi="ar-SA"/>
        </w:rPr>
        <w:t xml:space="preserve"> 宗地基本情况与基本要求</w:t>
      </w:r>
      <w:r>
        <w:rPr>
          <w:rFonts w:ascii="Times New Roman" w:hAnsi="Times New Roman" w:eastAsia="宋体" w:cs="Times New Roman"/>
          <w:color w:val="auto"/>
          <w:kern w:val="2"/>
          <w:szCs w:val="24"/>
          <w:lang w:val="en-US" w:eastAsia="zh-CN" w:bidi="ar-SA"/>
        </w:rPr>
        <w:tab/>
      </w:r>
      <w:r>
        <w:rPr>
          <w:rFonts w:ascii="Times New Roman" w:hAnsi="Times New Roman" w:eastAsia="宋体" w:cs="Times New Roman"/>
          <w:color w:val="auto"/>
          <w:kern w:val="2"/>
          <w:szCs w:val="24"/>
          <w:lang w:val="en-US" w:eastAsia="zh-CN" w:bidi="ar-SA"/>
        </w:rPr>
        <w:fldChar w:fldCharType="begin"/>
      </w:r>
      <w:r>
        <w:rPr>
          <w:rFonts w:ascii="Times New Roman" w:hAnsi="Times New Roman" w:eastAsia="宋体" w:cs="Times New Roman"/>
          <w:color w:val="auto"/>
          <w:kern w:val="2"/>
          <w:szCs w:val="24"/>
          <w:lang w:val="en-US" w:eastAsia="zh-CN" w:bidi="ar-SA"/>
        </w:rPr>
        <w:instrText xml:space="preserve"> PAGEREF _Toc31489 </w:instrText>
      </w:r>
      <w:r>
        <w:rPr>
          <w:rFonts w:ascii="Times New Roman" w:hAnsi="Times New Roman" w:eastAsia="宋体" w:cs="Times New Roman"/>
          <w:color w:val="auto"/>
          <w:kern w:val="2"/>
          <w:szCs w:val="24"/>
          <w:lang w:val="en-US" w:eastAsia="zh-CN" w:bidi="ar-SA"/>
        </w:rPr>
        <w:fldChar w:fldCharType="separate"/>
      </w:r>
      <w:r>
        <w:rPr>
          <w:rFonts w:ascii="Times New Roman" w:hAnsi="Times New Roman" w:eastAsia="宋体" w:cs="Times New Roman"/>
          <w:color w:val="auto"/>
          <w:kern w:val="2"/>
          <w:szCs w:val="24"/>
          <w:lang w:val="en-US" w:eastAsia="zh-CN" w:bidi="ar-SA"/>
        </w:rPr>
        <w:t>7</w:t>
      </w:r>
      <w:r>
        <w:rPr>
          <w:rFonts w:ascii="Times New Roman" w:hAnsi="Times New Roman" w:eastAsia="宋体" w:cs="Times New Roman"/>
          <w:color w:val="auto"/>
          <w:kern w:val="2"/>
          <w:szCs w:val="24"/>
          <w:lang w:val="en-US" w:eastAsia="zh-CN" w:bidi="ar-SA"/>
        </w:rPr>
        <w:fldChar w:fldCharType="end"/>
      </w:r>
      <w:r>
        <w:rPr>
          <w:rFonts w:hint="eastAsia" w:ascii="仿宋_GB2312" w:hAnsi="Times New Roman" w:eastAsia="仿宋_GB2312" w:cs="Times New Roman"/>
          <w:color w:val="auto"/>
          <w:kern w:val="2"/>
          <w:szCs w:val="32"/>
          <w:lang w:val="en-US" w:eastAsia="zh-CN" w:bidi="ar-SA"/>
        </w:rPr>
        <w:fldChar w:fldCharType="end"/>
      </w:r>
    </w:p>
    <w:p>
      <w:pPr>
        <w:pStyle w:val="21"/>
        <w:tabs>
          <w:tab w:val="right" w:leader="dot" w:pos="8306"/>
          <w:tab w:val="clear" w:pos="-3261"/>
          <w:tab w:val="clear" w:pos="840"/>
          <w:tab w:val="clear" w:pos="8296"/>
        </w:tabs>
        <w:rPr>
          <w:rFonts w:ascii="Times New Roman" w:hAnsi="Times New Roman" w:eastAsia="宋体" w:cs="Times New Roman"/>
          <w:color w:val="auto"/>
          <w:kern w:val="2"/>
          <w:szCs w:val="24"/>
          <w:lang w:val="en-US" w:eastAsia="zh-CN" w:bidi="ar-SA"/>
        </w:rPr>
      </w:pPr>
      <w:r>
        <w:rPr>
          <w:rFonts w:hint="eastAsia" w:ascii="仿宋_GB2312" w:hAnsi="Times New Roman" w:eastAsia="仿宋_GB2312" w:cs="Times New Roman"/>
          <w:color w:val="auto"/>
          <w:kern w:val="2"/>
          <w:szCs w:val="32"/>
          <w:lang w:val="en-US" w:eastAsia="zh-CN" w:bidi="ar-SA"/>
        </w:rPr>
        <w:fldChar w:fldCharType="begin"/>
      </w:r>
      <w:r>
        <w:rPr>
          <w:rFonts w:hint="eastAsia" w:ascii="仿宋_GB2312" w:hAnsi="Times New Roman" w:eastAsia="仿宋_GB2312" w:cs="Times New Roman"/>
          <w:color w:val="auto"/>
          <w:kern w:val="2"/>
          <w:szCs w:val="32"/>
          <w:lang w:val="en-US" w:eastAsia="zh-CN" w:bidi="ar-SA"/>
        </w:rPr>
        <w:instrText xml:space="preserve"> HYPERLINK \l _Toc9987 </w:instrText>
      </w:r>
      <w:r>
        <w:rPr>
          <w:rFonts w:hint="eastAsia" w:ascii="仿宋_GB2312" w:hAnsi="Times New Roman" w:eastAsia="仿宋_GB2312" w:cs="Times New Roman"/>
          <w:color w:val="auto"/>
          <w:kern w:val="2"/>
          <w:szCs w:val="32"/>
          <w:lang w:val="en-US" w:eastAsia="zh-CN" w:bidi="ar-SA"/>
        </w:rPr>
        <w:fldChar w:fldCharType="separate"/>
      </w:r>
      <w:r>
        <w:rPr>
          <w:rFonts w:ascii="Times New Roman" w:hAnsi="Times New Roman" w:eastAsia="宋体" w:cs="Times New Roman"/>
          <w:color w:val="auto"/>
          <w:kern w:val="2"/>
          <w:szCs w:val="24"/>
          <w:lang w:val="en-US" w:eastAsia="zh-CN" w:bidi="ar-SA"/>
        </w:rPr>
        <w:t>第</w:t>
      </w:r>
      <w:r>
        <w:rPr>
          <w:rFonts w:hint="eastAsia" w:ascii="Times New Roman" w:hAnsi="Times New Roman" w:eastAsia="仿宋_GB2312" w:cs="Times New Roman"/>
          <w:bCs/>
          <w:color w:val="auto"/>
          <w:kern w:val="2"/>
          <w:szCs w:val="32"/>
          <w:lang w:val="en-US" w:eastAsia="zh-CN" w:bidi="ar-SA"/>
        </w:rPr>
        <w:t xml:space="preserve">三章 </w:t>
      </w:r>
      <w:r>
        <w:rPr>
          <w:rFonts w:hint="eastAsia" w:ascii="Times New Roman" w:hAnsi="Times New Roman" w:eastAsia="仿宋_GB2312" w:cs="Times New Roman"/>
          <w:color w:val="auto"/>
          <w:kern w:val="2"/>
          <w:szCs w:val="24"/>
          <w:lang w:val="en-US" w:eastAsia="zh-CN" w:bidi="ar-SA"/>
        </w:rPr>
        <w:t>其他要求</w:t>
      </w:r>
      <w:r>
        <w:rPr>
          <w:rFonts w:ascii="Times New Roman" w:hAnsi="Times New Roman" w:eastAsia="宋体" w:cs="Times New Roman"/>
          <w:color w:val="auto"/>
          <w:kern w:val="2"/>
          <w:szCs w:val="24"/>
          <w:lang w:val="en-US" w:eastAsia="zh-CN" w:bidi="ar-SA"/>
        </w:rPr>
        <w:tab/>
      </w:r>
      <w:r>
        <w:rPr>
          <w:rFonts w:ascii="Times New Roman" w:hAnsi="Times New Roman" w:eastAsia="宋体" w:cs="Times New Roman"/>
          <w:color w:val="auto"/>
          <w:kern w:val="2"/>
          <w:szCs w:val="24"/>
          <w:lang w:val="en-US" w:eastAsia="zh-CN" w:bidi="ar-SA"/>
        </w:rPr>
        <w:fldChar w:fldCharType="begin"/>
      </w:r>
      <w:r>
        <w:rPr>
          <w:rFonts w:ascii="Times New Roman" w:hAnsi="Times New Roman" w:eastAsia="宋体" w:cs="Times New Roman"/>
          <w:color w:val="auto"/>
          <w:kern w:val="2"/>
          <w:szCs w:val="24"/>
          <w:lang w:val="en-US" w:eastAsia="zh-CN" w:bidi="ar-SA"/>
        </w:rPr>
        <w:instrText xml:space="preserve"> PAGEREF _Toc9987 </w:instrText>
      </w:r>
      <w:r>
        <w:rPr>
          <w:rFonts w:ascii="Times New Roman" w:hAnsi="Times New Roman" w:eastAsia="宋体" w:cs="Times New Roman"/>
          <w:color w:val="auto"/>
          <w:kern w:val="2"/>
          <w:szCs w:val="24"/>
          <w:lang w:val="en-US" w:eastAsia="zh-CN" w:bidi="ar-SA"/>
        </w:rPr>
        <w:fldChar w:fldCharType="separate"/>
      </w:r>
      <w:r>
        <w:rPr>
          <w:rFonts w:ascii="Times New Roman" w:hAnsi="Times New Roman" w:eastAsia="宋体" w:cs="Times New Roman"/>
          <w:color w:val="auto"/>
          <w:kern w:val="2"/>
          <w:szCs w:val="24"/>
          <w:lang w:val="en-US" w:eastAsia="zh-CN" w:bidi="ar-SA"/>
        </w:rPr>
        <w:t>12</w:t>
      </w:r>
      <w:r>
        <w:rPr>
          <w:rFonts w:ascii="Times New Roman" w:hAnsi="Times New Roman" w:eastAsia="宋体" w:cs="Times New Roman"/>
          <w:color w:val="auto"/>
          <w:kern w:val="2"/>
          <w:szCs w:val="24"/>
          <w:lang w:val="en-US" w:eastAsia="zh-CN" w:bidi="ar-SA"/>
        </w:rPr>
        <w:fldChar w:fldCharType="end"/>
      </w:r>
      <w:r>
        <w:rPr>
          <w:rFonts w:hint="eastAsia" w:ascii="Times New Roman" w:hAnsi="Times New Roman" w:eastAsia="仿宋_GB2312" w:cs="Times New Roman"/>
          <w:bCs/>
          <w:color w:val="auto"/>
          <w:kern w:val="2"/>
          <w:szCs w:val="32"/>
          <w:lang w:val="en-US" w:eastAsia="zh-CN" w:bidi="ar-SA"/>
        </w:rPr>
        <w:fldChar w:fldCharType="end"/>
      </w:r>
    </w:p>
    <w:p>
      <w:pPr>
        <w:pStyle w:val="21"/>
        <w:tabs>
          <w:tab w:val="right" w:leader="dot" w:pos="8306"/>
          <w:tab w:val="clear" w:pos="-3261"/>
          <w:tab w:val="clear" w:pos="840"/>
          <w:tab w:val="clear" w:pos="8296"/>
        </w:tabs>
        <w:rPr>
          <w:rFonts w:ascii="Times New Roman" w:hAnsi="Times New Roman" w:eastAsia="宋体" w:cs="Times New Roman"/>
          <w:color w:val="auto"/>
          <w:kern w:val="2"/>
          <w:szCs w:val="24"/>
          <w:lang w:val="en-US" w:eastAsia="zh-CN" w:bidi="ar-SA"/>
        </w:rPr>
      </w:pPr>
      <w:r>
        <w:rPr>
          <w:rFonts w:hint="eastAsia" w:ascii="仿宋_GB2312" w:hAnsi="Times New Roman" w:eastAsia="仿宋_GB2312" w:cs="Times New Roman"/>
          <w:color w:val="auto"/>
          <w:kern w:val="2"/>
          <w:szCs w:val="32"/>
          <w:lang w:val="en-US" w:eastAsia="zh-CN" w:bidi="ar-SA"/>
        </w:rPr>
        <w:fldChar w:fldCharType="begin"/>
      </w:r>
      <w:r>
        <w:rPr>
          <w:rFonts w:hint="eastAsia" w:ascii="仿宋_GB2312" w:hAnsi="Times New Roman" w:eastAsia="仿宋_GB2312" w:cs="Times New Roman"/>
          <w:color w:val="auto"/>
          <w:kern w:val="2"/>
          <w:szCs w:val="32"/>
          <w:lang w:val="en-US" w:eastAsia="zh-CN" w:bidi="ar-SA"/>
        </w:rPr>
        <w:instrText xml:space="preserve"> HYPERLINK \l _Toc19097 </w:instrText>
      </w:r>
      <w:r>
        <w:rPr>
          <w:rFonts w:hint="eastAsia" w:ascii="仿宋_GB2312" w:hAnsi="Times New Roman" w:eastAsia="仿宋_GB2312" w:cs="Times New Roman"/>
          <w:color w:val="auto"/>
          <w:kern w:val="2"/>
          <w:szCs w:val="32"/>
          <w:lang w:val="en-US" w:eastAsia="zh-CN" w:bidi="ar-SA"/>
        </w:rPr>
        <w:fldChar w:fldCharType="separate"/>
      </w:r>
      <w:r>
        <w:rPr>
          <w:rFonts w:ascii="Times New Roman" w:hAnsi="Times New Roman" w:eastAsia="仿宋_GB2312" w:cs="Times New Roman"/>
          <w:color w:val="auto"/>
          <w:kern w:val="2"/>
          <w:szCs w:val="24"/>
          <w:lang w:val="en-US" w:eastAsia="zh-CN" w:bidi="ar-SA"/>
        </w:rPr>
        <w:t>第</w:t>
      </w:r>
      <w:r>
        <w:rPr>
          <w:rFonts w:hint="eastAsia" w:ascii="Times New Roman" w:hAnsi="Times New Roman" w:eastAsia="仿宋_GB2312" w:cs="Times New Roman"/>
          <w:color w:val="auto"/>
          <w:kern w:val="2"/>
          <w:szCs w:val="24"/>
          <w:lang w:val="en-US" w:eastAsia="zh-CN" w:bidi="ar-SA"/>
        </w:rPr>
        <w:t>四</w:t>
      </w:r>
      <w:r>
        <w:rPr>
          <w:rFonts w:ascii="Times New Roman" w:hAnsi="Times New Roman" w:eastAsia="仿宋_GB2312" w:cs="Times New Roman"/>
          <w:color w:val="auto"/>
          <w:kern w:val="2"/>
          <w:szCs w:val="24"/>
          <w:lang w:val="en-US" w:eastAsia="zh-CN" w:bidi="ar-SA"/>
        </w:rPr>
        <w:t>章竞买人资格</w:t>
      </w:r>
      <w:r>
        <w:rPr>
          <w:rFonts w:ascii="Times New Roman" w:hAnsi="Times New Roman" w:eastAsia="宋体" w:cs="Times New Roman"/>
          <w:color w:val="auto"/>
          <w:kern w:val="2"/>
          <w:szCs w:val="24"/>
          <w:lang w:val="en-US" w:eastAsia="zh-CN" w:bidi="ar-SA"/>
        </w:rPr>
        <w:tab/>
      </w:r>
      <w:r>
        <w:rPr>
          <w:rFonts w:ascii="Times New Roman" w:hAnsi="Times New Roman" w:eastAsia="宋体" w:cs="Times New Roman"/>
          <w:color w:val="auto"/>
          <w:kern w:val="2"/>
          <w:szCs w:val="24"/>
          <w:lang w:val="en-US" w:eastAsia="zh-CN" w:bidi="ar-SA"/>
        </w:rPr>
        <w:fldChar w:fldCharType="begin"/>
      </w:r>
      <w:r>
        <w:rPr>
          <w:rFonts w:ascii="Times New Roman" w:hAnsi="Times New Roman" w:eastAsia="宋体" w:cs="Times New Roman"/>
          <w:color w:val="auto"/>
          <w:kern w:val="2"/>
          <w:szCs w:val="24"/>
          <w:lang w:val="en-US" w:eastAsia="zh-CN" w:bidi="ar-SA"/>
        </w:rPr>
        <w:instrText xml:space="preserve"> PAGEREF _Toc19097 </w:instrText>
      </w:r>
      <w:r>
        <w:rPr>
          <w:rFonts w:ascii="Times New Roman" w:hAnsi="Times New Roman" w:eastAsia="宋体" w:cs="Times New Roman"/>
          <w:color w:val="auto"/>
          <w:kern w:val="2"/>
          <w:szCs w:val="24"/>
          <w:lang w:val="en-US" w:eastAsia="zh-CN" w:bidi="ar-SA"/>
        </w:rPr>
        <w:fldChar w:fldCharType="separate"/>
      </w:r>
      <w:r>
        <w:rPr>
          <w:rFonts w:ascii="Times New Roman" w:hAnsi="Times New Roman" w:eastAsia="宋体" w:cs="Times New Roman"/>
          <w:color w:val="auto"/>
          <w:kern w:val="2"/>
          <w:szCs w:val="24"/>
          <w:lang w:val="en-US" w:eastAsia="zh-CN" w:bidi="ar-SA"/>
        </w:rPr>
        <w:t>16</w:t>
      </w:r>
      <w:r>
        <w:rPr>
          <w:rFonts w:ascii="Times New Roman" w:hAnsi="Times New Roman" w:eastAsia="宋体" w:cs="Times New Roman"/>
          <w:color w:val="auto"/>
          <w:kern w:val="2"/>
          <w:szCs w:val="24"/>
          <w:lang w:val="en-US" w:eastAsia="zh-CN" w:bidi="ar-SA"/>
        </w:rPr>
        <w:fldChar w:fldCharType="end"/>
      </w:r>
      <w:r>
        <w:rPr>
          <w:rFonts w:hint="eastAsia" w:ascii="仿宋_GB2312" w:hAnsi="Times New Roman" w:eastAsia="仿宋_GB2312" w:cs="Times New Roman"/>
          <w:color w:val="auto"/>
          <w:kern w:val="2"/>
          <w:szCs w:val="32"/>
          <w:lang w:val="en-US" w:eastAsia="zh-CN" w:bidi="ar-SA"/>
        </w:rPr>
        <w:fldChar w:fldCharType="end"/>
      </w:r>
    </w:p>
    <w:p>
      <w:pPr>
        <w:pStyle w:val="21"/>
        <w:tabs>
          <w:tab w:val="right" w:leader="dot" w:pos="8306"/>
          <w:tab w:val="clear" w:pos="-3261"/>
          <w:tab w:val="clear" w:pos="840"/>
          <w:tab w:val="clear" w:pos="8296"/>
        </w:tabs>
        <w:rPr>
          <w:rFonts w:ascii="Times New Roman" w:hAnsi="Times New Roman" w:eastAsia="宋体" w:cs="Times New Roman"/>
          <w:color w:val="auto"/>
          <w:kern w:val="2"/>
          <w:szCs w:val="24"/>
          <w:lang w:val="en-US" w:eastAsia="zh-CN" w:bidi="ar-SA"/>
        </w:rPr>
      </w:pPr>
      <w:r>
        <w:rPr>
          <w:rFonts w:hint="eastAsia" w:ascii="仿宋_GB2312" w:hAnsi="Times New Roman" w:eastAsia="仿宋_GB2312" w:cs="Times New Roman"/>
          <w:color w:val="auto"/>
          <w:kern w:val="2"/>
          <w:szCs w:val="32"/>
          <w:lang w:val="en-US" w:eastAsia="zh-CN" w:bidi="ar-SA"/>
        </w:rPr>
        <w:fldChar w:fldCharType="begin"/>
      </w:r>
      <w:r>
        <w:rPr>
          <w:rFonts w:hint="eastAsia" w:ascii="仿宋_GB2312" w:hAnsi="Times New Roman" w:eastAsia="仿宋_GB2312" w:cs="Times New Roman"/>
          <w:color w:val="auto"/>
          <w:kern w:val="2"/>
          <w:szCs w:val="32"/>
          <w:lang w:val="en-US" w:eastAsia="zh-CN" w:bidi="ar-SA"/>
        </w:rPr>
        <w:instrText xml:space="preserve"> HYPERLINK \l _Toc28789 </w:instrText>
      </w:r>
      <w:r>
        <w:rPr>
          <w:rFonts w:hint="eastAsia" w:ascii="仿宋_GB2312" w:hAnsi="Times New Roman" w:eastAsia="仿宋_GB2312" w:cs="Times New Roman"/>
          <w:color w:val="auto"/>
          <w:kern w:val="2"/>
          <w:szCs w:val="32"/>
          <w:lang w:val="en-US" w:eastAsia="zh-CN" w:bidi="ar-SA"/>
        </w:rPr>
        <w:fldChar w:fldCharType="separate"/>
      </w:r>
      <w:r>
        <w:rPr>
          <w:rFonts w:ascii="Times New Roman" w:hAnsi="Times New Roman" w:eastAsia="仿宋_GB2312" w:cs="Times New Roman"/>
          <w:color w:val="auto"/>
          <w:kern w:val="2"/>
          <w:szCs w:val="24"/>
          <w:lang w:val="en-US" w:eastAsia="zh-CN" w:bidi="ar-SA"/>
        </w:rPr>
        <w:t>第</w:t>
      </w:r>
      <w:r>
        <w:rPr>
          <w:rFonts w:hint="eastAsia" w:ascii="Times New Roman" w:hAnsi="Times New Roman" w:eastAsia="仿宋_GB2312" w:cs="Times New Roman"/>
          <w:color w:val="auto"/>
          <w:kern w:val="2"/>
          <w:szCs w:val="24"/>
          <w:lang w:val="en-US" w:eastAsia="zh-CN" w:bidi="ar-SA"/>
        </w:rPr>
        <w:t>五</w:t>
      </w:r>
      <w:r>
        <w:rPr>
          <w:rFonts w:ascii="Times New Roman" w:hAnsi="Times New Roman" w:eastAsia="仿宋_GB2312" w:cs="Times New Roman"/>
          <w:color w:val="auto"/>
          <w:kern w:val="2"/>
          <w:szCs w:val="24"/>
          <w:lang w:val="en-US" w:eastAsia="zh-CN" w:bidi="ar-SA"/>
        </w:rPr>
        <w:t>章</w:t>
      </w:r>
      <w:r>
        <w:rPr>
          <w:rFonts w:hint="eastAsia" w:ascii="Times New Roman" w:hAnsi="Times New Roman" w:eastAsia="仿宋_GB2312" w:cs="Times New Roman"/>
          <w:color w:val="auto"/>
          <w:kern w:val="2"/>
          <w:szCs w:val="24"/>
          <w:lang w:val="en-US" w:eastAsia="zh-CN" w:bidi="ar-SA"/>
        </w:rPr>
        <w:t xml:space="preserve">  付款要求及土地交付</w:t>
      </w:r>
      <w:r>
        <w:rPr>
          <w:rFonts w:ascii="Times New Roman" w:hAnsi="Times New Roman" w:eastAsia="宋体" w:cs="Times New Roman"/>
          <w:color w:val="auto"/>
          <w:kern w:val="2"/>
          <w:szCs w:val="24"/>
          <w:lang w:val="en-US" w:eastAsia="zh-CN" w:bidi="ar-SA"/>
        </w:rPr>
        <w:tab/>
      </w:r>
      <w:r>
        <w:rPr>
          <w:rFonts w:ascii="Times New Roman" w:hAnsi="Times New Roman" w:eastAsia="宋体" w:cs="Times New Roman"/>
          <w:color w:val="auto"/>
          <w:kern w:val="2"/>
          <w:szCs w:val="24"/>
          <w:lang w:val="en-US" w:eastAsia="zh-CN" w:bidi="ar-SA"/>
        </w:rPr>
        <w:fldChar w:fldCharType="begin"/>
      </w:r>
      <w:r>
        <w:rPr>
          <w:rFonts w:ascii="Times New Roman" w:hAnsi="Times New Roman" w:eastAsia="宋体" w:cs="Times New Roman"/>
          <w:color w:val="auto"/>
          <w:kern w:val="2"/>
          <w:szCs w:val="24"/>
          <w:lang w:val="en-US" w:eastAsia="zh-CN" w:bidi="ar-SA"/>
        </w:rPr>
        <w:instrText xml:space="preserve"> PAGEREF _Toc28789 </w:instrText>
      </w:r>
      <w:r>
        <w:rPr>
          <w:rFonts w:ascii="Times New Roman" w:hAnsi="Times New Roman" w:eastAsia="宋体" w:cs="Times New Roman"/>
          <w:color w:val="auto"/>
          <w:kern w:val="2"/>
          <w:szCs w:val="24"/>
          <w:lang w:val="en-US" w:eastAsia="zh-CN" w:bidi="ar-SA"/>
        </w:rPr>
        <w:fldChar w:fldCharType="separate"/>
      </w:r>
      <w:r>
        <w:rPr>
          <w:rFonts w:ascii="Times New Roman" w:hAnsi="Times New Roman" w:eastAsia="宋体" w:cs="Times New Roman"/>
          <w:color w:val="auto"/>
          <w:kern w:val="2"/>
          <w:szCs w:val="24"/>
          <w:lang w:val="en-US" w:eastAsia="zh-CN" w:bidi="ar-SA"/>
        </w:rPr>
        <w:t>16</w:t>
      </w:r>
      <w:r>
        <w:rPr>
          <w:rFonts w:ascii="Times New Roman" w:hAnsi="Times New Roman" w:eastAsia="宋体" w:cs="Times New Roman"/>
          <w:color w:val="auto"/>
          <w:kern w:val="2"/>
          <w:szCs w:val="24"/>
          <w:lang w:val="en-US" w:eastAsia="zh-CN" w:bidi="ar-SA"/>
        </w:rPr>
        <w:fldChar w:fldCharType="end"/>
      </w:r>
      <w:r>
        <w:rPr>
          <w:rFonts w:hint="eastAsia" w:ascii="仿宋_GB2312" w:hAnsi="Times New Roman" w:eastAsia="仿宋_GB2312" w:cs="Times New Roman"/>
          <w:color w:val="auto"/>
          <w:kern w:val="2"/>
          <w:szCs w:val="32"/>
          <w:lang w:val="en-US" w:eastAsia="zh-CN" w:bidi="ar-SA"/>
        </w:rPr>
        <w:fldChar w:fldCharType="end"/>
      </w:r>
    </w:p>
    <w:p>
      <w:pPr>
        <w:pStyle w:val="21"/>
        <w:tabs>
          <w:tab w:val="right" w:leader="dot" w:pos="8306"/>
          <w:tab w:val="clear" w:pos="-3261"/>
          <w:tab w:val="clear" w:pos="840"/>
          <w:tab w:val="clear" w:pos="8296"/>
        </w:tabs>
        <w:rPr>
          <w:rFonts w:ascii="Times New Roman" w:hAnsi="Times New Roman" w:eastAsia="宋体" w:cs="Times New Roman"/>
          <w:color w:val="auto"/>
          <w:kern w:val="2"/>
          <w:szCs w:val="24"/>
          <w:lang w:val="en-US" w:eastAsia="zh-CN" w:bidi="ar-SA"/>
        </w:rPr>
      </w:pPr>
      <w:r>
        <w:rPr>
          <w:rFonts w:hint="eastAsia" w:ascii="仿宋_GB2312" w:hAnsi="Times New Roman" w:eastAsia="仿宋_GB2312" w:cs="Times New Roman"/>
          <w:color w:val="auto"/>
          <w:kern w:val="2"/>
          <w:szCs w:val="32"/>
          <w:lang w:val="en-US" w:eastAsia="zh-CN" w:bidi="ar-SA"/>
        </w:rPr>
        <w:fldChar w:fldCharType="begin"/>
      </w:r>
      <w:r>
        <w:rPr>
          <w:rFonts w:hint="eastAsia" w:ascii="仿宋_GB2312" w:hAnsi="Times New Roman" w:eastAsia="仿宋_GB2312" w:cs="Times New Roman"/>
          <w:color w:val="auto"/>
          <w:kern w:val="2"/>
          <w:szCs w:val="32"/>
          <w:lang w:val="en-US" w:eastAsia="zh-CN" w:bidi="ar-SA"/>
        </w:rPr>
        <w:instrText xml:space="preserve"> HYPERLINK \l _Toc30390 </w:instrText>
      </w:r>
      <w:r>
        <w:rPr>
          <w:rFonts w:hint="eastAsia" w:ascii="仿宋_GB2312" w:hAnsi="Times New Roman" w:eastAsia="仿宋_GB2312" w:cs="Times New Roman"/>
          <w:color w:val="auto"/>
          <w:kern w:val="2"/>
          <w:szCs w:val="32"/>
          <w:lang w:val="en-US" w:eastAsia="zh-CN" w:bidi="ar-SA"/>
        </w:rPr>
        <w:fldChar w:fldCharType="separate"/>
      </w:r>
      <w:r>
        <w:rPr>
          <w:rFonts w:ascii="Times New Roman" w:hAnsi="Times New Roman" w:eastAsia="仿宋_GB2312" w:cs="Times New Roman"/>
          <w:color w:val="auto"/>
          <w:kern w:val="2"/>
          <w:szCs w:val="24"/>
          <w:lang w:val="en-US" w:eastAsia="zh-CN" w:bidi="ar-SA"/>
        </w:rPr>
        <w:t>第</w:t>
      </w:r>
      <w:r>
        <w:rPr>
          <w:rFonts w:hint="eastAsia" w:ascii="Times New Roman" w:hAnsi="Times New Roman" w:eastAsia="仿宋_GB2312" w:cs="Times New Roman"/>
          <w:color w:val="auto"/>
          <w:kern w:val="2"/>
          <w:szCs w:val="24"/>
          <w:lang w:val="en-US" w:eastAsia="zh-CN" w:bidi="ar-SA"/>
        </w:rPr>
        <w:t>六</w:t>
      </w:r>
      <w:r>
        <w:rPr>
          <w:rFonts w:ascii="Times New Roman" w:hAnsi="Times New Roman" w:eastAsia="仿宋_GB2312" w:cs="Times New Roman"/>
          <w:color w:val="auto"/>
          <w:kern w:val="2"/>
          <w:szCs w:val="24"/>
          <w:lang w:val="en-US" w:eastAsia="zh-CN" w:bidi="ar-SA"/>
        </w:rPr>
        <w:t>章</w:t>
      </w:r>
      <w:r>
        <w:rPr>
          <w:rFonts w:hint="eastAsia" w:ascii="Times New Roman" w:hAnsi="Times New Roman" w:eastAsia="仿宋_GB2312" w:cs="Times New Roman"/>
          <w:color w:val="auto"/>
          <w:kern w:val="2"/>
          <w:szCs w:val="24"/>
          <w:lang w:val="en-US" w:eastAsia="zh-CN" w:bidi="ar-SA"/>
        </w:rPr>
        <w:t xml:space="preserve"> </w:t>
      </w:r>
      <w:r>
        <w:rPr>
          <w:rFonts w:ascii="Times New Roman" w:hAnsi="Times New Roman" w:eastAsia="仿宋_GB2312" w:cs="Times New Roman"/>
          <w:color w:val="auto"/>
          <w:kern w:val="2"/>
          <w:szCs w:val="24"/>
          <w:lang w:val="en-US" w:eastAsia="zh-CN" w:bidi="ar-SA"/>
        </w:rPr>
        <w:t>挂牌竞价程序</w:t>
      </w:r>
      <w:r>
        <w:rPr>
          <w:rFonts w:ascii="Times New Roman" w:hAnsi="Times New Roman" w:eastAsia="宋体" w:cs="Times New Roman"/>
          <w:color w:val="auto"/>
          <w:kern w:val="2"/>
          <w:szCs w:val="24"/>
          <w:lang w:val="en-US" w:eastAsia="zh-CN" w:bidi="ar-SA"/>
        </w:rPr>
        <w:tab/>
      </w:r>
      <w:r>
        <w:rPr>
          <w:rFonts w:ascii="Times New Roman" w:hAnsi="Times New Roman" w:eastAsia="宋体" w:cs="Times New Roman"/>
          <w:color w:val="auto"/>
          <w:kern w:val="2"/>
          <w:szCs w:val="24"/>
          <w:lang w:val="en-US" w:eastAsia="zh-CN" w:bidi="ar-SA"/>
        </w:rPr>
        <w:fldChar w:fldCharType="begin"/>
      </w:r>
      <w:r>
        <w:rPr>
          <w:rFonts w:ascii="Times New Roman" w:hAnsi="Times New Roman" w:eastAsia="宋体" w:cs="Times New Roman"/>
          <w:color w:val="auto"/>
          <w:kern w:val="2"/>
          <w:szCs w:val="24"/>
          <w:lang w:val="en-US" w:eastAsia="zh-CN" w:bidi="ar-SA"/>
        </w:rPr>
        <w:instrText xml:space="preserve"> PAGEREF _Toc30390 </w:instrText>
      </w:r>
      <w:r>
        <w:rPr>
          <w:rFonts w:ascii="Times New Roman" w:hAnsi="Times New Roman" w:eastAsia="宋体" w:cs="Times New Roman"/>
          <w:color w:val="auto"/>
          <w:kern w:val="2"/>
          <w:szCs w:val="24"/>
          <w:lang w:val="en-US" w:eastAsia="zh-CN" w:bidi="ar-SA"/>
        </w:rPr>
        <w:fldChar w:fldCharType="separate"/>
      </w:r>
      <w:r>
        <w:rPr>
          <w:rFonts w:ascii="Times New Roman" w:hAnsi="Times New Roman" w:eastAsia="宋体" w:cs="Times New Roman"/>
          <w:color w:val="auto"/>
          <w:kern w:val="2"/>
          <w:szCs w:val="24"/>
          <w:lang w:val="en-US" w:eastAsia="zh-CN" w:bidi="ar-SA"/>
        </w:rPr>
        <w:t>19</w:t>
      </w:r>
      <w:r>
        <w:rPr>
          <w:rFonts w:ascii="Times New Roman" w:hAnsi="Times New Roman" w:eastAsia="宋体" w:cs="Times New Roman"/>
          <w:color w:val="auto"/>
          <w:kern w:val="2"/>
          <w:szCs w:val="24"/>
          <w:lang w:val="en-US" w:eastAsia="zh-CN" w:bidi="ar-SA"/>
        </w:rPr>
        <w:fldChar w:fldCharType="end"/>
      </w:r>
      <w:r>
        <w:rPr>
          <w:rFonts w:hint="eastAsia" w:ascii="仿宋_GB2312" w:hAnsi="Times New Roman" w:eastAsia="仿宋_GB2312" w:cs="Times New Roman"/>
          <w:color w:val="auto"/>
          <w:kern w:val="2"/>
          <w:szCs w:val="32"/>
          <w:lang w:val="en-US" w:eastAsia="zh-CN" w:bidi="ar-SA"/>
        </w:rPr>
        <w:fldChar w:fldCharType="end"/>
      </w:r>
    </w:p>
    <w:p>
      <w:pPr>
        <w:pStyle w:val="21"/>
        <w:tabs>
          <w:tab w:val="right" w:leader="dot" w:pos="8306"/>
          <w:tab w:val="clear" w:pos="-3261"/>
          <w:tab w:val="clear" w:pos="840"/>
          <w:tab w:val="clear" w:pos="8296"/>
        </w:tabs>
        <w:rPr>
          <w:rFonts w:ascii="Times New Roman" w:hAnsi="Times New Roman" w:eastAsia="宋体" w:cs="Times New Roman"/>
          <w:color w:val="auto"/>
          <w:kern w:val="2"/>
          <w:szCs w:val="24"/>
          <w:lang w:val="en-US" w:eastAsia="zh-CN" w:bidi="ar-SA"/>
        </w:rPr>
      </w:pPr>
      <w:r>
        <w:rPr>
          <w:rFonts w:hint="eastAsia" w:ascii="仿宋_GB2312" w:hAnsi="Times New Roman" w:eastAsia="仿宋_GB2312" w:cs="Times New Roman"/>
          <w:color w:val="auto"/>
          <w:kern w:val="2"/>
          <w:szCs w:val="32"/>
          <w:lang w:val="en-US" w:eastAsia="zh-CN" w:bidi="ar-SA"/>
        </w:rPr>
        <w:fldChar w:fldCharType="begin"/>
      </w:r>
      <w:r>
        <w:rPr>
          <w:rFonts w:hint="eastAsia" w:ascii="仿宋_GB2312" w:hAnsi="Times New Roman" w:eastAsia="仿宋_GB2312" w:cs="Times New Roman"/>
          <w:color w:val="auto"/>
          <w:kern w:val="2"/>
          <w:szCs w:val="32"/>
          <w:lang w:val="en-US" w:eastAsia="zh-CN" w:bidi="ar-SA"/>
        </w:rPr>
        <w:instrText xml:space="preserve"> HYPERLINK \l _Toc16230 </w:instrText>
      </w:r>
      <w:r>
        <w:rPr>
          <w:rFonts w:hint="eastAsia" w:ascii="仿宋_GB2312" w:hAnsi="Times New Roman" w:eastAsia="仿宋_GB2312" w:cs="Times New Roman"/>
          <w:color w:val="auto"/>
          <w:kern w:val="2"/>
          <w:szCs w:val="32"/>
          <w:lang w:val="en-US" w:eastAsia="zh-CN" w:bidi="ar-SA"/>
        </w:rPr>
        <w:fldChar w:fldCharType="separate"/>
      </w:r>
      <w:r>
        <w:rPr>
          <w:rFonts w:ascii="Times New Roman" w:hAnsi="Times New Roman" w:eastAsia="仿宋_GB2312" w:cs="Times New Roman"/>
          <w:color w:val="auto"/>
          <w:kern w:val="2"/>
          <w:szCs w:val="24"/>
          <w:lang w:val="en-US" w:eastAsia="zh-CN" w:bidi="ar-SA"/>
        </w:rPr>
        <w:t>第</w:t>
      </w:r>
      <w:r>
        <w:rPr>
          <w:rFonts w:hint="eastAsia" w:ascii="Times New Roman" w:hAnsi="Times New Roman" w:eastAsia="仿宋_GB2312" w:cs="Times New Roman"/>
          <w:color w:val="auto"/>
          <w:kern w:val="2"/>
          <w:szCs w:val="24"/>
          <w:lang w:val="en-US" w:eastAsia="zh-CN" w:bidi="ar-SA"/>
        </w:rPr>
        <w:t>七</w:t>
      </w:r>
      <w:r>
        <w:rPr>
          <w:rFonts w:ascii="Times New Roman" w:hAnsi="Times New Roman" w:eastAsia="仿宋_GB2312" w:cs="Times New Roman"/>
          <w:color w:val="auto"/>
          <w:kern w:val="2"/>
          <w:szCs w:val="24"/>
          <w:lang w:val="en-US" w:eastAsia="zh-CN" w:bidi="ar-SA"/>
        </w:rPr>
        <w:t>章</w:t>
      </w:r>
      <w:r>
        <w:rPr>
          <w:rFonts w:hint="eastAsia" w:ascii="Times New Roman" w:hAnsi="Times New Roman" w:eastAsia="仿宋_GB2312" w:cs="Times New Roman"/>
          <w:color w:val="auto"/>
          <w:kern w:val="2"/>
          <w:szCs w:val="24"/>
          <w:lang w:val="en-US" w:eastAsia="zh-CN" w:bidi="ar-SA"/>
        </w:rPr>
        <w:t xml:space="preserve"> </w:t>
      </w:r>
      <w:r>
        <w:rPr>
          <w:rFonts w:ascii="Times New Roman" w:hAnsi="Times New Roman" w:eastAsia="仿宋_GB2312" w:cs="Times New Roman"/>
          <w:color w:val="auto"/>
          <w:kern w:val="2"/>
          <w:szCs w:val="24"/>
          <w:lang w:val="en-US" w:eastAsia="zh-CN" w:bidi="ar-SA"/>
        </w:rPr>
        <w:t>竞买申请期限及内容</w:t>
      </w:r>
      <w:r>
        <w:rPr>
          <w:rFonts w:ascii="Times New Roman" w:hAnsi="Times New Roman" w:eastAsia="宋体" w:cs="Times New Roman"/>
          <w:color w:val="auto"/>
          <w:kern w:val="2"/>
          <w:szCs w:val="24"/>
          <w:lang w:val="en-US" w:eastAsia="zh-CN" w:bidi="ar-SA"/>
        </w:rPr>
        <w:tab/>
      </w:r>
      <w:r>
        <w:rPr>
          <w:rFonts w:ascii="Times New Roman" w:hAnsi="Times New Roman" w:eastAsia="宋体" w:cs="Times New Roman"/>
          <w:color w:val="auto"/>
          <w:kern w:val="2"/>
          <w:szCs w:val="24"/>
          <w:lang w:val="en-US" w:eastAsia="zh-CN" w:bidi="ar-SA"/>
        </w:rPr>
        <w:fldChar w:fldCharType="begin"/>
      </w:r>
      <w:r>
        <w:rPr>
          <w:rFonts w:ascii="Times New Roman" w:hAnsi="Times New Roman" w:eastAsia="宋体" w:cs="Times New Roman"/>
          <w:color w:val="auto"/>
          <w:kern w:val="2"/>
          <w:szCs w:val="24"/>
          <w:lang w:val="en-US" w:eastAsia="zh-CN" w:bidi="ar-SA"/>
        </w:rPr>
        <w:instrText xml:space="preserve"> PAGEREF _Toc16230 </w:instrText>
      </w:r>
      <w:r>
        <w:rPr>
          <w:rFonts w:ascii="Times New Roman" w:hAnsi="Times New Roman" w:eastAsia="宋体" w:cs="Times New Roman"/>
          <w:color w:val="auto"/>
          <w:kern w:val="2"/>
          <w:szCs w:val="24"/>
          <w:lang w:val="en-US" w:eastAsia="zh-CN" w:bidi="ar-SA"/>
        </w:rPr>
        <w:fldChar w:fldCharType="separate"/>
      </w:r>
      <w:r>
        <w:rPr>
          <w:rFonts w:ascii="Times New Roman" w:hAnsi="Times New Roman" w:eastAsia="宋体" w:cs="Times New Roman"/>
          <w:color w:val="auto"/>
          <w:kern w:val="2"/>
          <w:szCs w:val="24"/>
          <w:lang w:val="en-US" w:eastAsia="zh-CN" w:bidi="ar-SA"/>
        </w:rPr>
        <w:t>19</w:t>
      </w:r>
      <w:r>
        <w:rPr>
          <w:rFonts w:ascii="Times New Roman" w:hAnsi="Times New Roman" w:eastAsia="宋体" w:cs="Times New Roman"/>
          <w:color w:val="auto"/>
          <w:kern w:val="2"/>
          <w:szCs w:val="24"/>
          <w:lang w:val="en-US" w:eastAsia="zh-CN" w:bidi="ar-SA"/>
        </w:rPr>
        <w:fldChar w:fldCharType="end"/>
      </w:r>
      <w:r>
        <w:rPr>
          <w:rFonts w:hint="eastAsia" w:ascii="仿宋_GB2312" w:hAnsi="Times New Roman" w:eastAsia="仿宋_GB2312" w:cs="Times New Roman"/>
          <w:color w:val="auto"/>
          <w:kern w:val="2"/>
          <w:szCs w:val="32"/>
          <w:lang w:val="en-US" w:eastAsia="zh-CN" w:bidi="ar-SA"/>
        </w:rPr>
        <w:fldChar w:fldCharType="end"/>
      </w:r>
    </w:p>
    <w:p>
      <w:pPr>
        <w:pStyle w:val="21"/>
        <w:tabs>
          <w:tab w:val="right" w:leader="dot" w:pos="8306"/>
          <w:tab w:val="clear" w:pos="-3261"/>
          <w:tab w:val="clear" w:pos="840"/>
          <w:tab w:val="clear" w:pos="8296"/>
        </w:tabs>
        <w:rPr>
          <w:rFonts w:ascii="Times New Roman" w:hAnsi="Times New Roman" w:eastAsia="宋体" w:cs="Times New Roman"/>
          <w:color w:val="auto"/>
          <w:kern w:val="2"/>
          <w:szCs w:val="24"/>
          <w:lang w:val="en-US" w:eastAsia="zh-CN" w:bidi="ar-SA"/>
        </w:rPr>
      </w:pPr>
      <w:r>
        <w:rPr>
          <w:rFonts w:hint="eastAsia" w:ascii="仿宋_GB2312" w:hAnsi="Times New Roman" w:eastAsia="仿宋_GB2312" w:cs="Times New Roman"/>
          <w:color w:val="auto"/>
          <w:kern w:val="2"/>
          <w:szCs w:val="32"/>
          <w:lang w:val="en-US" w:eastAsia="zh-CN" w:bidi="ar-SA"/>
        </w:rPr>
        <w:fldChar w:fldCharType="begin"/>
      </w:r>
      <w:r>
        <w:rPr>
          <w:rFonts w:hint="eastAsia" w:ascii="仿宋_GB2312" w:hAnsi="Times New Roman" w:eastAsia="仿宋_GB2312" w:cs="Times New Roman"/>
          <w:color w:val="auto"/>
          <w:kern w:val="2"/>
          <w:szCs w:val="32"/>
          <w:lang w:val="en-US" w:eastAsia="zh-CN" w:bidi="ar-SA"/>
        </w:rPr>
        <w:instrText xml:space="preserve"> HYPERLINK \l _Toc18986 </w:instrText>
      </w:r>
      <w:r>
        <w:rPr>
          <w:rFonts w:hint="eastAsia" w:ascii="仿宋_GB2312" w:hAnsi="Times New Roman" w:eastAsia="仿宋_GB2312" w:cs="Times New Roman"/>
          <w:color w:val="auto"/>
          <w:kern w:val="2"/>
          <w:szCs w:val="32"/>
          <w:lang w:val="en-US" w:eastAsia="zh-CN" w:bidi="ar-SA"/>
        </w:rPr>
        <w:fldChar w:fldCharType="separate"/>
      </w:r>
      <w:r>
        <w:rPr>
          <w:rFonts w:ascii="Times New Roman" w:hAnsi="Times New Roman" w:eastAsia="仿宋_GB2312" w:cs="Times New Roman"/>
          <w:color w:val="auto"/>
          <w:kern w:val="2"/>
          <w:szCs w:val="24"/>
          <w:lang w:val="en-US" w:eastAsia="zh-CN" w:bidi="ar-SA"/>
        </w:rPr>
        <w:t>第</w:t>
      </w:r>
      <w:r>
        <w:rPr>
          <w:rFonts w:hint="eastAsia" w:ascii="Times New Roman" w:hAnsi="Times New Roman" w:eastAsia="仿宋_GB2312" w:cs="Times New Roman"/>
          <w:color w:val="auto"/>
          <w:kern w:val="2"/>
          <w:szCs w:val="24"/>
          <w:lang w:val="en-US" w:eastAsia="zh-CN" w:bidi="ar-SA"/>
        </w:rPr>
        <w:t>八</w:t>
      </w:r>
      <w:r>
        <w:rPr>
          <w:rFonts w:ascii="Times New Roman" w:hAnsi="Times New Roman" w:eastAsia="仿宋_GB2312" w:cs="Times New Roman"/>
          <w:color w:val="auto"/>
          <w:kern w:val="2"/>
          <w:szCs w:val="24"/>
          <w:lang w:val="en-US" w:eastAsia="zh-CN" w:bidi="ar-SA"/>
        </w:rPr>
        <w:t>章</w:t>
      </w:r>
      <w:r>
        <w:rPr>
          <w:rFonts w:hint="eastAsia" w:ascii="Times New Roman" w:hAnsi="Times New Roman" w:eastAsia="仿宋_GB2312" w:cs="Times New Roman"/>
          <w:color w:val="auto"/>
          <w:kern w:val="2"/>
          <w:szCs w:val="24"/>
          <w:lang w:val="en-US" w:eastAsia="zh-CN" w:bidi="ar-SA"/>
        </w:rPr>
        <w:t xml:space="preserve"> </w:t>
      </w:r>
      <w:r>
        <w:rPr>
          <w:rFonts w:ascii="Times New Roman" w:hAnsi="Times New Roman" w:eastAsia="仿宋_GB2312" w:cs="Times New Roman"/>
          <w:color w:val="auto"/>
          <w:kern w:val="2"/>
          <w:szCs w:val="24"/>
          <w:lang w:val="en-US" w:eastAsia="zh-CN" w:bidi="ar-SA"/>
        </w:rPr>
        <w:t>竞买保证金</w:t>
      </w:r>
      <w:r>
        <w:rPr>
          <w:rFonts w:ascii="Times New Roman" w:hAnsi="Times New Roman" w:eastAsia="宋体" w:cs="Times New Roman"/>
          <w:color w:val="auto"/>
          <w:kern w:val="2"/>
          <w:szCs w:val="24"/>
          <w:lang w:val="en-US" w:eastAsia="zh-CN" w:bidi="ar-SA"/>
        </w:rPr>
        <w:tab/>
      </w:r>
      <w:r>
        <w:rPr>
          <w:rFonts w:ascii="Times New Roman" w:hAnsi="Times New Roman" w:eastAsia="宋体" w:cs="Times New Roman"/>
          <w:color w:val="auto"/>
          <w:kern w:val="2"/>
          <w:szCs w:val="24"/>
          <w:lang w:val="en-US" w:eastAsia="zh-CN" w:bidi="ar-SA"/>
        </w:rPr>
        <w:fldChar w:fldCharType="begin"/>
      </w:r>
      <w:r>
        <w:rPr>
          <w:rFonts w:ascii="Times New Roman" w:hAnsi="Times New Roman" w:eastAsia="宋体" w:cs="Times New Roman"/>
          <w:color w:val="auto"/>
          <w:kern w:val="2"/>
          <w:szCs w:val="24"/>
          <w:lang w:val="en-US" w:eastAsia="zh-CN" w:bidi="ar-SA"/>
        </w:rPr>
        <w:instrText xml:space="preserve"> PAGEREF _Toc18986 </w:instrText>
      </w:r>
      <w:r>
        <w:rPr>
          <w:rFonts w:ascii="Times New Roman" w:hAnsi="Times New Roman" w:eastAsia="宋体" w:cs="Times New Roman"/>
          <w:color w:val="auto"/>
          <w:kern w:val="2"/>
          <w:szCs w:val="24"/>
          <w:lang w:val="en-US" w:eastAsia="zh-CN" w:bidi="ar-SA"/>
        </w:rPr>
        <w:fldChar w:fldCharType="separate"/>
      </w:r>
      <w:r>
        <w:rPr>
          <w:rFonts w:ascii="Times New Roman" w:hAnsi="Times New Roman" w:eastAsia="宋体" w:cs="Times New Roman"/>
          <w:color w:val="auto"/>
          <w:kern w:val="2"/>
          <w:szCs w:val="24"/>
          <w:lang w:val="en-US" w:eastAsia="zh-CN" w:bidi="ar-SA"/>
        </w:rPr>
        <w:t>22</w:t>
      </w:r>
      <w:r>
        <w:rPr>
          <w:rFonts w:ascii="Times New Roman" w:hAnsi="Times New Roman" w:eastAsia="宋体" w:cs="Times New Roman"/>
          <w:color w:val="auto"/>
          <w:kern w:val="2"/>
          <w:szCs w:val="24"/>
          <w:lang w:val="en-US" w:eastAsia="zh-CN" w:bidi="ar-SA"/>
        </w:rPr>
        <w:fldChar w:fldCharType="end"/>
      </w:r>
      <w:r>
        <w:rPr>
          <w:rFonts w:hint="eastAsia" w:ascii="仿宋_GB2312" w:hAnsi="Times New Roman" w:eastAsia="仿宋_GB2312" w:cs="Times New Roman"/>
          <w:color w:val="auto"/>
          <w:kern w:val="2"/>
          <w:szCs w:val="32"/>
          <w:lang w:val="en-US" w:eastAsia="zh-CN" w:bidi="ar-SA"/>
        </w:rPr>
        <w:fldChar w:fldCharType="end"/>
      </w:r>
    </w:p>
    <w:p>
      <w:pPr>
        <w:pStyle w:val="21"/>
        <w:tabs>
          <w:tab w:val="right" w:leader="dot" w:pos="8306"/>
          <w:tab w:val="clear" w:pos="-3261"/>
          <w:tab w:val="clear" w:pos="840"/>
          <w:tab w:val="clear" w:pos="8296"/>
        </w:tabs>
        <w:rPr>
          <w:rFonts w:ascii="Times New Roman" w:hAnsi="Times New Roman" w:eastAsia="宋体" w:cs="Times New Roman"/>
          <w:color w:val="auto"/>
          <w:kern w:val="2"/>
          <w:szCs w:val="24"/>
          <w:lang w:val="en-US" w:eastAsia="zh-CN" w:bidi="ar-SA"/>
        </w:rPr>
      </w:pPr>
      <w:r>
        <w:rPr>
          <w:rFonts w:hint="eastAsia" w:ascii="仿宋_GB2312" w:hAnsi="Times New Roman" w:eastAsia="仿宋_GB2312" w:cs="Times New Roman"/>
          <w:color w:val="auto"/>
          <w:kern w:val="2"/>
          <w:szCs w:val="32"/>
          <w:lang w:val="en-US" w:eastAsia="zh-CN" w:bidi="ar-SA"/>
        </w:rPr>
        <w:fldChar w:fldCharType="begin"/>
      </w:r>
      <w:r>
        <w:rPr>
          <w:rFonts w:hint="eastAsia" w:ascii="仿宋_GB2312" w:hAnsi="Times New Roman" w:eastAsia="仿宋_GB2312" w:cs="Times New Roman"/>
          <w:color w:val="auto"/>
          <w:kern w:val="2"/>
          <w:szCs w:val="32"/>
          <w:lang w:val="en-US" w:eastAsia="zh-CN" w:bidi="ar-SA"/>
        </w:rPr>
        <w:instrText xml:space="preserve"> HYPERLINK \l _Toc21971 </w:instrText>
      </w:r>
      <w:r>
        <w:rPr>
          <w:rFonts w:hint="eastAsia" w:ascii="仿宋_GB2312" w:hAnsi="Times New Roman" w:eastAsia="仿宋_GB2312" w:cs="Times New Roman"/>
          <w:color w:val="auto"/>
          <w:kern w:val="2"/>
          <w:szCs w:val="32"/>
          <w:lang w:val="en-US" w:eastAsia="zh-CN" w:bidi="ar-SA"/>
        </w:rPr>
        <w:fldChar w:fldCharType="separate"/>
      </w:r>
      <w:r>
        <w:rPr>
          <w:rFonts w:ascii="Times New Roman" w:hAnsi="Times New Roman" w:eastAsia="仿宋_GB2312" w:cs="Times New Roman"/>
          <w:color w:val="auto"/>
          <w:kern w:val="2"/>
          <w:szCs w:val="24"/>
          <w:lang w:val="en-US" w:eastAsia="zh-CN" w:bidi="ar-SA"/>
        </w:rPr>
        <w:t>第</w:t>
      </w:r>
      <w:r>
        <w:rPr>
          <w:rFonts w:hint="eastAsia" w:ascii="Times New Roman" w:hAnsi="Times New Roman" w:eastAsia="仿宋_GB2312" w:cs="Times New Roman"/>
          <w:color w:val="auto"/>
          <w:kern w:val="2"/>
          <w:szCs w:val="24"/>
          <w:lang w:val="en-US" w:eastAsia="zh-CN" w:bidi="ar-SA"/>
        </w:rPr>
        <w:t>九</w:t>
      </w:r>
      <w:r>
        <w:rPr>
          <w:rFonts w:ascii="Times New Roman" w:hAnsi="Times New Roman" w:eastAsia="仿宋_GB2312" w:cs="Times New Roman"/>
          <w:color w:val="auto"/>
          <w:kern w:val="2"/>
          <w:szCs w:val="24"/>
          <w:lang w:val="en-US" w:eastAsia="zh-CN" w:bidi="ar-SA"/>
        </w:rPr>
        <w:t>章报价期限和竞买规则</w:t>
      </w:r>
      <w:r>
        <w:rPr>
          <w:rFonts w:ascii="Times New Roman" w:hAnsi="Times New Roman" w:eastAsia="宋体" w:cs="Times New Roman"/>
          <w:color w:val="auto"/>
          <w:kern w:val="2"/>
          <w:szCs w:val="24"/>
          <w:lang w:val="en-US" w:eastAsia="zh-CN" w:bidi="ar-SA"/>
        </w:rPr>
        <w:tab/>
      </w:r>
      <w:r>
        <w:rPr>
          <w:rFonts w:ascii="Times New Roman" w:hAnsi="Times New Roman" w:eastAsia="宋体" w:cs="Times New Roman"/>
          <w:color w:val="auto"/>
          <w:kern w:val="2"/>
          <w:szCs w:val="24"/>
          <w:lang w:val="en-US" w:eastAsia="zh-CN" w:bidi="ar-SA"/>
        </w:rPr>
        <w:fldChar w:fldCharType="begin"/>
      </w:r>
      <w:r>
        <w:rPr>
          <w:rFonts w:ascii="Times New Roman" w:hAnsi="Times New Roman" w:eastAsia="宋体" w:cs="Times New Roman"/>
          <w:color w:val="auto"/>
          <w:kern w:val="2"/>
          <w:szCs w:val="24"/>
          <w:lang w:val="en-US" w:eastAsia="zh-CN" w:bidi="ar-SA"/>
        </w:rPr>
        <w:instrText xml:space="preserve"> PAGEREF _Toc21971 </w:instrText>
      </w:r>
      <w:r>
        <w:rPr>
          <w:rFonts w:ascii="Times New Roman" w:hAnsi="Times New Roman" w:eastAsia="宋体" w:cs="Times New Roman"/>
          <w:color w:val="auto"/>
          <w:kern w:val="2"/>
          <w:szCs w:val="24"/>
          <w:lang w:val="en-US" w:eastAsia="zh-CN" w:bidi="ar-SA"/>
        </w:rPr>
        <w:fldChar w:fldCharType="separate"/>
      </w:r>
      <w:r>
        <w:rPr>
          <w:rFonts w:ascii="Times New Roman" w:hAnsi="Times New Roman" w:eastAsia="宋体" w:cs="Times New Roman"/>
          <w:color w:val="auto"/>
          <w:kern w:val="2"/>
          <w:szCs w:val="24"/>
          <w:lang w:val="en-US" w:eastAsia="zh-CN" w:bidi="ar-SA"/>
        </w:rPr>
        <w:t>24</w:t>
      </w:r>
      <w:r>
        <w:rPr>
          <w:rFonts w:ascii="Times New Roman" w:hAnsi="Times New Roman" w:eastAsia="宋体" w:cs="Times New Roman"/>
          <w:color w:val="auto"/>
          <w:kern w:val="2"/>
          <w:szCs w:val="24"/>
          <w:lang w:val="en-US" w:eastAsia="zh-CN" w:bidi="ar-SA"/>
        </w:rPr>
        <w:fldChar w:fldCharType="end"/>
      </w:r>
      <w:r>
        <w:rPr>
          <w:rFonts w:hint="eastAsia" w:ascii="仿宋_GB2312" w:hAnsi="Times New Roman" w:eastAsia="仿宋_GB2312" w:cs="Times New Roman"/>
          <w:color w:val="auto"/>
          <w:kern w:val="2"/>
          <w:szCs w:val="32"/>
          <w:lang w:val="en-US" w:eastAsia="zh-CN" w:bidi="ar-SA"/>
        </w:rPr>
        <w:fldChar w:fldCharType="end"/>
      </w:r>
    </w:p>
    <w:p>
      <w:pPr>
        <w:pStyle w:val="21"/>
        <w:tabs>
          <w:tab w:val="right" w:leader="dot" w:pos="8306"/>
          <w:tab w:val="clear" w:pos="-3261"/>
          <w:tab w:val="clear" w:pos="840"/>
          <w:tab w:val="clear" w:pos="8296"/>
        </w:tabs>
        <w:rPr>
          <w:rFonts w:ascii="Times New Roman" w:hAnsi="Times New Roman" w:eastAsia="宋体" w:cs="Times New Roman"/>
          <w:color w:val="auto"/>
          <w:kern w:val="2"/>
          <w:szCs w:val="24"/>
          <w:lang w:val="en-US" w:eastAsia="zh-CN" w:bidi="ar-SA"/>
        </w:rPr>
      </w:pPr>
      <w:r>
        <w:rPr>
          <w:rFonts w:hint="eastAsia" w:ascii="仿宋_GB2312" w:hAnsi="Times New Roman" w:eastAsia="仿宋_GB2312" w:cs="Times New Roman"/>
          <w:color w:val="auto"/>
          <w:kern w:val="2"/>
          <w:szCs w:val="32"/>
          <w:lang w:val="en-US" w:eastAsia="zh-CN" w:bidi="ar-SA"/>
        </w:rPr>
        <w:fldChar w:fldCharType="begin"/>
      </w:r>
      <w:r>
        <w:rPr>
          <w:rFonts w:hint="eastAsia" w:ascii="仿宋_GB2312" w:hAnsi="Times New Roman" w:eastAsia="仿宋_GB2312" w:cs="Times New Roman"/>
          <w:color w:val="auto"/>
          <w:kern w:val="2"/>
          <w:szCs w:val="32"/>
          <w:lang w:val="en-US" w:eastAsia="zh-CN" w:bidi="ar-SA"/>
        </w:rPr>
        <w:instrText xml:space="preserve"> HYPERLINK \l _Toc24490 </w:instrText>
      </w:r>
      <w:r>
        <w:rPr>
          <w:rFonts w:hint="eastAsia" w:ascii="仿宋_GB2312" w:hAnsi="Times New Roman" w:eastAsia="仿宋_GB2312" w:cs="Times New Roman"/>
          <w:color w:val="auto"/>
          <w:kern w:val="2"/>
          <w:szCs w:val="32"/>
          <w:lang w:val="en-US" w:eastAsia="zh-CN" w:bidi="ar-SA"/>
        </w:rPr>
        <w:fldChar w:fldCharType="separate"/>
      </w:r>
      <w:r>
        <w:rPr>
          <w:rFonts w:ascii="Times New Roman" w:hAnsi="Times New Roman" w:eastAsia="仿宋_GB2312" w:cs="Times New Roman"/>
          <w:color w:val="auto"/>
          <w:kern w:val="2"/>
          <w:szCs w:val="24"/>
          <w:lang w:val="en-US" w:eastAsia="zh-CN" w:bidi="ar-SA"/>
        </w:rPr>
        <w:t>第</w:t>
      </w:r>
      <w:r>
        <w:rPr>
          <w:rFonts w:hint="eastAsia" w:ascii="Times New Roman" w:hAnsi="Times New Roman" w:eastAsia="仿宋_GB2312" w:cs="Times New Roman"/>
          <w:color w:val="auto"/>
          <w:kern w:val="2"/>
          <w:szCs w:val="24"/>
          <w:lang w:val="en-US" w:eastAsia="zh-CN" w:bidi="ar-SA"/>
        </w:rPr>
        <w:t>十</w:t>
      </w:r>
      <w:r>
        <w:rPr>
          <w:rFonts w:ascii="Times New Roman" w:hAnsi="Times New Roman" w:eastAsia="仿宋_GB2312" w:cs="Times New Roman"/>
          <w:color w:val="auto"/>
          <w:kern w:val="2"/>
          <w:szCs w:val="24"/>
          <w:lang w:val="en-US" w:eastAsia="zh-CN" w:bidi="ar-SA"/>
        </w:rPr>
        <w:t>章</w:t>
      </w:r>
      <w:r>
        <w:rPr>
          <w:rFonts w:hint="eastAsia" w:ascii="Times New Roman" w:hAnsi="Times New Roman" w:eastAsia="仿宋_GB2312" w:cs="Times New Roman"/>
          <w:color w:val="auto"/>
          <w:kern w:val="2"/>
          <w:szCs w:val="24"/>
          <w:lang w:val="en-US" w:eastAsia="zh-CN" w:bidi="ar-SA"/>
        </w:rPr>
        <w:t xml:space="preserve">  竞得人的确定</w:t>
      </w:r>
      <w:r>
        <w:rPr>
          <w:rFonts w:ascii="Times New Roman" w:hAnsi="Times New Roman" w:eastAsia="宋体" w:cs="Times New Roman"/>
          <w:color w:val="auto"/>
          <w:kern w:val="2"/>
          <w:szCs w:val="24"/>
          <w:lang w:val="en-US" w:eastAsia="zh-CN" w:bidi="ar-SA"/>
        </w:rPr>
        <w:tab/>
      </w:r>
      <w:r>
        <w:rPr>
          <w:rFonts w:ascii="Times New Roman" w:hAnsi="Times New Roman" w:eastAsia="宋体" w:cs="Times New Roman"/>
          <w:color w:val="auto"/>
          <w:kern w:val="2"/>
          <w:szCs w:val="24"/>
          <w:lang w:val="en-US" w:eastAsia="zh-CN" w:bidi="ar-SA"/>
        </w:rPr>
        <w:fldChar w:fldCharType="begin"/>
      </w:r>
      <w:r>
        <w:rPr>
          <w:rFonts w:ascii="Times New Roman" w:hAnsi="Times New Roman" w:eastAsia="宋体" w:cs="Times New Roman"/>
          <w:color w:val="auto"/>
          <w:kern w:val="2"/>
          <w:szCs w:val="24"/>
          <w:lang w:val="en-US" w:eastAsia="zh-CN" w:bidi="ar-SA"/>
        </w:rPr>
        <w:instrText xml:space="preserve"> PAGEREF _Toc24490 </w:instrText>
      </w:r>
      <w:r>
        <w:rPr>
          <w:rFonts w:ascii="Times New Roman" w:hAnsi="Times New Roman" w:eastAsia="宋体" w:cs="Times New Roman"/>
          <w:color w:val="auto"/>
          <w:kern w:val="2"/>
          <w:szCs w:val="24"/>
          <w:lang w:val="en-US" w:eastAsia="zh-CN" w:bidi="ar-SA"/>
        </w:rPr>
        <w:fldChar w:fldCharType="separate"/>
      </w:r>
      <w:r>
        <w:rPr>
          <w:rFonts w:ascii="Times New Roman" w:hAnsi="Times New Roman" w:eastAsia="宋体" w:cs="Times New Roman"/>
          <w:color w:val="auto"/>
          <w:kern w:val="2"/>
          <w:szCs w:val="24"/>
          <w:lang w:val="en-US" w:eastAsia="zh-CN" w:bidi="ar-SA"/>
        </w:rPr>
        <w:t>25</w:t>
      </w:r>
      <w:r>
        <w:rPr>
          <w:rFonts w:ascii="Times New Roman" w:hAnsi="Times New Roman" w:eastAsia="宋体" w:cs="Times New Roman"/>
          <w:color w:val="auto"/>
          <w:kern w:val="2"/>
          <w:szCs w:val="24"/>
          <w:lang w:val="en-US" w:eastAsia="zh-CN" w:bidi="ar-SA"/>
        </w:rPr>
        <w:fldChar w:fldCharType="end"/>
      </w:r>
      <w:r>
        <w:rPr>
          <w:rFonts w:hint="eastAsia" w:ascii="仿宋_GB2312" w:hAnsi="Times New Roman" w:eastAsia="仿宋_GB2312" w:cs="Times New Roman"/>
          <w:color w:val="auto"/>
          <w:kern w:val="2"/>
          <w:szCs w:val="32"/>
          <w:lang w:val="en-US" w:eastAsia="zh-CN" w:bidi="ar-SA"/>
        </w:rPr>
        <w:fldChar w:fldCharType="end"/>
      </w:r>
    </w:p>
    <w:p>
      <w:pPr>
        <w:pStyle w:val="21"/>
        <w:tabs>
          <w:tab w:val="right" w:leader="dot" w:pos="8306"/>
          <w:tab w:val="clear" w:pos="-3261"/>
          <w:tab w:val="clear" w:pos="840"/>
          <w:tab w:val="clear" w:pos="8296"/>
        </w:tabs>
        <w:rPr>
          <w:rFonts w:ascii="Times New Roman" w:hAnsi="Times New Roman" w:eastAsia="宋体" w:cs="Times New Roman"/>
          <w:color w:val="auto"/>
          <w:kern w:val="2"/>
          <w:szCs w:val="24"/>
          <w:lang w:val="en-US" w:eastAsia="zh-CN" w:bidi="ar-SA"/>
        </w:rPr>
      </w:pPr>
      <w:r>
        <w:rPr>
          <w:rFonts w:hint="eastAsia" w:ascii="仿宋_GB2312" w:hAnsi="Times New Roman" w:eastAsia="仿宋_GB2312" w:cs="Times New Roman"/>
          <w:color w:val="auto"/>
          <w:kern w:val="2"/>
          <w:szCs w:val="32"/>
          <w:lang w:val="en-US" w:eastAsia="zh-CN" w:bidi="ar-SA"/>
        </w:rPr>
        <w:fldChar w:fldCharType="begin"/>
      </w:r>
      <w:r>
        <w:rPr>
          <w:rFonts w:hint="eastAsia" w:ascii="仿宋_GB2312" w:hAnsi="Times New Roman" w:eastAsia="仿宋_GB2312" w:cs="Times New Roman"/>
          <w:color w:val="auto"/>
          <w:kern w:val="2"/>
          <w:szCs w:val="32"/>
          <w:lang w:val="en-US" w:eastAsia="zh-CN" w:bidi="ar-SA"/>
        </w:rPr>
        <w:instrText xml:space="preserve"> HYPERLINK \l _Toc27037 </w:instrText>
      </w:r>
      <w:r>
        <w:rPr>
          <w:rFonts w:hint="eastAsia" w:ascii="仿宋_GB2312" w:hAnsi="Times New Roman" w:eastAsia="仿宋_GB2312" w:cs="Times New Roman"/>
          <w:color w:val="auto"/>
          <w:kern w:val="2"/>
          <w:szCs w:val="32"/>
          <w:lang w:val="en-US" w:eastAsia="zh-CN" w:bidi="ar-SA"/>
        </w:rPr>
        <w:fldChar w:fldCharType="separate"/>
      </w:r>
      <w:r>
        <w:rPr>
          <w:rFonts w:ascii="Times New Roman" w:hAnsi="Times New Roman" w:eastAsia="仿宋_GB2312" w:cs="Times New Roman"/>
          <w:color w:val="auto"/>
          <w:kern w:val="2"/>
          <w:szCs w:val="24"/>
          <w:lang w:val="en-US" w:eastAsia="zh-CN" w:bidi="ar-SA"/>
        </w:rPr>
        <w:t>第十</w:t>
      </w:r>
      <w:r>
        <w:rPr>
          <w:rFonts w:hint="eastAsia" w:ascii="Times New Roman" w:hAnsi="Times New Roman" w:eastAsia="仿宋_GB2312" w:cs="Times New Roman"/>
          <w:color w:val="auto"/>
          <w:kern w:val="2"/>
          <w:szCs w:val="24"/>
          <w:lang w:val="en-US" w:eastAsia="zh-CN" w:bidi="ar-SA"/>
        </w:rPr>
        <w:t>一</w:t>
      </w:r>
      <w:r>
        <w:rPr>
          <w:rFonts w:ascii="Times New Roman" w:hAnsi="Times New Roman" w:eastAsia="仿宋_GB2312" w:cs="Times New Roman"/>
          <w:color w:val="auto"/>
          <w:kern w:val="2"/>
          <w:szCs w:val="24"/>
          <w:lang w:val="en-US" w:eastAsia="zh-CN" w:bidi="ar-SA"/>
        </w:rPr>
        <w:t>章合同的签订</w:t>
      </w:r>
      <w:r>
        <w:rPr>
          <w:rFonts w:ascii="Times New Roman" w:hAnsi="Times New Roman" w:eastAsia="宋体" w:cs="Times New Roman"/>
          <w:color w:val="auto"/>
          <w:kern w:val="2"/>
          <w:szCs w:val="24"/>
          <w:lang w:val="en-US" w:eastAsia="zh-CN" w:bidi="ar-SA"/>
        </w:rPr>
        <w:tab/>
      </w:r>
      <w:r>
        <w:rPr>
          <w:rFonts w:ascii="Times New Roman" w:hAnsi="Times New Roman" w:eastAsia="宋体" w:cs="Times New Roman"/>
          <w:color w:val="auto"/>
          <w:kern w:val="2"/>
          <w:szCs w:val="24"/>
          <w:lang w:val="en-US" w:eastAsia="zh-CN" w:bidi="ar-SA"/>
        </w:rPr>
        <w:fldChar w:fldCharType="begin"/>
      </w:r>
      <w:r>
        <w:rPr>
          <w:rFonts w:ascii="Times New Roman" w:hAnsi="Times New Roman" w:eastAsia="宋体" w:cs="Times New Roman"/>
          <w:color w:val="auto"/>
          <w:kern w:val="2"/>
          <w:szCs w:val="24"/>
          <w:lang w:val="en-US" w:eastAsia="zh-CN" w:bidi="ar-SA"/>
        </w:rPr>
        <w:instrText xml:space="preserve"> PAGEREF _Toc27037 </w:instrText>
      </w:r>
      <w:r>
        <w:rPr>
          <w:rFonts w:ascii="Times New Roman" w:hAnsi="Times New Roman" w:eastAsia="宋体" w:cs="Times New Roman"/>
          <w:color w:val="auto"/>
          <w:kern w:val="2"/>
          <w:szCs w:val="24"/>
          <w:lang w:val="en-US" w:eastAsia="zh-CN" w:bidi="ar-SA"/>
        </w:rPr>
        <w:fldChar w:fldCharType="separate"/>
      </w:r>
      <w:r>
        <w:rPr>
          <w:rFonts w:ascii="Times New Roman" w:hAnsi="Times New Roman" w:eastAsia="宋体" w:cs="Times New Roman"/>
          <w:color w:val="auto"/>
          <w:kern w:val="2"/>
          <w:szCs w:val="24"/>
          <w:lang w:val="en-US" w:eastAsia="zh-CN" w:bidi="ar-SA"/>
        </w:rPr>
        <w:t>27</w:t>
      </w:r>
      <w:r>
        <w:rPr>
          <w:rFonts w:ascii="Times New Roman" w:hAnsi="Times New Roman" w:eastAsia="宋体" w:cs="Times New Roman"/>
          <w:color w:val="auto"/>
          <w:kern w:val="2"/>
          <w:szCs w:val="24"/>
          <w:lang w:val="en-US" w:eastAsia="zh-CN" w:bidi="ar-SA"/>
        </w:rPr>
        <w:fldChar w:fldCharType="end"/>
      </w:r>
      <w:r>
        <w:rPr>
          <w:rFonts w:hint="eastAsia" w:ascii="仿宋_GB2312" w:hAnsi="Times New Roman" w:eastAsia="仿宋_GB2312" w:cs="Times New Roman"/>
          <w:color w:val="auto"/>
          <w:kern w:val="2"/>
          <w:szCs w:val="32"/>
          <w:lang w:val="en-US" w:eastAsia="zh-CN" w:bidi="ar-SA"/>
        </w:rPr>
        <w:fldChar w:fldCharType="end"/>
      </w:r>
    </w:p>
    <w:p>
      <w:pPr>
        <w:pStyle w:val="21"/>
        <w:tabs>
          <w:tab w:val="right" w:leader="dot" w:pos="8306"/>
          <w:tab w:val="clear" w:pos="-3261"/>
          <w:tab w:val="clear" w:pos="840"/>
          <w:tab w:val="clear" w:pos="8296"/>
        </w:tabs>
        <w:rPr>
          <w:rFonts w:ascii="Times New Roman" w:hAnsi="Times New Roman" w:eastAsia="宋体" w:cs="Times New Roman"/>
          <w:color w:val="auto"/>
          <w:kern w:val="2"/>
          <w:szCs w:val="24"/>
          <w:lang w:val="en-US" w:eastAsia="zh-CN" w:bidi="ar-SA"/>
        </w:rPr>
      </w:pPr>
      <w:r>
        <w:rPr>
          <w:rFonts w:hint="eastAsia" w:ascii="仿宋_GB2312" w:hAnsi="Times New Roman" w:eastAsia="仿宋_GB2312" w:cs="Times New Roman"/>
          <w:color w:val="auto"/>
          <w:kern w:val="2"/>
          <w:szCs w:val="32"/>
          <w:lang w:val="en-US" w:eastAsia="zh-CN" w:bidi="ar-SA"/>
        </w:rPr>
        <w:fldChar w:fldCharType="begin"/>
      </w:r>
      <w:r>
        <w:rPr>
          <w:rFonts w:hint="eastAsia" w:ascii="仿宋_GB2312" w:hAnsi="Times New Roman" w:eastAsia="仿宋_GB2312" w:cs="Times New Roman"/>
          <w:color w:val="auto"/>
          <w:kern w:val="2"/>
          <w:szCs w:val="32"/>
          <w:lang w:val="en-US" w:eastAsia="zh-CN" w:bidi="ar-SA"/>
        </w:rPr>
        <w:instrText xml:space="preserve"> HYPERLINK \l _Toc2957 </w:instrText>
      </w:r>
      <w:r>
        <w:rPr>
          <w:rFonts w:hint="eastAsia" w:ascii="仿宋_GB2312" w:hAnsi="Times New Roman" w:eastAsia="仿宋_GB2312" w:cs="Times New Roman"/>
          <w:color w:val="auto"/>
          <w:kern w:val="2"/>
          <w:szCs w:val="32"/>
          <w:lang w:val="en-US" w:eastAsia="zh-CN" w:bidi="ar-SA"/>
        </w:rPr>
        <w:fldChar w:fldCharType="separate"/>
      </w:r>
      <w:r>
        <w:rPr>
          <w:rFonts w:ascii="Times New Roman" w:hAnsi="Times New Roman" w:eastAsia="仿宋_GB2312" w:cs="Times New Roman"/>
          <w:color w:val="auto"/>
          <w:kern w:val="2"/>
          <w:szCs w:val="24"/>
          <w:lang w:val="en-US" w:eastAsia="zh-CN" w:bidi="ar-SA"/>
        </w:rPr>
        <w:t>第十</w:t>
      </w:r>
      <w:r>
        <w:rPr>
          <w:rFonts w:hint="eastAsia" w:ascii="Times New Roman" w:hAnsi="Times New Roman" w:eastAsia="仿宋_GB2312" w:cs="Times New Roman"/>
          <w:color w:val="auto"/>
          <w:kern w:val="2"/>
          <w:szCs w:val="24"/>
          <w:lang w:val="en-US" w:eastAsia="zh-CN" w:bidi="ar-SA"/>
        </w:rPr>
        <w:t>二</w:t>
      </w:r>
      <w:r>
        <w:rPr>
          <w:rFonts w:ascii="Times New Roman" w:hAnsi="Times New Roman" w:eastAsia="仿宋_GB2312" w:cs="Times New Roman"/>
          <w:color w:val="auto"/>
          <w:kern w:val="2"/>
          <w:szCs w:val="24"/>
          <w:lang w:val="en-US" w:eastAsia="zh-CN" w:bidi="ar-SA"/>
        </w:rPr>
        <w:t>章违约责任</w:t>
      </w:r>
      <w:r>
        <w:rPr>
          <w:rFonts w:ascii="Times New Roman" w:hAnsi="Times New Roman" w:eastAsia="宋体" w:cs="Times New Roman"/>
          <w:color w:val="auto"/>
          <w:kern w:val="2"/>
          <w:szCs w:val="24"/>
          <w:lang w:val="en-US" w:eastAsia="zh-CN" w:bidi="ar-SA"/>
        </w:rPr>
        <w:tab/>
      </w:r>
      <w:r>
        <w:rPr>
          <w:rFonts w:ascii="Times New Roman" w:hAnsi="Times New Roman" w:eastAsia="宋体" w:cs="Times New Roman"/>
          <w:color w:val="auto"/>
          <w:kern w:val="2"/>
          <w:szCs w:val="24"/>
          <w:lang w:val="en-US" w:eastAsia="zh-CN" w:bidi="ar-SA"/>
        </w:rPr>
        <w:fldChar w:fldCharType="begin"/>
      </w:r>
      <w:r>
        <w:rPr>
          <w:rFonts w:ascii="Times New Roman" w:hAnsi="Times New Roman" w:eastAsia="宋体" w:cs="Times New Roman"/>
          <w:color w:val="auto"/>
          <w:kern w:val="2"/>
          <w:szCs w:val="24"/>
          <w:lang w:val="en-US" w:eastAsia="zh-CN" w:bidi="ar-SA"/>
        </w:rPr>
        <w:instrText xml:space="preserve"> PAGEREF _Toc2957 </w:instrText>
      </w:r>
      <w:r>
        <w:rPr>
          <w:rFonts w:ascii="Times New Roman" w:hAnsi="Times New Roman" w:eastAsia="宋体" w:cs="Times New Roman"/>
          <w:color w:val="auto"/>
          <w:kern w:val="2"/>
          <w:szCs w:val="24"/>
          <w:lang w:val="en-US" w:eastAsia="zh-CN" w:bidi="ar-SA"/>
        </w:rPr>
        <w:fldChar w:fldCharType="separate"/>
      </w:r>
      <w:r>
        <w:rPr>
          <w:rFonts w:ascii="Times New Roman" w:hAnsi="Times New Roman" w:eastAsia="宋体" w:cs="Times New Roman"/>
          <w:color w:val="auto"/>
          <w:kern w:val="2"/>
          <w:szCs w:val="24"/>
          <w:lang w:val="en-US" w:eastAsia="zh-CN" w:bidi="ar-SA"/>
        </w:rPr>
        <w:t>28</w:t>
      </w:r>
      <w:r>
        <w:rPr>
          <w:rFonts w:ascii="Times New Roman" w:hAnsi="Times New Roman" w:eastAsia="宋体" w:cs="Times New Roman"/>
          <w:color w:val="auto"/>
          <w:kern w:val="2"/>
          <w:szCs w:val="24"/>
          <w:lang w:val="en-US" w:eastAsia="zh-CN" w:bidi="ar-SA"/>
        </w:rPr>
        <w:fldChar w:fldCharType="end"/>
      </w:r>
      <w:r>
        <w:rPr>
          <w:rFonts w:hint="eastAsia" w:ascii="仿宋_GB2312" w:hAnsi="Times New Roman" w:eastAsia="仿宋_GB2312" w:cs="Times New Roman"/>
          <w:color w:val="auto"/>
          <w:kern w:val="2"/>
          <w:szCs w:val="32"/>
          <w:lang w:val="en-US" w:eastAsia="zh-CN" w:bidi="ar-SA"/>
        </w:rPr>
        <w:fldChar w:fldCharType="end"/>
      </w:r>
    </w:p>
    <w:p>
      <w:pPr>
        <w:pStyle w:val="21"/>
        <w:tabs>
          <w:tab w:val="right" w:leader="dot" w:pos="8306"/>
          <w:tab w:val="clear" w:pos="-3261"/>
          <w:tab w:val="clear" w:pos="840"/>
          <w:tab w:val="clear" w:pos="8296"/>
        </w:tabs>
        <w:rPr>
          <w:rFonts w:ascii="Times New Roman" w:hAnsi="Times New Roman" w:eastAsia="宋体" w:cs="Times New Roman"/>
          <w:color w:val="auto"/>
          <w:kern w:val="2"/>
          <w:szCs w:val="24"/>
          <w:lang w:val="en-US" w:eastAsia="zh-CN" w:bidi="ar-SA"/>
        </w:rPr>
      </w:pPr>
      <w:r>
        <w:rPr>
          <w:rFonts w:hint="eastAsia" w:ascii="仿宋_GB2312" w:hAnsi="Times New Roman" w:eastAsia="仿宋_GB2312" w:cs="Times New Roman"/>
          <w:color w:val="auto"/>
          <w:kern w:val="2"/>
          <w:szCs w:val="32"/>
          <w:lang w:val="en-US" w:eastAsia="zh-CN" w:bidi="ar-SA"/>
        </w:rPr>
        <w:fldChar w:fldCharType="begin"/>
      </w:r>
      <w:r>
        <w:rPr>
          <w:rFonts w:hint="eastAsia" w:ascii="仿宋_GB2312" w:hAnsi="Times New Roman" w:eastAsia="仿宋_GB2312" w:cs="Times New Roman"/>
          <w:color w:val="auto"/>
          <w:kern w:val="2"/>
          <w:szCs w:val="32"/>
          <w:lang w:val="en-US" w:eastAsia="zh-CN" w:bidi="ar-SA"/>
        </w:rPr>
        <w:instrText xml:space="preserve"> HYPERLINK \l _Toc978 </w:instrText>
      </w:r>
      <w:r>
        <w:rPr>
          <w:rFonts w:hint="eastAsia" w:ascii="仿宋_GB2312" w:hAnsi="Times New Roman" w:eastAsia="仿宋_GB2312" w:cs="Times New Roman"/>
          <w:color w:val="auto"/>
          <w:kern w:val="2"/>
          <w:szCs w:val="32"/>
          <w:lang w:val="en-US" w:eastAsia="zh-CN" w:bidi="ar-SA"/>
        </w:rPr>
        <w:fldChar w:fldCharType="separate"/>
      </w:r>
      <w:r>
        <w:rPr>
          <w:rFonts w:ascii="Times New Roman" w:hAnsi="Times New Roman" w:eastAsia="仿宋_GB2312" w:cs="Times New Roman"/>
          <w:color w:val="auto"/>
          <w:kern w:val="2"/>
          <w:szCs w:val="24"/>
          <w:lang w:val="en-US" w:eastAsia="zh-CN" w:bidi="ar-SA"/>
        </w:rPr>
        <w:t>第十</w:t>
      </w:r>
      <w:r>
        <w:rPr>
          <w:rFonts w:hint="eastAsia" w:ascii="Times New Roman" w:hAnsi="Times New Roman" w:eastAsia="仿宋_GB2312" w:cs="Times New Roman"/>
          <w:color w:val="auto"/>
          <w:kern w:val="2"/>
          <w:szCs w:val="24"/>
          <w:lang w:val="en-US" w:eastAsia="zh-CN" w:bidi="ar-SA"/>
        </w:rPr>
        <w:t>三</w:t>
      </w:r>
      <w:r>
        <w:rPr>
          <w:rFonts w:ascii="Times New Roman" w:hAnsi="Times New Roman" w:eastAsia="仿宋_GB2312" w:cs="Times New Roman"/>
          <w:color w:val="auto"/>
          <w:kern w:val="2"/>
          <w:szCs w:val="24"/>
          <w:lang w:val="en-US" w:eastAsia="zh-CN" w:bidi="ar-SA"/>
        </w:rPr>
        <w:t>章其他事项</w:t>
      </w:r>
      <w:r>
        <w:rPr>
          <w:rFonts w:ascii="Times New Roman" w:hAnsi="Times New Roman" w:eastAsia="宋体" w:cs="Times New Roman"/>
          <w:color w:val="auto"/>
          <w:kern w:val="2"/>
          <w:szCs w:val="24"/>
          <w:lang w:val="en-US" w:eastAsia="zh-CN" w:bidi="ar-SA"/>
        </w:rPr>
        <w:tab/>
      </w:r>
      <w:r>
        <w:rPr>
          <w:rFonts w:ascii="Times New Roman" w:hAnsi="Times New Roman" w:eastAsia="宋体" w:cs="Times New Roman"/>
          <w:color w:val="auto"/>
          <w:kern w:val="2"/>
          <w:szCs w:val="24"/>
          <w:lang w:val="en-US" w:eastAsia="zh-CN" w:bidi="ar-SA"/>
        </w:rPr>
        <w:fldChar w:fldCharType="begin"/>
      </w:r>
      <w:r>
        <w:rPr>
          <w:rFonts w:ascii="Times New Roman" w:hAnsi="Times New Roman" w:eastAsia="宋体" w:cs="Times New Roman"/>
          <w:color w:val="auto"/>
          <w:kern w:val="2"/>
          <w:szCs w:val="24"/>
          <w:lang w:val="en-US" w:eastAsia="zh-CN" w:bidi="ar-SA"/>
        </w:rPr>
        <w:instrText xml:space="preserve"> PAGEREF _Toc978 </w:instrText>
      </w:r>
      <w:r>
        <w:rPr>
          <w:rFonts w:ascii="Times New Roman" w:hAnsi="Times New Roman" w:eastAsia="宋体" w:cs="Times New Roman"/>
          <w:color w:val="auto"/>
          <w:kern w:val="2"/>
          <w:szCs w:val="24"/>
          <w:lang w:val="en-US" w:eastAsia="zh-CN" w:bidi="ar-SA"/>
        </w:rPr>
        <w:fldChar w:fldCharType="separate"/>
      </w:r>
      <w:r>
        <w:rPr>
          <w:rFonts w:ascii="Times New Roman" w:hAnsi="Times New Roman" w:eastAsia="宋体" w:cs="Times New Roman"/>
          <w:color w:val="auto"/>
          <w:kern w:val="2"/>
          <w:szCs w:val="24"/>
          <w:lang w:val="en-US" w:eastAsia="zh-CN" w:bidi="ar-SA"/>
        </w:rPr>
        <w:t>28</w:t>
      </w:r>
      <w:r>
        <w:rPr>
          <w:rFonts w:ascii="Times New Roman" w:hAnsi="Times New Roman" w:eastAsia="宋体" w:cs="Times New Roman"/>
          <w:color w:val="auto"/>
          <w:kern w:val="2"/>
          <w:szCs w:val="24"/>
          <w:lang w:val="en-US" w:eastAsia="zh-CN" w:bidi="ar-SA"/>
        </w:rPr>
        <w:fldChar w:fldCharType="end"/>
      </w:r>
      <w:r>
        <w:rPr>
          <w:rFonts w:hint="eastAsia" w:ascii="仿宋_GB2312" w:hAnsi="Times New Roman" w:eastAsia="仿宋_GB2312" w:cs="Times New Roman"/>
          <w:color w:val="auto"/>
          <w:kern w:val="2"/>
          <w:szCs w:val="32"/>
          <w:lang w:val="en-US" w:eastAsia="zh-CN" w:bidi="ar-SA"/>
        </w:rPr>
        <w:fldChar w:fldCharType="end"/>
      </w:r>
    </w:p>
    <w:p>
      <w:pPr>
        <w:pStyle w:val="21"/>
        <w:tabs>
          <w:tab w:val="right" w:leader="dot" w:pos="8306"/>
          <w:tab w:val="clear" w:pos="-3261"/>
          <w:tab w:val="clear" w:pos="840"/>
          <w:tab w:val="clear" w:pos="8296"/>
        </w:tabs>
        <w:rPr>
          <w:rFonts w:ascii="Times New Roman" w:hAnsi="Times New Roman" w:eastAsia="宋体" w:cs="Times New Roman"/>
          <w:color w:val="auto"/>
          <w:kern w:val="2"/>
          <w:szCs w:val="24"/>
          <w:lang w:val="en-US" w:eastAsia="zh-CN" w:bidi="ar-SA"/>
        </w:rPr>
      </w:pPr>
      <w:r>
        <w:rPr>
          <w:rFonts w:hint="eastAsia" w:ascii="仿宋_GB2312" w:hAnsi="Times New Roman" w:eastAsia="仿宋_GB2312" w:cs="Times New Roman"/>
          <w:color w:val="auto"/>
          <w:kern w:val="2"/>
          <w:szCs w:val="32"/>
          <w:lang w:val="en-US" w:eastAsia="zh-CN" w:bidi="ar-SA"/>
        </w:rPr>
        <w:fldChar w:fldCharType="begin"/>
      </w:r>
      <w:r>
        <w:rPr>
          <w:rFonts w:hint="eastAsia" w:ascii="仿宋_GB2312" w:hAnsi="Times New Roman" w:eastAsia="仿宋_GB2312" w:cs="Times New Roman"/>
          <w:color w:val="auto"/>
          <w:kern w:val="2"/>
          <w:szCs w:val="32"/>
          <w:lang w:val="en-US" w:eastAsia="zh-CN" w:bidi="ar-SA"/>
        </w:rPr>
        <w:instrText xml:space="preserve"> HYPERLINK \l _Toc26737 </w:instrText>
      </w:r>
      <w:r>
        <w:rPr>
          <w:rFonts w:hint="eastAsia" w:ascii="仿宋_GB2312" w:hAnsi="Times New Roman" w:eastAsia="仿宋_GB2312" w:cs="Times New Roman"/>
          <w:color w:val="auto"/>
          <w:kern w:val="2"/>
          <w:szCs w:val="32"/>
          <w:lang w:val="en-US" w:eastAsia="zh-CN" w:bidi="ar-SA"/>
        </w:rPr>
        <w:fldChar w:fldCharType="separate"/>
      </w:r>
      <w:r>
        <w:rPr>
          <w:rFonts w:ascii="Times New Roman" w:hAnsi="Times New Roman" w:eastAsia="仿宋_GB2312" w:cs="Times New Roman"/>
          <w:color w:val="auto"/>
          <w:kern w:val="2"/>
          <w:szCs w:val="24"/>
          <w:lang w:val="en-US" w:eastAsia="zh-CN" w:bidi="ar-SA"/>
        </w:rPr>
        <w:t>第十</w:t>
      </w:r>
      <w:r>
        <w:rPr>
          <w:rFonts w:hint="eastAsia" w:ascii="Times New Roman" w:hAnsi="Times New Roman" w:eastAsia="仿宋_GB2312" w:cs="Times New Roman"/>
          <w:color w:val="auto"/>
          <w:kern w:val="2"/>
          <w:szCs w:val="24"/>
          <w:lang w:val="en-US" w:eastAsia="zh-CN" w:bidi="ar-SA"/>
        </w:rPr>
        <w:t>四</w:t>
      </w:r>
      <w:r>
        <w:rPr>
          <w:rFonts w:ascii="Times New Roman" w:hAnsi="Times New Roman" w:eastAsia="仿宋_GB2312" w:cs="Times New Roman"/>
          <w:color w:val="auto"/>
          <w:kern w:val="2"/>
          <w:szCs w:val="24"/>
          <w:lang w:val="en-US" w:eastAsia="zh-CN" w:bidi="ar-SA"/>
        </w:rPr>
        <w:t>章附则</w:t>
      </w:r>
      <w:r>
        <w:rPr>
          <w:rFonts w:ascii="Times New Roman" w:hAnsi="Times New Roman" w:eastAsia="宋体" w:cs="Times New Roman"/>
          <w:color w:val="auto"/>
          <w:kern w:val="2"/>
          <w:szCs w:val="24"/>
          <w:lang w:val="en-US" w:eastAsia="zh-CN" w:bidi="ar-SA"/>
        </w:rPr>
        <w:tab/>
      </w:r>
      <w:r>
        <w:rPr>
          <w:rFonts w:ascii="Times New Roman" w:hAnsi="Times New Roman" w:eastAsia="宋体" w:cs="Times New Roman"/>
          <w:color w:val="auto"/>
          <w:kern w:val="2"/>
          <w:szCs w:val="24"/>
          <w:lang w:val="en-US" w:eastAsia="zh-CN" w:bidi="ar-SA"/>
        </w:rPr>
        <w:fldChar w:fldCharType="begin"/>
      </w:r>
      <w:r>
        <w:rPr>
          <w:rFonts w:ascii="Times New Roman" w:hAnsi="Times New Roman" w:eastAsia="宋体" w:cs="Times New Roman"/>
          <w:color w:val="auto"/>
          <w:kern w:val="2"/>
          <w:szCs w:val="24"/>
          <w:lang w:val="en-US" w:eastAsia="zh-CN" w:bidi="ar-SA"/>
        </w:rPr>
        <w:instrText xml:space="preserve"> PAGEREF _Toc26737 </w:instrText>
      </w:r>
      <w:r>
        <w:rPr>
          <w:rFonts w:ascii="Times New Roman" w:hAnsi="Times New Roman" w:eastAsia="宋体" w:cs="Times New Roman"/>
          <w:color w:val="auto"/>
          <w:kern w:val="2"/>
          <w:szCs w:val="24"/>
          <w:lang w:val="en-US" w:eastAsia="zh-CN" w:bidi="ar-SA"/>
        </w:rPr>
        <w:fldChar w:fldCharType="separate"/>
      </w:r>
      <w:r>
        <w:rPr>
          <w:rFonts w:ascii="Times New Roman" w:hAnsi="Times New Roman" w:eastAsia="宋体" w:cs="Times New Roman"/>
          <w:color w:val="auto"/>
          <w:kern w:val="2"/>
          <w:szCs w:val="24"/>
          <w:lang w:val="en-US" w:eastAsia="zh-CN" w:bidi="ar-SA"/>
        </w:rPr>
        <w:t>32</w:t>
      </w:r>
      <w:r>
        <w:rPr>
          <w:rFonts w:ascii="Times New Roman" w:hAnsi="Times New Roman" w:eastAsia="宋体" w:cs="Times New Roman"/>
          <w:color w:val="auto"/>
          <w:kern w:val="2"/>
          <w:szCs w:val="24"/>
          <w:lang w:val="en-US" w:eastAsia="zh-CN" w:bidi="ar-SA"/>
        </w:rPr>
        <w:fldChar w:fldCharType="end"/>
      </w:r>
      <w:r>
        <w:rPr>
          <w:rFonts w:hint="eastAsia" w:ascii="仿宋_GB2312" w:hAnsi="Times New Roman" w:eastAsia="仿宋_GB2312" w:cs="Times New Roman"/>
          <w:color w:val="auto"/>
          <w:kern w:val="2"/>
          <w:szCs w:val="32"/>
          <w:lang w:val="en-US" w:eastAsia="zh-CN" w:bidi="ar-SA"/>
        </w:rPr>
        <w:fldChar w:fldCharType="end"/>
      </w:r>
    </w:p>
    <w:p>
      <w:pPr>
        <w:pStyle w:val="17"/>
        <w:tabs>
          <w:tab w:val="right" w:leader="dot" w:pos="8306"/>
          <w:tab w:val="clear" w:pos="8296"/>
        </w:tabs>
        <w:rPr>
          <w:rFonts w:ascii="Times New Roman" w:hAnsi="Times New Roman" w:eastAsia="宋体" w:cs="Times New Roman"/>
          <w:color w:val="auto"/>
          <w:kern w:val="2"/>
          <w:szCs w:val="24"/>
          <w:lang w:val="en-US" w:eastAsia="zh-CN" w:bidi="ar-SA"/>
        </w:rPr>
      </w:pPr>
      <w:r>
        <w:rPr>
          <w:rFonts w:hint="eastAsia" w:ascii="仿宋_GB2312" w:hAnsi="Times New Roman" w:eastAsia="仿宋_GB2312" w:cs="Times New Roman"/>
          <w:color w:val="auto"/>
          <w:kern w:val="2"/>
          <w:szCs w:val="32"/>
          <w:lang w:val="en-US" w:eastAsia="zh-CN" w:bidi="ar-SA"/>
        </w:rPr>
        <w:fldChar w:fldCharType="begin"/>
      </w:r>
      <w:r>
        <w:rPr>
          <w:rFonts w:hint="eastAsia" w:ascii="仿宋_GB2312" w:hAnsi="Times New Roman" w:eastAsia="仿宋_GB2312" w:cs="Times New Roman"/>
          <w:color w:val="auto"/>
          <w:kern w:val="2"/>
          <w:szCs w:val="32"/>
          <w:lang w:val="en-US" w:eastAsia="zh-CN" w:bidi="ar-SA"/>
        </w:rPr>
        <w:instrText xml:space="preserve"> HYPERLINK \l _Toc23358 </w:instrText>
      </w:r>
      <w:r>
        <w:rPr>
          <w:rFonts w:hint="eastAsia" w:ascii="仿宋_GB2312" w:hAnsi="Times New Roman" w:eastAsia="仿宋_GB2312" w:cs="Times New Roman"/>
          <w:color w:val="auto"/>
          <w:kern w:val="2"/>
          <w:szCs w:val="32"/>
          <w:lang w:val="en-US" w:eastAsia="zh-CN" w:bidi="ar-SA"/>
        </w:rPr>
        <w:fldChar w:fldCharType="separate"/>
      </w:r>
      <w:r>
        <w:rPr>
          <w:rFonts w:ascii="Times New Roman" w:hAnsi="Times New Roman" w:eastAsia="仿宋_GB2312" w:cs="Times New Roman"/>
          <w:color w:val="auto"/>
          <w:kern w:val="2"/>
          <w:szCs w:val="24"/>
          <w:lang w:val="en-US" w:eastAsia="zh-CN" w:bidi="ar-SA"/>
        </w:rPr>
        <w:t>竞买申请书</w:t>
      </w:r>
      <w:r>
        <w:rPr>
          <w:rFonts w:ascii="Times New Roman" w:hAnsi="Times New Roman" w:eastAsia="宋体" w:cs="Times New Roman"/>
          <w:color w:val="auto"/>
          <w:kern w:val="2"/>
          <w:szCs w:val="24"/>
          <w:lang w:val="en-US" w:eastAsia="zh-CN" w:bidi="ar-SA"/>
        </w:rPr>
        <w:tab/>
      </w:r>
      <w:r>
        <w:rPr>
          <w:rFonts w:ascii="Times New Roman" w:hAnsi="Times New Roman" w:eastAsia="宋体" w:cs="Times New Roman"/>
          <w:color w:val="auto"/>
          <w:kern w:val="2"/>
          <w:szCs w:val="24"/>
          <w:lang w:val="en-US" w:eastAsia="zh-CN" w:bidi="ar-SA"/>
        </w:rPr>
        <w:fldChar w:fldCharType="begin"/>
      </w:r>
      <w:r>
        <w:rPr>
          <w:rFonts w:ascii="Times New Roman" w:hAnsi="Times New Roman" w:eastAsia="宋体" w:cs="Times New Roman"/>
          <w:color w:val="auto"/>
          <w:kern w:val="2"/>
          <w:szCs w:val="24"/>
          <w:lang w:val="en-US" w:eastAsia="zh-CN" w:bidi="ar-SA"/>
        </w:rPr>
        <w:instrText xml:space="preserve"> PAGEREF _Toc23358 </w:instrText>
      </w:r>
      <w:r>
        <w:rPr>
          <w:rFonts w:ascii="Times New Roman" w:hAnsi="Times New Roman" w:eastAsia="宋体" w:cs="Times New Roman"/>
          <w:color w:val="auto"/>
          <w:kern w:val="2"/>
          <w:szCs w:val="24"/>
          <w:lang w:val="en-US" w:eastAsia="zh-CN" w:bidi="ar-SA"/>
        </w:rPr>
        <w:fldChar w:fldCharType="separate"/>
      </w:r>
      <w:r>
        <w:rPr>
          <w:rFonts w:ascii="Times New Roman" w:hAnsi="Times New Roman" w:eastAsia="宋体" w:cs="Times New Roman"/>
          <w:color w:val="auto"/>
          <w:kern w:val="2"/>
          <w:szCs w:val="24"/>
          <w:lang w:val="en-US" w:eastAsia="zh-CN" w:bidi="ar-SA"/>
        </w:rPr>
        <w:t>33</w:t>
      </w:r>
      <w:r>
        <w:rPr>
          <w:rFonts w:ascii="Times New Roman" w:hAnsi="Times New Roman" w:eastAsia="宋体" w:cs="Times New Roman"/>
          <w:color w:val="auto"/>
          <w:kern w:val="2"/>
          <w:szCs w:val="24"/>
          <w:lang w:val="en-US" w:eastAsia="zh-CN" w:bidi="ar-SA"/>
        </w:rPr>
        <w:fldChar w:fldCharType="end"/>
      </w:r>
      <w:r>
        <w:rPr>
          <w:rFonts w:hint="eastAsia" w:ascii="仿宋_GB2312" w:hAnsi="Times New Roman" w:eastAsia="仿宋_GB2312" w:cs="Times New Roman"/>
          <w:color w:val="auto"/>
          <w:kern w:val="2"/>
          <w:szCs w:val="32"/>
          <w:lang w:val="en-US" w:eastAsia="zh-CN" w:bidi="ar-SA"/>
        </w:rPr>
        <w:fldChar w:fldCharType="end"/>
      </w:r>
    </w:p>
    <w:p>
      <w:pPr>
        <w:pStyle w:val="17"/>
        <w:tabs>
          <w:tab w:val="right" w:leader="dot" w:pos="8306"/>
          <w:tab w:val="clear" w:pos="8296"/>
        </w:tabs>
        <w:rPr>
          <w:rFonts w:ascii="Times New Roman" w:hAnsi="Times New Roman" w:eastAsia="宋体" w:cs="Times New Roman"/>
          <w:color w:val="auto"/>
          <w:kern w:val="2"/>
          <w:szCs w:val="24"/>
          <w:lang w:val="en-US" w:eastAsia="zh-CN" w:bidi="ar-SA"/>
        </w:rPr>
      </w:pPr>
      <w:r>
        <w:rPr>
          <w:rFonts w:hint="eastAsia" w:ascii="仿宋_GB2312" w:hAnsi="Times New Roman" w:eastAsia="仿宋_GB2312" w:cs="Times New Roman"/>
          <w:color w:val="auto"/>
          <w:kern w:val="2"/>
          <w:szCs w:val="32"/>
          <w:lang w:val="en-US" w:eastAsia="zh-CN" w:bidi="ar-SA"/>
        </w:rPr>
        <w:fldChar w:fldCharType="begin"/>
      </w:r>
      <w:r>
        <w:rPr>
          <w:rFonts w:hint="eastAsia" w:ascii="仿宋_GB2312" w:hAnsi="Times New Roman" w:eastAsia="仿宋_GB2312" w:cs="Times New Roman"/>
          <w:color w:val="auto"/>
          <w:kern w:val="2"/>
          <w:szCs w:val="32"/>
          <w:lang w:val="en-US" w:eastAsia="zh-CN" w:bidi="ar-SA"/>
        </w:rPr>
        <w:instrText xml:space="preserve"> HYPERLINK \l _Toc17935 </w:instrText>
      </w:r>
      <w:r>
        <w:rPr>
          <w:rFonts w:hint="eastAsia" w:ascii="仿宋_GB2312" w:hAnsi="Times New Roman" w:eastAsia="仿宋_GB2312" w:cs="Times New Roman"/>
          <w:color w:val="auto"/>
          <w:kern w:val="2"/>
          <w:szCs w:val="32"/>
          <w:lang w:val="en-US" w:eastAsia="zh-CN" w:bidi="ar-SA"/>
        </w:rPr>
        <w:fldChar w:fldCharType="separate"/>
      </w:r>
      <w:r>
        <w:rPr>
          <w:rFonts w:ascii="Times New Roman" w:hAnsi="Times New Roman" w:eastAsia="宋体" w:cs="Times New Roman"/>
          <w:color w:val="auto"/>
          <w:kern w:val="2"/>
          <w:szCs w:val="24"/>
          <w:lang w:val="en-US" w:eastAsia="zh-CN" w:bidi="ar-SA"/>
        </w:rPr>
        <w:t>法定代表人身份证明书</w:t>
      </w:r>
      <w:r>
        <w:rPr>
          <w:rFonts w:ascii="Times New Roman" w:hAnsi="Times New Roman" w:eastAsia="宋体" w:cs="Times New Roman"/>
          <w:color w:val="auto"/>
          <w:kern w:val="2"/>
          <w:szCs w:val="24"/>
          <w:lang w:val="en-US" w:eastAsia="zh-CN" w:bidi="ar-SA"/>
        </w:rPr>
        <w:tab/>
      </w:r>
      <w:r>
        <w:rPr>
          <w:rFonts w:ascii="Times New Roman" w:hAnsi="Times New Roman" w:eastAsia="宋体" w:cs="Times New Roman"/>
          <w:color w:val="auto"/>
          <w:kern w:val="2"/>
          <w:szCs w:val="24"/>
          <w:lang w:val="en-US" w:eastAsia="zh-CN" w:bidi="ar-SA"/>
        </w:rPr>
        <w:fldChar w:fldCharType="begin"/>
      </w:r>
      <w:r>
        <w:rPr>
          <w:rFonts w:ascii="Times New Roman" w:hAnsi="Times New Roman" w:eastAsia="宋体" w:cs="Times New Roman"/>
          <w:color w:val="auto"/>
          <w:kern w:val="2"/>
          <w:szCs w:val="24"/>
          <w:lang w:val="en-US" w:eastAsia="zh-CN" w:bidi="ar-SA"/>
        </w:rPr>
        <w:instrText xml:space="preserve"> PAGEREF _Toc17935 </w:instrText>
      </w:r>
      <w:r>
        <w:rPr>
          <w:rFonts w:ascii="Times New Roman" w:hAnsi="Times New Roman" w:eastAsia="宋体" w:cs="Times New Roman"/>
          <w:color w:val="auto"/>
          <w:kern w:val="2"/>
          <w:szCs w:val="24"/>
          <w:lang w:val="en-US" w:eastAsia="zh-CN" w:bidi="ar-SA"/>
        </w:rPr>
        <w:fldChar w:fldCharType="separate"/>
      </w:r>
      <w:r>
        <w:rPr>
          <w:rFonts w:ascii="Times New Roman" w:hAnsi="Times New Roman" w:eastAsia="宋体" w:cs="Times New Roman"/>
          <w:color w:val="auto"/>
          <w:kern w:val="2"/>
          <w:szCs w:val="24"/>
          <w:lang w:val="en-US" w:eastAsia="zh-CN" w:bidi="ar-SA"/>
        </w:rPr>
        <w:t>35</w:t>
      </w:r>
      <w:r>
        <w:rPr>
          <w:rFonts w:ascii="Times New Roman" w:hAnsi="Times New Roman" w:eastAsia="宋体" w:cs="Times New Roman"/>
          <w:color w:val="auto"/>
          <w:kern w:val="2"/>
          <w:szCs w:val="24"/>
          <w:lang w:val="en-US" w:eastAsia="zh-CN" w:bidi="ar-SA"/>
        </w:rPr>
        <w:fldChar w:fldCharType="end"/>
      </w:r>
      <w:r>
        <w:rPr>
          <w:rFonts w:hint="eastAsia" w:ascii="仿宋_GB2312" w:hAnsi="Times New Roman" w:eastAsia="仿宋_GB2312" w:cs="Times New Roman"/>
          <w:color w:val="auto"/>
          <w:kern w:val="2"/>
          <w:szCs w:val="32"/>
          <w:lang w:val="en-US" w:eastAsia="zh-CN" w:bidi="ar-SA"/>
        </w:rPr>
        <w:fldChar w:fldCharType="end"/>
      </w:r>
    </w:p>
    <w:p>
      <w:pPr>
        <w:pStyle w:val="17"/>
        <w:tabs>
          <w:tab w:val="right" w:leader="dot" w:pos="8306"/>
          <w:tab w:val="clear" w:pos="8296"/>
        </w:tabs>
        <w:rPr>
          <w:rFonts w:ascii="Times New Roman" w:hAnsi="Times New Roman" w:eastAsia="宋体" w:cs="Times New Roman"/>
          <w:color w:val="auto"/>
          <w:kern w:val="2"/>
          <w:szCs w:val="24"/>
          <w:lang w:val="en-US" w:eastAsia="zh-CN" w:bidi="ar-SA"/>
        </w:rPr>
      </w:pPr>
      <w:r>
        <w:rPr>
          <w:rFonts w:hint="eastAsia" w:ascii="仿宋_GB2312" w:hAnsi="Times New Roman" w:eastAsia="仿宋_GB2312" w:cs="Times New Roman"/>
          <w:color w:val="auto"/>
          <w:kern w:val="2"/>
          <w:szCs w:val="32"/>
          <w:lang w:val="en-US" w:eastAsia="zh-CN" w:bidi="ar-SA"/>
        </w:rPr>
        <w:fldChar w:fldCharType="begin"/>
      </w:r>
      <w:r>
        <w:rPr>
          <w:rFonts w:hint="eastAsia" w:ascii="仿宋_GB2312" w:hAnsi="Times New Roman" w:eastAsia="仿宋_GB2312" w:cs="Times New Roman"/>
          <w:color w:val="auto"/>
          <w:kern w:val="2"/>
          <w:szCs w:val="32"/>
          <w:lang w:val="en-US" w:eastAsia="zh-CN" w:bidi="ar-SA"/>
        </w:rPr>
        <w:instrText xml:space="preserve"> HYPERLINK \l _Toc3168 </w:instrText>
      </w:r>
      <w:r>
        <w:rPr>
          <w:rFonts w:hint="eastAsia" w:ascii="仿宋_GB2312" w:hAnsi="Times New Roman" w:eastAsia="仿宋_GB2312" w:cs="Times New Roman"/>
          <w:color w:val="auto"/>
          <w:kern w:val="2"/>
          <w:szCs w:val="32"/>
          <w:lang w:val="en-US" w:eastAsia="zh-CN" w:bidi="ar-SA"/>
        </w:rPr>
        <w:fldChar w:fldCharType="separate"/>
      </w:r>
      <w:r>
        <w:rPr>
          <w:rFonts w:ascii="Times New Roman" w:hAnsi="Times New Roman" w:eastAsia="宋体" w:cs="Times New Roman"/>
          <w:color w:val="auto"/>
          <w:kern w:val="2"/>
          <w:szCs w:val="24"/>
          <w:lang w:val="en-US" w:eastAsia="zh-CN" w:bidi="ar-SA"/>
        </w:rPr>
        <w:t>授权委托书</w:t>
      </w:r>
      <w:r>
        <w:rPr>
          <w:rFonts w:ascii="Times New Roman" w:hAnsi="Times New Roman" w:eastAsia="宋体" w:cs="Times New Roman"/>
          <w:color w:val="auto"/>
          <w:kern w:val="2"/>
          <w:szCs w:val="24"/>
          <w:lang w:val="en-US" w:eastAsia="zh-CN" w:bidi="ar-SA"/>
        </w:rPr>
        <w:tab/>
      </w:r>
      <w:r>
        <w:rPr>
          <w:rFonts w:ascii="Times New Roman" w:hAnsi="Times New Roman" w:eastAsia="宋体" w:cs="Times New Roman"/>
          <w:color w:val="auto"/>
          <w:kern w:val="2"/>
          <w:szCs w:val="24"/>
          <w:lang w:val="en-US" w:eastAsia="zh-CN" w:bidi="ar-SA"/>
        </w:rPr>
        <w:fldChar w:fldCharType="begin"/>
      </w:r>
      <w:r>
        <w:rPr>
          <w:rFonts w:ascii="Times New Roman" w:hAnsi="Times New Roman" w:eastAsia="宋体" w:cs="Times New Roman"/>
          <w:color w:val="auto"/>
          <w:kern w:val="2"/>
          <w:szCs w:val="24"/>
          <w:lang w:val="en-US" w:eastAsia="zh-CN" w:bidi="ar-SA"/>
        </w:rPr>
        <w:instrText xml:space="preserve"> PAGEREF _Toc3168 </w:instrText>
      </w:r>
      <w:r>
        <w:rPr>
          <w:rFonts w:ascii="Times New Roman" w:hAnsi="Times New Roman" w:eastAsia="宋体" w:cs="Times New Roman"/>
          <w:color w:val="auto"/>
          <w:kern w:val="2"/>
          <w:szCs w:val="24"/>
          <w:lang w:val="en-US" w:eastAsia="zh-CN" w:bidi="ar-SA"/>
        </w:rPr>
        <w:fldChar w:fldCharType="separate"/>
      </w:r>
      <w:r>
        <w:rPr>
          <w:rFonts w:ascii="Times New Roman" w:hAnsi="Times New Roman" w:eastAsia="宋体" w:cs="Times New Roman"/>
          <w:color w:val="auto"/>
          <w:kern w:val="2"/>
          <w:szCs w:val="24"/>
          <w:lang w:val="en-US" w:eastAsia="zh-CN" w:bidi="ar-SA"/>
        </w:rPr>
        <w:t>36</w:t>
      </w:r>
      <w:r>
        <w:rPr>
          <w:rFonts w:ascii="Times New Roman" w:hAnsi="Times New Roman" w:eastAsia="宋体" w:cs="Times New Roman"/>
          <w:color w:val="auto"/>
          <w:kern w:val="2"/>
          <w:szCs w:val="24"/>
          <w:lang w:val="en-US" w:eastAsia="zh-CN" w:bidi="ar-SA"/>
        </w:rPr>
        <w:fldChar w:fldCharType="end"/>
      </w:r>
      <w:r>
        <w:rPr>
          <w:rFonts w:hint="eastAsia" w:ascii="仿宋_GB2312" w:hAnsi="Times New Roman" w:eastAsia="仿宋_GB2312" w:cs="Times New Roman"/>
          <w:color w:val="auto"/>
          <w:kern w:val="2"/>
          <w:szCs w:val="32"/>
          <w:lang w:val="en-US" w:eastAsia="zh-CN" w:bidi="ar-SA"/>
        </w:rPr>
        <w:fldChar w:fldCharType="end"/>
      </w:r>
    </w:p>
    <w:p>
      <w:pPr>
        <w:pStyle w:val="17"/>
        <w:tabs>
          <w:tab w:val="right" w:leader="dot" w:pos="8306"/>
          <w:tab w:val="clear" w:pos="8296"/>
        </w:tabs>
        <w:rPr>
          <w:rFonts w:ascii="Times New Roman" w:hAnsi="Times New Roman" w:eastAsia="宋体" w:cs="Times New Roman"/>
          <w:color w:val="auto"/>
          <w:kern w:val="2"/>
          <w:szCs w:val="24"/>
          <w:lang w:val="en-US" w:eastAsia="zh-CN" w:bidi="ar-SA"/>
        </w:rPr>
      </w:pPr>
      <w:r>
        <w:rPr>
          <w:rFonts w:hint="eastAsia" w:ascii="仿宋_GB2312" w:hAnsi="Times New Roman" w:eastAsia="仿宋_GB2312" w:cs="Times New Roman"/>
          <w:color w:val="auto"/>
          <w:kern w:val="2"/>
          <w:szCs w:val="32"/>
          <w:lang w:val="en-US" w:eastAsia="zh-CN" w:bidi="ar-SA"/>
        </w:rPr>
        <w:fldChar w:fldCharType="begin"/>
      </w:r>
      <w:r>
        <w:rPr>
          <w:rFonts w:hint="eastAsia" w:ascii="仿宋_GB2312" w:hAnsi="Times New Roman" w:eastAsia="仿宋_GB2312" w:cs="Times New Roman"/>
          <w:color w:val="auto"/>
          <w:kern w:val="2"/>
          <w:szCs w:val="32"/>
          <w:lang w:val="en-US" w:eastAsia="zh-CN" w:bidi="ar-SA"/>
        </w:rPr>
        <w:instrText xml:space="preserve"> HYPERLINK \l _Toc29650 </w:instrText>
      </w:r>
      <w:r>
        <w:rPr>
          <w:rFonts w:hint="eastAsia" w:ascii="仿宋_GB2312" w:hAnsi="Times New Roman" w:eastAsia="仿宋_GB2312" w:cs="Times New Roman"/>
          <w:color w:val="auto"/>
          <w:kern w:val="2"/>
          <w:szCs w:val="32"/>
          <w:lang w:val="en-US" w:eastAsia="zh-CN" w:bidi="ar-SA"/>
        </w:rPr>
        <w:fldChar w:fldCharType="separate"/>
      </w:r>
      <w:r>
        <w:rPr>
          <w:rFonts w:ascii="Times New Roman" w:hAnsi="Times New Roman" w:eastAsia="宋体" w:cs="Times New Roman"/>
          <w:color w:val="auto"/>
          <w:kern w:val="2"/>
          <w:szCs w:val="24"/>
          <w:lang w:val="en-US" w:eastAsia="zh-CN" w:bidi="ar-SA"/>
        </w:rPr>
        <w:t>承诺书</w:t>
      </w:r>
      <w:r>
        <w:rPr>
          <w:rFonts w:ascii="Times New Roman" w:hAnsi="Times New Roman" w:eastAsia="宋体" w:cs="Times New Roman"/>
          <w:color w:val="auto"/>
          <w:kern w:val="2"/>
          <w:szCs w:val="24"/>
          <w:lang w:val="en-US" w:eastAsia="zh-CN" w:bidi="ar-SA"/>
        </w:rPr>
        <w:tab/>
      </w:r>
      <w:r>
        <w:rPr>
          <w:rFonts w:ascii="Times New Roman" w:hAnsi="Times New Roman" w:eastAsia="宋体" w:cs="Times New Roman"/>
          <w:color w:val="auto"/>
          <w:kern w:val="2"/>
          <w:szCs w:val="24"/>
          <w:lang w:val="en-US" w:eastAsia="zh-CN" w:bidi="ar-SA"/>
        </w:rPr>
        <w:fldChar w:fldCharType="begin"/>
      </w:r>
      <w:r>
        <w:rPr>
          <w:rFonts w:ascii="Times New Roman" w:hAnsi="Times New Roman" w:eastAsia="宋体" w:cs="Times New Roman"/>
          <w:color w:val="auto"/>
          <w:kern w:val="2"/>
          <w:szCs w:val="24"/>
          <w:lang w:val="en-US" w:eastAsia="zh-CN" w:bidi="ar-SA"/>
        </w:rPr>
        <w:instrText xml:space="preserve"> PAGEREF _Toc29650 </w:instrText>
      </w:r>
      <w:r>
        <w:rPr>
          <w:rFonts w:ascii="Times New Roman" w:hAnsi="Times New Roman" w:eastAsia="宋体" w:cs="Times New Roman"/>
          <w:color w:val="auto"/>
          <w:kern w:val="2"/>
          <w:szCs w:val="24"/>
          <w:lang w:val="en-US" w:eastAsia="zh-CN" w:bidi="ar-SA"/>
        </w:rPr>
        <w:fldChar w:fldCharType="separate"/>
      </w:r>
      <w:r>
        <w:rPr>
          <w:rFonts w:ascii="Times New Roman" w:hAnsi="Times New Roman" w:eastAsia="宋体" w:cs="Times New Roman"/>
          <w:color w:val="auto"/>
          <w:kern w:val="2"/>
          <w:szCs w:val="24"/>
          <w:lang w:val="en-US" w:eastAsia="zh-CN" w:bidi="ar-SA"/>
        </w:rPr>
        <w:t>37</w:t>
      </w:r>
      <w:r>
        <w:rPr>
          <w:rFonts w:ascii="Times New Roman" w:hAnsi="Times New Roman" w:eastAsia="宋体" w:cs="Times New Roman"/>
          <w:color w:val="auto"/>
          <w:kern w:val="2"/>
          <w:szCs w:val="24"/>
          <w:lang w:val="en-US" w:eastAsia="zh-CN" w:bidi="ar-SA"/>
        </w:rPr>
        <w:fldChar w:fldCharType="end"/>
      </w:r>
      <w:r>
        <w:rPr>
          <w:rFonts w:hint="eastAsia" w:ascii="仿宋_GB2312" w:hAnsi="Times New Roman" w:eastAsia="仿宋_GB2312" w:cs="Times New Roman"/>
          <w:color w:val="auto"/>
          <w:kern w:val="2"/>
          <w:szCs w:val="32"/>
          <w:lang w:val="en-US" w:eastAsia="zh-CN" w:bidi="ar-SA"/>
        </w:rPr>
        <w:fldChar w:fldCharType="end"/>
      </w:r>
    </w:p>
    <w:p>
      <w:pPr>
        <w:pStyle w:val="17"/>
        <w:tabs>
          <w:tab w:val="right" w:leader="dot" w:pos="8306"/>
          <w:tab w:val="clear" w:pos="8296"/>
        </w:tabs>
        <w:rPr>
          <w:rFonts w:ascii="Times New Roman" w:hAnsi="Times New Roman" w:eastAsia="宋体" w:cs="Times New Roman"/>
          <w:color w:val="auto"/>
          <w:kern w:val="2"/>
          <w:szCs w:val="24"/>
          <w:lang w:val="en-US" w:eastAsia="zh-CN" w:bidi="ar-SA"/>
        </w:rPr>
      </w:pPr>
      <w:r>
        <w:rPr>
          <w:rFonts w:hint="eastAsia" w:ascii="仿宋_GB2312" w:hAnsi="Times New Roman" w:eastAsia="仿宋_GB2312" w:cs="Times New Roman"/>
          <w:color w:val="auto"/>
          <w:kern w:val="2"/>
          <w:szCs w:val="32"/>
          <w:lang w:val="en-US" w:eastAsia="zh-CN" w:bidi="ar-SA"/>
        </w:rPr>
        <w:fldChar w:fldCharType="begin"/>
      </w:r>
      <w:r>
        <w:rPr>
          <w:rFonts w:hint="eastAsia" w:ascii="仿宋_GB2312" w:hAnsi="Times New Roman" w:eastAsia="仿宋_GB2312" w:cs="Times New Roman"/>
          <w:color w:val="auto"/>
          <w:kern w:val="2"/>
          <w:szCs w:val="32"/>
          <w:lang w:val="en-US" w:eastAsia="zh-CN" w:bidi="ar-SA"/>
        </w:rPr>
        <w:instrText xml:space="preserve"> HYPERLINK \l _Toc25149 </w:instrText>
      </w:r>
      <w:r>
        <w:rPr>
          <w:rFonts w:hint="eastAsia" w:ascii="仿宋_GB2312" w:hAnsi="Times New Roman" w:eastAsia="仿宋_GB2312" w:cs="Times New Roman"/>
          <w:color w:val="auto"/>
          <w:kern w:val="2"/>
          <w:szCs w:val="32"/>
          <w:lang w:val="en-US" w:eastAsia="zh-CN" w:bidi="ar-SA"/>
        </w:rPr>
        <w:fldChar w:fldCharType="separate"/>
      </w:r>
      <w:r>
        <w:rPr>
          <w:rFonts w:ascii="Times New Roman" w:hAnsi="Times New Roman" w:eastAsia="宋体" w:cs="Times New Roman"/>
          <w:color w:val="auto"/>
          <w:kern w:val="2"/>
          <w:szCs w:val="24"/>
          <w:lang w:val="en-US" w:eastAsia="zh-CN" w:bidi="ar-SA"/>
        </w:rPr>
        <w:t>竞买报价单</w:t>
      </w:r>
      <w:r>
        <w:rPr>
          <w:rFonts w:ascii="Times New Roman" w:hAnsi="Times New Roman" w:eastAsia="宋体" w:cs="Times New Roman"/>
          <w:color w:val="auto"/>
          <w:kern w:val="2"/>
          <w:szCs w:val="24"/>
          <w:lang w:val="en-US" w:eastAsia="zh-CN" w:bidi="ar-SA"/>
        </w:rPr>
        <w:tab/>
      </w:r>
      <w:r>
        <w:rPr>
          <w:rFonts w:ascii="Times New Roman" w:hAnsi="Times New Roman" w:eastAsia="宋体" w:cs="Times New Roman"/>
          <w:color w:val="auto"/>
          <w:kern w:val="2"/>
          <w:szCs w:val="24"/>
          <w:lang w:val="en-US" w:eastAsia="zh-CN" w:bidi="ar-SA"/>
        </w:rPr>
        <w:fldChar w:fldCharType="begin"/>
      </w:r>
      <w:r>
        <w:rPr>
          <w:rFonts w:ascii="Times New Roman" w:hAnsi="Times New Roman" w:eastAsia="宋体" w:cs="Times New Roman"/>
          <w:color w:val="auto"/>
          <w:kern w:val="2"/>
          <w:szCs w:val="24"/>
          <w:lang w:val="en-US" w:eastAsia="zh-CN" w:bidi="ar-SA"/>
        </w:rPr>
        <w:instrText xml:space="preserve"> PAGEREF _Toc25149 </w:instrText>
      </w:r>
      <w:r>
        <w:rPr>
          <w:rFonts w:ascii="Times New Roman" w:hAnsi="Times New Roman" w:eastAsia="宋体" w:cs="Times New Roman"/>
          <w:color w:val="auto"/>
          <w:kern w:val="2"/>
          <w:szCs w:val="24"/>
          <w:lang w:val="en-US" w:eastAsia="zh-CN" w:bidi="ar-SA"/>
        </w:rPr>
        <w:fldChar w:fldCharType="separate"/>
      </w:r>
      <w:r>
        <w:rPr>
          <w:rFonts w:ascii="Times New Roman" w:hAnsi="Times New Roman" w:eastAsia="宋体" w:cs="Times New Roman"/>
          <w:color w:val="auto"/>
          <w:kern w:val="2"/>
          <w:szCs w:val="24"/>
          <w:lang w:val="en-US" w:eastAsia="zh-CN" w:bidi="ar-SA"/>
        </w:rPr>
        <w:t>38</w:t>
      </w:r>
      <w:r>
        <w:rPr>
          <w:rFonts w:ascii="Times New Roman" w:hAnsi="Times New Roman" w:eastAsia="宋体" w:cs="Times New Roman"/>
          <w:color w:val="auto"/>
          <w:kern w:val="2"/>
          <w:szCs w:val="24"/>
          <w:lang w:val="en-US" w:eastAsia="zh-CN" w:bidi="ar-SA"/>
        </w:rPr>
        <w:fldChar w:fldCharType="end"/>
      </w:r>
      <w:r>
        <w:rPr>
          <w:rFonts w:hint="eastAsia" w:ascii="仿宋_GB2312" w:hAnsi="Times New Roman" w:eastAsia="仿宋_GB2312" w:cs="Times New Roman"/>
          <w:color w:val="auto"/>
          <w:kern w:val="2"/>
          <w:szCs w:val="32"/>
          <w:lang w:val="en-US" w:eastAsia="zh-CN" w:bidi="ar-SA"/>
        </w:rPr>
        <w:fldChar w:fldCharType="end"/>
      </w:r>
    </w:p>
    <w:p>
      <w:pPr>
        <w:pStyle w:val="17"/>
        <w:tabs>
          <w:tab w:val="right" w:leader="dot" w:pos="8306"/>
          <w:tab w:val="clear" w:pos="8296"/>
        </w:tabs>
        <w:rPr>
          <w:rFonts w:ascii="Times New Roman" w:hAnsi="Times New Roman" w:eastAsia="宋体" w:cs="Times New Roman"/>
          <w:color w:val="auto"/>
          <w:kern w:val="2"/>
          <w:szCs w:val="24"/>
          <w:lang w:val="en-US" w:eastAsia="zh-CN" w:bidi="ar-SA"/>
        </w:rPr>
      </w:pPr>
      <w:r>
        <w:rPr>
          <w:rFonts w:hint="eastAsia" w:ascii="仿宋_GB2312" w:hAnsi="Times New Roman" w:eastAsia="仿宋_GB2312" w:cs="Times New Roman"/>
          <w:color w:val="auto"/>
          <w:kern w:val="2"/>
          <w:szCs w:val="32"/>
          <w:lang w:val="en-US" w:eastAsia="zh-CN" w:bidi="ar-SA"/>
        </w:rPr>
        <w:fldChar w:fldCharType="begin"/>
      </w:r>
      <w:r>
        <w:rPr>
          <w:rFonts w:hint="eastAsia" w:ascii="仿宋_GB2312" w:hAnsi="Times New Roman" w:eastAsia="仿宋_GB2312" w:cs="Times New Roman"/>
          <w:color w:val="auto"/>
          <w:kern w:val="2"/>
          <w:szCs w:val="32"/>
          <w:lang w:val="en-US" w:eastAsia="zh-CN" w:bidi="ar-SA"/>
        </w:rPr>
        <w:instrText xml:space="preserve"> HYPERLINK \l _Toc27875 </w:instrText>
      </w:r>
      <w:r>
        <w:rPr>
          <w:rFonts w:hint="eastAsia" w:ascii="仿宋_GB2312" w:hAnsi="Times New Roman" w:eastAsia="仿宋_GB2312" w:cs="Times New Roman"/>
          <w:color w:val="auto"/>
          <w:kern w:val="2"/>
          <w:szCs w:val="32"/>
          <w:lang w:val="en-US" w:eastAsia="zh-CN" w:bidi="ar-SA"/>
        </w:rPr>
        <w:fldChar w:fldCharType="separate"/>
      </w:r>
      <w:r>
        <w:rPr>
          <w:rFonts w:ascii="Times New Roman" w:hAnsi="Times New Roman" w:eastAsia="仿宋_GB2312" w:cs="Times New Roman"/>
          <w:color w:val="auto"/>
          <w:kern w:val="2"/>
          <w:szCs w:val="36"/>
          <w:lang w:val="en-US" w:eastAsia="zh-CN" w:bidi="ar-SA"/>
        </w:rPr>
        <w:t>现场竞价申请书</w:t>
      </w:r>
      <w:r>
        <w:rPr>
          <w:rFonts w:ascii="Times New Roman" w:hAnsi="Times New Roman" w:eastAsia="宋体" w:cs="Times New Roman"/>
          <w:color w:val="auto"/>
          <w:kern w:val="2"/>
          <w:szCs w:val="24"/>
          <w:lang w:val="en-US" w:eastAsia="zh-CN" w:bidi="ar-SA"/>
        </w:rPr>
        <w:tab/>
      </w:r>
      <w:r>
        <w:rPr>
          <w:rFonts w:ascii="Times New Roman" w:hAnsi="Times New Roman" w:eastAsia="宋体" w:cs="Times New Roman"/>
          <w:color w:val="auto"/>
          <w:kern w:val="2"/>
          <w:szCs w:val="24"/>
          <w:lang w:val="en-US" w:eastAsia="zh-CN" w:bidi="ar-SA"/>
        </w:rPr>
        <w:fldChar w:fldCharType="begin"/>
      </w:r>
      <w:r>
        <w:rPr>
          <w:rFonts w:ascii="Times New Roman" w:hAnsi="Times New Roman" w:eastAsia="宋体" w:cs="Times New Roman"/>
          <w:color w:val="auto"/>
          <w:kern w:val="2"/>
          <w:szCs w:val="24"/>
          <w:lang w:val="en-US" w:eastAsia="zh-CN" w:bidi="ar-SA"/>
        </w:rPr>
        <w:instrText xml:space="preserve"> PAGEREF _Toc27875 </w:instrText>
      </w:r>
      <w:r>
        <w:rPr>
          <w:rFonts w:ascii="Times New Roman" w:hAnsi="Times New Roman" w:eastAsia="宋体" w:cs="Times New Roman"/>
          <w:color w:val="auto"/>
          <w:kern w:val="2"/>
          <w:szCs w:val="24"/>
          <w:lang w:val="en-US" w:eastAsia="zh-CN" w:bidi="ar-SA"/>
        </w:rPr>
        <w:fldChar w:fldCharType="separate"/>
      </w:r>
      <w:r>
        <w:rPr>
          <w:rFonts w:ascii="Times New Roman" w:hAnsi="Times New Roman" w:eastAsia="宋体" w:cs="Times New Roman"/>
          <w:color w:val="auto"/>
          <w:kern w:val="2"/>
          <w:szCs w:val="24"/>
          <w:lang w:val="en-US" w:eastAsia="zh-CN" w:bidi="ar-SA"/>
        </w:rPr>
        <w:t>39</w:t>
      </w:r>
      <w:r>
        <w:rPr>
          <w:rFonts w:ascii="Times New Roman" w:hAnsi="Times New Roman" w:eastAsia="宋体" w:cs="Times New Roman"/>
          <w:color w:val="auto"/>
          <w:kern w:val="2"/>
          <w:szCs w:val="24"/>
          <w:lang w:val="en-US" w:eastAsia="zh-CN" w:bidi="ar-SA"/>
        </w:rPr>
        <w:fldChar w:fldCharType="end"/>
      </w:r>
      <w:r>
        <w:rPr>
          <w:rFonts w:hint="eastAsia" w:ascii="仿宋_GB2312" w:hAnsi="Times New Roman" w:eastAsia="仿宋_GB2312" w:cs="Times New Roman"/>
          <w:color w:val="auto"/>
          <w:kern w:val="2"/>
          <w:szCs w:val="32"/>
          <w:lang w:val="en-US" w:eastAsia="zh-CN" w:bidi="ar-SA"/>
        </w:rPr>
        <w:fldChar w:fldCharType="end"/>
      </w:r>
    </w:p>
    <w:p>
      <w:pPr>
        <w:pStyle w:val="17"/>
        <w:tabs>
          <w:tab w:val="right" w:leader="dot" w:pos="8306"/>
          <w:tab w:val="clear" w:pos="8296"/>
        </w:tabs>
        <w:rPr>
          <w:rFonts w:ascii="Times New Roman" w:hAnsi="Times New Roman" w:eastAsia="宋体" w:cs="Times New Roman"/>
          <w:color w:val="auto"/>
          <w:kern w:val="2"/>
          <w:szCs w:val="24"/>
          <w:lang w:val="en-US" w:eastAsia="zh-CN" w:bidi="ar-SA"/>
        </w:rPr>
      </w:pPr>
      <w:r>
        <w:rPr>
          <w:rFonts w:hint="eastAsia" w:ascii="仿宋_GB2312" w:hAnsi="Times New Roman" w:eastAsia="仿宋_GB2312" w:cs="Times New Roman"/>
          <w:color w:val="auto"/>
          <w:kern w:val="2"/>
          <w:szCs w:val="32"/>
          <w:lang w:val="en-US" w:eastAsia="zh-CN" w:bidi="ar-SA"/>
        </w:rPr>
        <w:fldChar w:fldCharType="begin"/>
      </w:r>
      <w:r>
        <w:rPr>
          <w:rFonts w:hint="eastAsia" w:ascii="仿宋_GB2312" w:hAnsi="Times New Roman" w:eastAsia="仿宋_GB2312" w:cs="Times New Roman"/>
          <w:color w:val="auto"/>
          <w:kern w:val="2"/>
          <w:szCs w:val="32"/>
          <w:lang w:val="en-US" w:eastAsia="zh-CN" w:bidi="ar-SA"/>
        </w:rPr>
        <w:instrText xml:space="preserve"> HYPERLINK \l _Toc16047 </w:instrText>
      </w:r>
      <w:r>
        <w:rPr>
          <w:rFonts w:hint="eastAsia" w:ascii="仿宋_GB2312" w:hAnsi="Times New Roman" w:eastAsia="仿宋_GB2312" w:cs="Times New Roman"/>
          <w:color w:val="auto"/>
          <w:kern w:val="2"/>
          <w:szCs w:val="32"/>
          <w:lang w:val="en-US" w:eastAsia="zh-CN" w:bidi="ar-SA"/>
        </w:rPr>
        <w:fldChar w:fldCharType="separate"/>
      </w:r>
      <w:r>
        <w:rPr>
          <w:rFonts w:ascii="宋体" w:hAnsi="宋体" w:eastAsia="宋体" w:cs="Times New Roman"/>
          <w:color w:val="auto"/>
          <w:kern w:val="2"/>
          <w:szCs w:val="36"/>
          <w:lang w:val="en-US" w:eastAsia="zh-CN" w:bidi="ar-SA"/>
        </w:rPr>
        <w:t>北京市集体经营性建设用地使用权挂牌出让</w:t>
      </w:r>
      <w:r>
        <w:rPr>
          <w:rFonts w:ascii="Times New Roman" w:hAnsi="Times New Roman" w:eastAsia="宋体" w:cs="Times New Roman"/>
          <w:color w:val="auto"/>
          <w:kern w:val="2"/>
          <w:szCs w:val="24"/>
          <w:lang w:val="en-US" w:eastAsia="zh-CN" w:bidi="ar-SA"/>
        </w:rPr>
        <w:tab/>
      </w:r>
      <w:r>
        <w:rPr>
          <w:rFonts w:ascii="Times New Roman" w:hAnsi="Times New Roman" w:eastAsia="宋体" w:cs="Times New Roman"/>
          <w:color w:val="auto"/>
          <w:kern w:val="2"/>
          <w:szCs w:val="24"/>
          <w:lang w:val="en-US" w:eastAsia="zh-CN" w:bidi="ar-SA"/>
        </w:rPr>
        <w:fldChar w:fldCharType="begin"/>
      </w:r>
      <w:r>
        <w:rPr>
          <w:rFonts w:ascii="Times New Roman" w:hAnsi="Times New Roman" w:eastAsia="宋体" w:cs="Times New Roman"/>
          <w:color w:val="auto"/>
          <w:kern w:val="2"/>
          <w:szCs w:val="24"/>
          <w:lang w:val="en-US" w:eastAsia="zh-CN" w:bidi="ar-SA"/>
        </w:rPr>
        <w:instrText xml:space="preserve"> PAGEREF _Toc16047 </w:instrText>
      </w:r>
      <w:r>
        <w:rPr>
          <w:rFonts w:ascii="Times New Roman" w:hAnsi="Times New Roman" w:eastAsia="宋体" w:cs="Times New Roman"/>
          <w:color w:val="auto"/>
          <w:kern w:val="2"/>
          <w:szCs w:val="24"/>
          <w:lang w:val="en-US" w:eastAsia="zh-CN" w:bidi="ar-SA"/>
        </w:rPr>
        <w:fldChar w:fldCharType="separate"/>
      </w:r>
      <w:r>
        <w:rPr>
          <w:rFonts w:ascii="Times New Roman" w:hAnsi="Times New Roman" w:eastAsia="宋体" w:cs="Times New Roman"/>
          <w:color w:val="auto"/>
          <w:kern w:val="2"/>
          <w:szCs w:val="24"/>
          <w:lang w:val="en-US" w:eastAsia="zh-CN" w:bidi="ar-SA"/>
        </w:rPr>
        <w:t>40</w:t>
      </w:r>
      <w:r>
        <w:rPr>
          <w:rFonts w:ascii="Times New Roman" w:hAnsi="Times New Roman" w:eastAsia="宋体" w:cs="Times New Roman"/>
          <w:color w:val="auto"/>
          <w:kern w:val="2"/>
          <w:szCs w:val="24"/>
          <w:lang w:val="en-US" w:eastAsia="zh-CN" w:bidi="ar-SA"/>
        </w:rPr>
        <w:fldChar w:fldCharType="end"/>
      </w:r>
      <w:r>
        <w:rPr>
          <w:rFonts w:hint="eastAsia" w:ascii="仿宋_GB2312" w:hAnsi="Times New Roman" w:eastAsia="仿宋_GB2312" w:cs="Times New Roman"/>
          <w:color w:val="auto"/>
          <w:kern w:val="2"/>
          <w:szCs w:val="32"/>
          <w:lang w:val="en-US" w:eastAsia="zh-CN" w:bidi="ar-SA"/>
        </w:rPr>
        <w:fldChar w:fldCharType="end"/>
      </w:r>
    </w:p>
    <w:p>
      <w:pPr>
        <w:pStyle w:val="17"/>
        <w:tabs>
          <w:tab w:val="right" w:leader="dot" w:pos="8306"/>
          <w:tab w:val="clear" w:pos="8296"/>
        </w:tabs>
        <w:rPr>
          <w:rFonts w:ascii="Times New Roman" w:hAnsi="Times New Roman" w:eastAsia="宋体" w:cs="Times New Roman"/>
          <w:color w:val="auto"/>
          <w:kern w:val="2"/>
          <w:szCs w:val="24"/>
          <w:lang w:val="en-US" w:eastAsia="zh-CN" w:bidi="ar-SA"/>
        </w:rPr>
      </w:pPr>
      <w:r>
        <w:rPr>
          <w:rFonts w:hint="eastAsia" w:ascii="仿宋_GB2312" w:hAnsi="Times New Roman" w:eastAsia="仿宋_GB2312" w:cs="Times New Roman"/>
          <w:color w:val="auto"/>
          <w:kern w:val="2"/>
          <w:szCs w:val="32"/>
          <w:lang w:val="en-US" w:eastAsia="zh-CN" w:bidi="ar-SA"/>
        </w:rPr>
        <w:fldChar w:fldCharType="begin"/>
      </w:r>
      <w:r>
        <w:rPr>
          <w:rFonts w:hint="eastAsia" w:ascii="仿宋_GB2312" w:hAnsi="Times New Roman" w:eastAsia="仿宋_GB2312" w:cs="Times New Roman"/>
          <w:color w:val="auto"/>
          <w:kern w:val="2"/>
          <w:szCs w:val="32"/>
          <w:lang w:val="en-US" w:eastAsia="zh-CN" w:bidi="ar-SA"/>
        </w:rPr>
        <w:instrText xml:space="preserve"> HYPERLINK \l _Toc22979 </w:instrText>
      </w:r>
      <w:r>
        <w:rPr>
          <w:rFonts w:hint="eastAsia" w:ascii="仿宋_GB2312" w:hAnsi="Times New Roman" w:eastAsia="仿宋_GB2312" w:cs="Times New Roman"/>
          <w:color w:val="auto"/>
          <w:kern w:val="2"/>
          <w:szCs w:val="32"/>
          <w:lang w:val="en-US" w:eastAsia="zh-CN" w:bidi="ar-SA"/>
        </w:rPr>
        <w:fldChar w:fldCharType="separate"/>
      </w:r>
      <w:r>
        <w:rPr>
          <w:rFonts w:ascii="宋体" w:hAnsi="宋体" w:eastAsia="宋体" w:cs="Times New Roman"/>
          <w:color w:val="auto"/>
          <w:kern w:val="2"/>
          <w:szCs w:val="36"/>
          <w:lang w:val="en-US" w:eastAsia="zh-CN" w:bidi="ar-SA"/>
        </w:rPr>
        <w:t>现场报价确认书</w:t>
      </w:r>
      <w:r>
        <w:rPr>
          <w:rFonts w:ascii="Times New Roman" w:hAnsi="Times New Roman" w:eastAsia="宋体" w:cs="Times New Roman"/>
          <w:color w:val="auto"/>
          <w:kern w:val="2"/>
          <w:szCs w:val="24"/>
          <w:lang w:val="en-US" w:eastAsia="zh-CN" w:bidi="ar-SA"/>
        </w:rPr>
        <w:tab/>
      </w:r>
      <w:r>
        <w:rPr>
          <w:rFonts w:ascii="Times New Roman" w:hAnsi="Times New Roman" w:eastAsia="宋体" w:cs="Times New Roman"/>
          <w:color w:val="auto"/>
          <w:kern w:val="2"/>
          <w:szCs w:val="24"/>
          <w:lang w:val="en-US" w:eastAsia="zh-CN" w:bidi="ar-SA"/>
        </w:rPr>
        <w:fldChar w:fldCharType="begin"/>
      </w:r>
      <w:r>
        <w:rPr>
          <w:rFonts w:ascii="Times New Roman" w:hAnsi="Times New Roman" w:eastAsia="宋体" w:cs="Times New Roman"/>
          <w:color w:val="auto"/>
          <w:kern w:val="2"/>
          <w:szCs w:val="24"/>
          <w:lang w:val="en-US" w:eastAsia="zh-CN" w:bidi="ar-SA"/>
        </w:rPr>
        <w:instrText xml:space="preserve"> PAGEREF _Toc22979 </w:instrText>
      </w:r>
      <w:r>
        <w:rPr>
          <w:rFonts w:ascii="Times New Roman" w:hAnsi="Times New Roman" w:eastAsia="宋体" w:cs="Times New Roman"/>
          <w:color w:val="auto"/>
          <w:kern w:val="2"/>
          <w:szCs w:val="24"/>
          <w:lang w:val="en-US" w:eastAsia="zh-CN" w:bidi="ar-SA"/>
        </w:rPr>
        <w:fldChar w:fldCharType="separate"/>
      </w:r>
      <w:r>
        <w:rPr>
          <w:rFonts w:ascii="Times New Roman" w:hAnsi="Times New Roman" w:eastAsia="宋体" w:cs="Times New Roman"/>
          <w:color w:val="auto"/>
          <w:kern w:val="2"/>
          <w:szCs w:val="24"/>
          <w:lang w:val="en-US" w:eastAsia="zh-CN" w:bidi="ar-SA"/>
        </w:rPr>
        <w:t>40</w:t>
      </w:r>
      <w:r>
        <w:rPr>
          <w:rFonts w:ascii="Times New Roman" w:hAnsi="Times New Roman" w:eastAsia="宋体" w:cs="Times New Roman"/>
          <w:color w:val="auto"/>
          <w:kern w:val="2"/>
          <w:szCs w:val="24"/>
          <w:lang w:val="en-US" w:eastAsia="zh-CN" w:bidi="ar-SA"/>
        </w:rPr>
        <w:fldChar w:fldCharType="end"/>
      </w:r>
      <w:r>
        <w:rPr>
          <w:rFonts w:hint="eastAsia" w:ascii="仿宋_GB2312" w:hAnsi="Times New Roman" w:eastAsia="仿宋_GB2312" w:cs="Times New Roman"/>
          <w:color w:val="auto"/>
          <w:kern w:val="2"/>
          <w:szCs w:val="32"/>
          <w:lang w:val="en-US" w:eastAsia="zh-CN" w:bidi="ar-SA"/>
        </w:rPr>
        <w:fldChar w:fldCharType="end"/>
      </w:r>
    </w:p>
    <w:p>
      <w:pPr>
        <w:pStyle w:val="17"/>
        <w:tabs>
          <w:tab w:val="right" w:leader="dot" w:pos="8306"/>
          <w:tab w:val="clear" w:pos="8296"/>
        </w:tabs>
        <w:rPr>
          <w:rFonts w:ascii="Times New Roman" w:hAnsi="Times New Roman" w:eastAsia="宋体" w:cs="Times New Roman"/>
          <w:color w:val="auto"/>
          <w:kern w:val="2"/>
          <w:szCs w:val="24"/>
          <w:lang w:val="en-US" w:eastAsia="zh-CN" w:bidi="ar-SA"/>
        </w:rPr>
      </w:pPr>
      <w:r>
        <w:rPr>
          <w:rFonts w:hint="eastAsia" w:ascii="仿宋_GB2312" w:hAnsi="Times New Roman" w:eastAsia="仿宋_GB2312" w:cs="Times New Roman"/>
          <w:color w:val="auto"/>
          <w:kern w:val="2"/>
          <w:szCs w:val="32"/>
          <w:lang w:val="en-US" w:eastAsia="zh-CN" w:bidi="ar-SA"/>
        </w:rPr>
        <w:fldChar w:fldCharType="begin"/>
      </w:r>
      <w:r>
        <w:rPr>
          <w:rFonts w:hint="eastAsia" w:ascii="仿宋_GB2312" w:hAnsi="Times New Roman" w:eastAsia="仿宋_GB2312" w:cs="Times New Roman"/>
          <w:color w:val="auto"/>
          <w:kern w:val="2"/>
          <w:szCs w:val="32"/>
          <w:lang w:val="en-US" w:eastAsia="zh-CN" w:bidi="ar-SA"/>
        </w:rPr>
        <w:instrText xml:space="preserve"> HYPERLINK \l _Toc26128 </w:instrText>
      </w:r>
      <w:r>
        <w:rPr>
          <w:rFonts w:hint="eastAsia" w:ascii="仿宋_GB2312" w:hAnsi="Times New Roman" w:eastAsia="仿宋_GB2312" w:cs="Times New Roman"/>
          <w:color w:val="auto"/>
          <w:kern w:val="2"/>
          <w:szCs w:val="32"/>
          <w:lang w:val="en-US" w:eastAsia="zh-CN" w:bidi="ar-SA"/>
        </w:rPr>
        <w:fldChar w:fldCharType="separate"/>
      </w:r>
      <w:r>
        <w:rPr>
          <w:rFonts w:ascii="Times New Roman" w:hAnsi="Times New Roman" w:eastAsia="仿宋_GB2312" w:cs="Times New Roman"/>
          <w:bCs w:val="0"/>
          <w:color w:val="auto"/>
          <w:spacing w:val="-24"/>
          <w:kern w:val="2"/>
          <w:szCs w:val="36"/>
          <w:lang w:val="en-US" w:eastAsia="zh-CN" w:bidi="ar-SA"/>
        </w:rPr>
        <w:t>北京市集体经营性建设用地使用权挂牌出让成交确认书</w:t>
      </w:r>
      <w:r>
        <w:rPr>
          <w:rFonts w:ascii="Times New Roman" w:hAnsi="Times New Roman" w:eastAsia="宋体" w:cs="Times New Roman"/>
          <w:color w:val="auto"/>
          <w:kern w:val="2"/>
          <w:szCs w:val="24"/>
          <w:lang w:val="en-US" w:eastAsia="zh-CN" w:bidi="ar-SA"/>
        </w:rPr>
        <w:tab/>
      </w:r>
      <w:r>
        <w:rPr>
          <w:rFonts w:ascii="Times New Roman" w:hAnsi="Times New Roman" w:eastAsia="宋体" w:cs="Times New Roman"/>
          <w:color w:val="auto"/>
          <w:kern w:val="2"/>
          <w:szCs w:val="24"/>
          <w:lang w:val="en-US" w:eastAsia="zh-CN" w:bidi="ar-SA"/>
        </w:rPr>
        <w:fldChar w:fldCharType="begin"/>
      </w:r>
      <w:r>
        <w:rPr>
          <w:rFonts w:ascii="Times New Roman" w:hAnsi="Times New Roman" w:eastAsia="宋体" w:cs="Times New Roman"/>
          <w:color w:val="auto"/>
          <w:kern w:val="2"/>
          <w:szCs w:val="24"/>
          <w:lang w:val="en-US" w:eastAsia="zh-CN" w:bidi="ar-SA"/>
        </w:rPr>
        <w:instrText xml:space="preserve"> PAGEREF _Toc26128 </w:instrText>
      </w:r>
      <w:r>
        <w:rPr>
          <w:rFonts w:ascii="Times New Roman" w:hAnsi="Times New Roman" w:eastAsia="宋体" w:cs="Times New Roman"/>
          <w:color w:val="auto"/>
          <w:kern w:val="2"/>
          <w:szCs w:val="24"/>
          <w:lang w:val="en-US" w:eastAsia="zh-CN" w:bidi="ar-SA"/>
        </w:rPr>
        <w:fldChar w:fldCharType="separate"/>
      </w:r>
      <w:r>
        <w:rPr>
          <w:rFonts w:ascii="Times New Roman" w:hAnsi="Times New Roman" w:eastAsia="宋体" w:cs="Times New Roman"/>
          <w:color w:val="auto"/>
          <w:kern w:val="2"/>
          <w:szCs w:val="24"/>
          <w:lang w:val="en-US" w:eastAsia="zh-CN" w:bidi="ar-SA"/>
        </w:rPr>
        <w:t>41</w:t>
      </w:r>
      <w:r>
        <w:rPr>
          <w:rFonts w:ascii="Times New Roman" w:hAnsi="Times New Roman" w:eastAsia="宋体" w:cs="Times New Roman"/>
          <w:color w:val="auto"/>
          <w:kern w:val="2"/>
          <w:szCs w:val="24"/>
          <w:lang w:val="en-US" w:eastAsia="zh-CN" w:bidi="ar-SA"/>
        </w:rPr>
        <w:fldChar w:fldCharType="end"/>
      </w:r>
      <w:r>
        <w:rPr>
          <w:rFonts w:hint="eastAsia" w:ascii="仿宋_GB2312" w:hAnsi="Times New Roman" w:eastAsia="仿宋_GB2312" w:cs="Times New Roman"/>
          <w:color w:val="auto"/>
          <w:kern w:val="2"/>
          <w:szCs w:val="32"/>
          <w:lang w:val="en-US" w:eastAsia="zh-CN" w:bidi="ar-SA"/>
        </w:rPr>
        <w:fldChar w:fldCharType="end"/>
      </w:r>
    </w:p>
    <w:p>
      <w:pPr>
        <w:spacing w:line="560" w:lineRule="exact"/>
        <w:rPr>
          <w:rFonts w:eastAsia="仿宋_GB2312"/>
          <w:color w:val="auto"/>
          <w:sz w:val="28"/>
          <w:szCs w:val="28"/>
        </w:rPr>
      </w:pPr>
      <w:r>
        <w:rPr>
          <w:rFonts w:hint="eastAsia" w:ascii="仿宋_GB2312" w:hAnsi="Times New Roman" w:eastAsia="仿宋_GB2312" w:cs="Times New Roman"/>
          <w:color w:val="auto"/>
          <w:kern w:val="2"/>
          <w:szCs w:val="32"/>
          <w:lang w:val="en-US" w:eastAsia="zh-CN" w:bidi="ar-SA"/>
        </w:rPr>
        <w:fldChar w:fldCharType="end"/>
      </w:r>
    </w:p>
    <w:p>
      <w:pPr>
        <w:spacing w:line="460" w:lineRule="exact"/>
        <w:rPr>
          <w:rFonts w:eastAsia="仿宋_GB2312"/>
          <w:color w:val="auto"/>
          <w:sz w:val="32"/>
          <w:szCs w:val="32"/>
        </w:rPr>
      </w:pPr>
      <w:r>
        <w:rPr>
          <w:rFonts w:eastAsia="仿宋_GB2312"/>
          <w:color w:val="auto"/>
          <w:sz w:val="32"/>
          <w:szCs w:val="32"/>
        </w:rPr>
        <w:t>附件：</w:t>
      </w:r>
    </w:p>
    <w:p>
      <w:pPr>
        <w:jc w:val="left"/>
        <w:rPr>
          <w:rFonts w:hint="default" w:ascii="Times New Roman" w:hAnsi="Times New Roman" w:eastAsia="仿宋_GB2312" w:cs="Times New Roman"/>
          <w:bCs/>
          <w:color w:val="auto"/>
          <w:sz w:val="28"/>
          <w:szCs w:val="28"/>
          <w:lang w:bidi="en-US"/>
        </w:rPr>
      </w:pPr>
      <w:bookmarkStart w:id="1" w:name="_Toc343692490"/>
      <w:bookmarkStart w:id="2" w:name="_Toc212531019"/>
      <w:bookmarkStart w:id="3" w:name="_Toc333399146"/>
      <w:bookmarkStart w:id="4" w:name="_Toc313455613"/>
      <w:bookmarkStart w:id="5" w:name="_Toc333247483"/>
      <w:bookmarkStart w:id="6" w:name="_Toc212531155"/>
      <w:bookmarkStart w:id="7" w:name="_Toc272043493"/>
      <w:r>
        <w:rPr>
          <w:rFonts w:hint="default" w:ascii="Times New Roman" w:hAnsi="Times New Roman" w:eastAsia="仿宋_GB2312" w:cs="Times New Roman"/>
          <w:bCs/>
          <w:color w:val="auto"/>
          <w:sz w:val="28"/>
          <w:szCs w:val="28"/>
          <w:lang w:bidi="en-US"/>
        </w:rPr>
        <w:t>1、</w:t>
      </w:r>
      <w:r>
        <w:rPr>
          <w:rFonts w:hint="eastAsia" w:eastAsia="仿宋_GB2312" w:cs="Times New Roman"/>
          <w:bCs/>
          <w:color w:val="auto"/>
          <w:sz w:val="28"/>
          <w:szCs w:val="28"/>
          <w:lang w:val="en-US" w:eastAsia="zh-CN" w:bidi="en-US"/>
        </w:rPr>
        <w:t>宗地</w:t>
      </w:r>
      <w:r>
        <w:rPr>
          <w:rFonts w:hint="default" w:ascii="Times New Roman" w:hAnsi="Times New Roman" w:eastAsia="仿宋_GB2312" w:cs="Times New Roman"/>
          <w:bCs/>
          <w:color w:val="auto"/>
          <w:sz w:val="28"/>
          <w:szCs w:val="28"/>
          <w:lang w:bidi="en-US"/>
        </w:rPr>
        <w:t>位置图</w:t>
      </w:r>
    </w:p>
    <w:p>
      <w:pPr>
        <w:jc w:val="left"/>
        <w:rPr>
          <w:rFonts w:hint="eastAsia" w:ascii="Times New Roman" w:hAnsi="Times New Roman" w:eastAsia="仿宋_GB2312" w:cs="Times New Roman"/>
          <w:bCs/>
          <w:color w:val="auto"/>
          <w:sz w:val="28"/>
          <w:szCs w:val="28"/>
          <w:lang w:val="en-US" w:eastAsia="zh-CN" w:bidi="en-US"/>
        </w:rPr>
      </w:pPr>
      <w:r>
        <w:rPr>
          <w:rFonts w:hint="default" w:ascii="Times New Roman" w:hAnsi="Times New Roman" w:eastAsia="仿宋_GB2312" w:cs="Times New Roman"/>
          <w:bCs/>
          <w:color w:val="auto"/>
          <w:sz w:val="28"/>
          <w:szCs w:val="28"/>
          <w:lang w:val="en-US" w:eastAsia="zh-CN" w:bidi="en-US"/>
        </w:rPr>
        <w:t>2、</w:t>
      </w:r>
      <w:r>
        <w:rPr>
          <w:rFonts w:hint="eastAsia" w:eastAsia="仿宋_GB2312" w:cs="Times New Roman"/>
          <w:bCs/>
          <w:color w:val="auto"/>
          <w:sz w:val="28"/>
          <w:szCs w:val="28"/>
          <w:lang w:val="en-US" w:eastAsia="zh-CN" w:bidi="en-US"/>
        </w:rPr>
        <w:t>《北京市规划委员会农村集体经营性建设用地入市试点项目乡村建设规划条件（供应阶段）》 2018规土（大）乡条供字0001号</w:t>
      </w:r>
    </w:p>
    <w:p>
      <w:pPr>
        <w:jc w:val="left"/>
        <w:rPr>
          <w:rFonts w:hint="default" w:ascii="Times New Roman" w:hAnsi="Times New Roman" w:eastAsia="仿宋_GB2312" w:cs="Times New Roman"/>
          <w:bCs/>
          <w:color w:val="auto"/>
          <w:sz w:val="28"/>
          <w:szCs w:val="28"/>
          <w:highlight w:val="none"/>
          <w:lang w:val="en-US" w:eastAsia="zh-CN" w:bidi="en-US"/>
        </w:rPr>
      </w:pPr>
      <w:r>
        <w:rPr>
          <w:rFonts w:hint="eastAsia" w:eastAsia="仿宋_GB2312" w:cs="Times New Roman"/>
          <w:bCs/>
          <w:color w:val="auto"/>
          <w:sz w:val="28"/>
          <w:szCs w:val="28"/>
          <w:highlight w:val="none"/>
          <w:lang w:val="en-US" w:eastAsia="zh-CN" w:bidi="en-US"/>
        </w:rPr>
        <w:t>3</w:t>
      </w:r>
      <w:r>
        <w:rPr>
          <w:rFonts w:hint="default" w:ascii="Times New Roman" w:hAnsi="Times New Roman" w:eastAsia="仿宋_GB2312" w:cs="Times New Roman"/>
          <w:bCs/>
          <w:color w:val="auto"/>
          <w:sz w:val="28"/>
          <w:szCs w:val="28"/>
          <w:highlight w:val="none"/>
          <w:lang w:bidi="en-US"/>
        </w:rPr>
        <w:t>、《</w:t>
      </w:r>
      <w:r>
        <w:rPr>
          <w:rFonts w:hint="eastAsia" w:ascii="Times New Roman" w:hAnsi="Times New Roman" w:eastAsia="仿宋_GB2312" w:cs="Times New Roman"/>
          <w:bCs/>
          <w:color w:val="auto"/>
          <w:sz w:val="28"/>
          <w:szCs w:val="28"/>
          <w:highlight w:val="none"/>
          <w:lang w:eastAsia="zh-CN" w:bidi="en-US"/>
        </w:rPr>
        <w:t>建设工程规划用地测量成果报告书》</w:t>
      </w:r>
      <w:r>
        <w:rPr>
          <w:rFonts w:hint="eastAsia" w:eastAsia="仿宋_GB2312" w:cs="Times New Roman"/>
          <w:bCs/>
          <w:color w:val="auto"/>
          <w:sz w:val="28"/>
          <w:szCs w:val="28"/>
          <w:highlight w:val="none"/>
          <w:lang w:eastAsia="zh-CN" w:bidi="en-US"/>
        </w:rPr>
        <w:t>2016规（大）测字0037号</w:t>
      </w:r>
      <w:r>
        <w:rPr>
          <w:rFonts w:hint="eastAsia" w:ascii="Times New Roman" w:hAnsi="Times New Roman" w:eastAsia="仿宋_GB2312" w:cs="Times New Roman"/>
          <w:bCs/>
          <w:color w:val="auto"/>
          <w:sz w:val="28"/>
          <w:szCs w:val="28"/>
          <w:highlight w:val="none"/>
          <w:lang w:val="en-US" w:eastAsia="zh-CN" w:bidi="en-US"/>
        </w:rPr>
        <w:t xml:space="preserve">                                                                                   </w:t>
      </w:r>
    </w:p>
    <w:p>
      <w:pPr>
        <w:jc w:val="left"/>
        <w:rPr>
          <w:rFonts w:hint="default" w:ascii="Times New Roman" w:hAnsi="Times New Roman" w:eastAsia="仿宋_GB2312" w:cs="Times New Roman"/>
          <w:bCs/>
          <w:color w:val="auto"/>
          <w:sz w:val="28"/>
          <w:szCs w:val="28"/>
          <w:highlight w:val="none"/>
          <w:lang w:val="en-US" w:eastAsia="zh-CN" w:bidi="en-US"/>
        </w:rPr>
      </w:pPr>
      <w:r>
        <w:rPr>
          <w:rFonts w:hint="eastAsia" w:eastAsia="仿宋_GB2312" w:cs="Times New Roman"/>
          <w:bCs/>
          <w:color w:val="auto"/>
          <w:sz w:val="28"/>
          <w:szCs w:val="28"/>
          <w:highlight w:val="none"/>
          <w:lang w:val="en-US" w:eastAsia="zh-CN" w:bidi="en-US"/>
        </w:rPr>
        <w:t>4</w:t>
      </w:r>
      <w:r>
        <w:rPr>
          <w:rFonts w:hint="default" w:ascii="Times New Roman" w:hAnsi="Times New Roman" w:eastAsia="仿宋_GB2312" w:cs="Times New Roman"/>
          <w:bCs/>
          <w:color w:val="auto"/>
          <w:sz w:val="28"/>
          <w:szCs w:val="28"/>
          <w:highlight w:val="none"/>
          <w:lang w:val="en-US" w:eastAsia="zh-CN" w:bidi="en-US"/>
        </w:rPr>
        <w:t>、北京市</w:t>
      </w:r>
      <w:r>
        <w:rPr>
          <w:rFonts w:hint="eastAsia" w:ascii="Times New Roman" w:hAnsi="Times New Roman" w:eastAsia="仿宋_GB2312" w:cs="Times New Roman"/>
          <w:bCs/>
          <w:color w:val="auto"/>
          <w:sz w:val="28"/>
          <w:szCs w:val="28"/>
          <w:highlight w:val="none"/>
          <w:lang w:val="en-US" w:eastAsia="zh-CN" w:bidi="en-US"/>
        </w:rPr>
        <w:t>大兴区</w:t>
      </w:r>
      <w:r>
        <w:rPr>
          <w:rFonts w:hint="default" w:ascii="Times New Roman" w:hAnsi="Times New Roman" w:eastAsia="仿宋_GB2312" w:cs="Times New Roman"/>
          <w:bCs/>
          <w:color w:val="auto"/>
          <w:sz w:val="28"/>
          <w:szCs w:val="28"/>
          <w:highlight w:val="none"/>
          <w:lang w:val="en-US" w:eastAsia="zh-CN" w:bidi="en-US"/>
        </w:rPr>
        <w:t>各委办局等关于大兴区</w:t>
      </w:r>
      <w:r>
        <w:rPr>
          <w:rFonts w:hint="eastAsia" w:ascii="Times New Roman" w:hAnsi="Times New Roman" w:eastAsia="仿宋_GB2312" w:cs="Times New Roman"/>
          <w:bCs/>
          <w:color w:val="auto"/>
          <w:sz w:val="28"/>
          <w:szCs w:val="28"/>
          <w:highlight w:val="none"/>
          <w:lang w:val="en-US" w:eastAsia="zh-CN" w:bidi="en-US"/>
        </w:rPr>
        <w:t>瀛海</w:t>
      </w:r>
      <w:r>
        <w:rPr>
          <w:rFonts w:hint="default" w:ascii="Times New Roman" w:hAnsi="Times New Roman" w:eastAsia="仿宋_GB2312" w:cs="Times New Roman"/>
          <w:bCs/>
          <w:color w:val="auto"/>
          <w:sz w:val="28"/>
          <w:szCs w:val="28"/>
          <w:highlight w:val="none"/>
          <w:lang w:val="en-US" w:eastAsia="zh-CN" w:bidi="en-US"/>
        </w:rPr>
        <w:t>镇</w:t>
      </w:r>
      <w:r>
        <w:rPr>
          <w:rFonts w:hint="eastAsia" w:ascii="Times New Roman" w:hAnsi="Times New Roman" w:eastAsia="仿宋_GB2312" w:cs="Times New Roman"/>
          <w:bCs/>
          <w:color w:val="auto"/>
          <w:sz w:val="28"/>
          <w:szCs w:val="28"/>
          <w:highlight w:val="none"/>
          <w:lang w:val="en-US" w:eastAsia="zh-CN" w:bidi="en-US"/>
        </w:rPr>
        <w:t>集体经营性建设用地入市试点（一期）YZ00-0803-0011地块</w:t>
      </w:r>
      <w:r>
        <w:rPr>
          <w:rFonts w:hint="default" w:ascii="Times New Roman" w:hAnsi="Times New Roman" w:eastAsia="仿宋_GB2312" w:cs="Times New Roman"/>
          <w:bCs/>
          <w:color w:val="auto"/>
          <w:sz w:val="28"/>
          <w:szCs w:val="28"/>
          <w:highlight w:val="none"/>
          <w:lang w:val="en-US" w:eastAsia="zh-CN" w:bidi="en-US"/>
        </w:rPr>
        <w:t>入市的有关意见的函</w:t>
      </w:r>
    </w:p>
    <w:p>
      <w:pPr>
        <w:jc w:val="left"/>
        <w:rPr>
          <w:rFonts w:hint="eastAsia" w:ascii="Times New Roman" w:hAnsi="Times New Roman" w:eastAsia="仿宋_GB2312" w:cs="Times New Roman"/>
          <w:bCs/>
          <w:color w:val="auto"/>
          <w:sz w:val="28"/>
          <w:szCs w:val="28"/>
          <w:highlight w:val="none"/>
          <w:lang w:val="en-US" w:eastAsia="zh-CN" w:bidi="en-US"/>
        </w:rPr>
      </w:pPr>
      <w:r>
        <w:rPr>
          <w:rFonts w:hint="eastAsia" w:eastAsia="仿宋_GB2312" w:cs="Times New Roman"/>
          <w:bCs/>
          <w:color w:val="auto"/>
          <w:sz w:val="28"/>
          <w:szCs w:val="28"/>
          <w:highlight w:val="none"/>
          <w:lang w:val="en-US" w:eastAsia="zh-CN" w:bidi="en-US"/>
        </w:rPr>
        <w:t>5</w:t>
      </w:r>
      <w:r>
        <w:rPr>
          <w:rFonts w:hint="eastAsia" w:ascii="Times New Roman" w:hAnsi="Times New Roman" w:eastAsia="仿宋_GB2312" w:cs="Times New Roman"/>
          <w:bCs/>
          <w:color w:val="auto"/>
          <w:sz w:val="28"/>
          <w:szCs w:val="28"/>
          <w:highlight w:val="none"/>
          <w:lang w:val="en-US" w:eastAsia="zh-CN" w:bidi="en-US"/>
        </w:rPr>
        <w:t>、地形及地上物测绘报告</w:t>
      </w:r>
    </w:p>
    <w:p>
      <w:pPr>
        <w:jc w:val="left"/>
        <w:rPr>
          <w:rFonts w:hint="default" w:ascii="Times New Roman" w:hAnsi="Times New Roman" w:eastAsia="仿宋_GB2312" w:cs="Times New Roman"/>
          <w:bCs/>
          <w:color w:val="auto"/>
          <w:sz w:val="28"/>
          <w:szCs w:val="28"/>
          <w:highlight w:val="none"/>
          <w:lang w:val="en-US" w:eastAsia="zh-CN" w:bidi="en-US"/>
        </w:rPr>
      </w:pPr>
    </w:p>
    <w:p>
      <w:pPr>
        <w:spacing w:line="460" w:lineRule="exact"/>
        <w:rPr>
          <w:rFonts w:eastAsia="仿宋_GB2312"/>
          <w:color w:val="auto"/>
          <w:kern w:val="13"/>
          <w:sz w:val="28"/>
        </w:rPr>
      </w:pPr>
    </w:p>
    <w:p>
      <w:pPr>
        <w:spacing w:line="460" w:lineRule="exact"/>
        <w:rPr>
          <w:rFonts w:eastAsia="仿宋_GB2312"/>
          <w:color w:val="auto"/>
          <w:kern w:val="13"/>
          <w:sz w:val="28"/>
        </w:rPr>
      </w:pPr>
    </w:p>
    <w:p>
      <w:pPr>
        <w:spacing w:line="460" w:lineRule="exact"/>
        <w:rPr>
          <w:rFonts w:eastAsia="仿宋_GB2312"/>
          <w:color w:val="auto"/>
          <w:kern w:val="13"/>
          <w:sz w:val="28"/>
        </w:rPr>
      </w:pPr>
    </w:p>
    <w:p>
      <w:pPr>
        <w:spacing w:line="460" w:lineRule="exact"/>
        <w:rPr>
          <w:rFonts w:eastAsia="仿宋_GB2312"/>
          <w:color w:val="auto"/>
          <w:kern w:val="13"/>
          <w:sz w:val="28"/>
        </w:rPr>
      </w:pPr>
    </w:p>
    <w:p>
      <w:pPr>
        <w:spacing w:line="460" w:lineRule="exact"/>
        <w:rPr>
          <w:rFonts w:eastAsia="仿宋_GB2312"/>
          <w:color w:val="auto"/>
          <w:kern w:val="13"/>
          <w:sz w:val="28"/>
        </w:rPr>
      </w:pPr>
    </w:p>
    <w:p>
      <w:pPr>
        <w:spacing w:line="460" w:lineRule="exact"/>
        <w:rPr>
          <w:rFonts w:eastAsia="仿宋_GB2312"/>
          <w:color w:val="auto"/>
          <w:kern w:val="13"/>
          <w:sz w:val="28"/>
        </w:rPr>
      </w:pPr>
    </w:p>
    <w:p>
      <w:pPr>
        <w:spacing w:line="460" w:lineRule="exact"/>
        <w:rPr>
          <w:rFonts w:eastAsia="仿宋_GB2312"/>
          <w:color w:val="auto"/>
          <w:kern w:val="13"/>
          <w:sz w:val="28"/>
        </w:rPr>
      </w:pPr>
    </w:p>
    <w:p>
      <w:pPr>
        <w:spacing w:line="460" w:lineRule="exact"/>
        <w:rPr>
          <w:rFonts w:eastAsia="仿宋_GB2312"/>
          <w:color w:val="auto"/>
          <w:kern w:val="13"/>
          <w:sz w:val="28"/>
        </w:rPr>
      </w:pPr>
    </w:p>
    <w:p>
      <w:pPr>
        <w:spacing w:line="460" w:lineRule="exact"/>
        <w:rPr>
          <w:rFonts w:eastAsia="仿宋_GB2312"/>
          <w:color w:val="auto"/>
          <w:kern w:val="13"/>
          <w:sz w:val="28"/>
        </w:rPr>
      </w:pPr>
    </w:p>
    <w:p>
      <w:pPr>
        <w:spacing w:line="460" w:lineRule="exact"/>
        <w:rPr>
          <w:rFonts w:eastAsia="仿宋_GB2312"/>
          <w:color w:val="auto"/>
          <w:kern w:val="13"/>
          <w:sz w:val="28"/>
        </w:rPr>
      </w:pPr>
    </w:p>
    <w:bookmarkEnd w:id="1"/>
    <w:p>
      <w:pPr>
        <w:jc w:val="center"/>
        <w:rPr>
          <w:rFonts w:hint="eastAsia" w:cs="Times New Roman"/>
          <w:b/>
          <w:color w:val="auto"/>
          <w:sz w:val="36"/>
          <w:szCs w:val="36"/>
          <w:lang w:val="en-US" w:eastAsia="zh-CN"/>
        </w:rPr>
      </w:pPr>
      <w:r>
        <w:rPr>
          <w:rFonts w:hint="default" w:ascii="Times New Roman" w:hAnsi="Times New Roman" w:cs="Times New Roman"/>
          <w:b/>
          <w:color w:val="auto"/>
          <w:sz w:val="36"/>
          <w:szCs w:val="36"/>
        </w:rPr>
        <w:t>北京市大兴区</w:t>
      </w:r>
      <w:bookmarkStart w:id="8" w:name="_Toc15015"/>
      <w:r>
        <w:rPr>
          <w:rFonts w:hint="eastAsia" w:ascii="Times New Roman" w:hAnsi="Times New Roman" w:cs="Times New Roman"/>
          <w:b/>
          <w:color w:val="auto"/>
          <w:sz w:val="36"/>
          <w:szCs w:val="36"/>
          <w:lang w:val="en-US" w:eastAsia="zh-CN"/>
        </w:rPr>
        <w:t>瀛海镇集体经营性建设用地入市试点    （一期）YZ00-0803-0011地块</w:t>
      </w:r>
      <w:r>
        <w:rPr>
          <w:rFonts w:hint="eastAsia" w:cs="Times New Roman"/>
          <w:b/>
          <w:color w:val="auto"/>
          <w:sz w:val="36"/>
          <w:szCs w:val="36"/>
          <w:lang w:val="en-US" w:eastAsia="zh-CN"/>
        </w:rPr>
        <w:t>F81绿隔产业用地</w:t>
      </w:r>
    </w:p>
    <w:p>
      <w:pPr>
        <w:jc w:val="center"/>
        <w:rPr>
          <w:rFonts w:hint="default" w:ascii="Times New Roman" w:hAnsi="Times New Roman" w:cs="Times New Roman"/>
          <w:b/>
          <w:color w:val="auto"/>
          <w:sz w:val="36"/>
          <w:szCs w:val="36"/>
        </w:rPr>
      </w:pPr>
      <w:r>
        <w:rPr>
          <w:rFonts w:hint="eastAsia" w:cs="Times New Roman"/>
          <w:b/>
          <w:color w:val="auto"/>
          <w:sz w:val="36"/>
          <w:szCs w:val="36"/>
          <w:lang w:val="en-US" w:eastAsia="zh-CN"/>
        </w:rPr>
        <w:t>集体经营性建设</w:t>
      </w:r>
      <w:r>
        <w:rPr>
          <w:rFonts w:hint="default" w:ascii="Times New Roman" w:hAnsi="Times New Roman" w:cs="Times New Roman"/>
          <w:b/>
          <w:color w:val="auto"/>
          <w:sz w:val="36"/>
          <w:szCs w:val="36"/>
        </w:rPr>
        <w:t>使用权</w:t>
      </w:r>
      <w:r>
        <w:rPr>
          <w:rFonts w:hint="eastAsia" w:ascii="Times New Roman" w:hAnsi="Times New Roman" w:cs="Times New Roman"/>
          <w:b/>
          <w:color w:val="auto"/>
          <w:sz w:val="36"/>
          <w:szCs w:val="36"/>
          <w:lang w:eastAsia="zh-CN"/>
        </w:rPr>
        <w:t>挂牌</w:t>
      </w:r>
      <w:r>
        <w:rPr>
          <w:rFonts w:hint="default" w:ascii="Times New Roman" w:hAnsi="Times New Roman" w:cs="Times New Roman"/>
          <w:b/>
          <w:color w:val="auto"/>
          <w:sz w:val="36"/>
          <w:szCs w:val="36"/>
        </w:rPr>
        <w:t>出让公告</w:t>
      </w:r>
      <w:bookmarkEnd w:id="8"/>
    </w:p>
    <w:p>
      <w:pPr>
        <w:jc w:val="center"/>
        <w:rPr>
          <w:rFonts w:ascii="仿宋_GB2312" w:eastAsia="仿宋_GB2312"/>
          <w:b/>
          <w:color w:val="auto"/>
          <w:sz w:val="44"/>
          <w:szCs w:val="44"/>
        </w:rPr>
      </w:pPr>
    </w:p>
    <w:bookmarkEnd w:id="0"/>
    <w:bookmarkEnd w:id="2"/>
    <w:bookmarkEnd w:id="3"/>
    <w:bookmarkEnd w:id="4"/>
    <w:bookmarkEnd w:id="5"/>
    <w:bookmarkEnd w:id="6"/>
    <w:bookmarkEnd w:id="7"/>
    <w:p>
      <w:pPr>
        <w:tabs>
          <w:tab w:val="left" w:pos="1297"/>
        </w:tabs>
        <w:spacing w:line="540" w:lineRule="exact"/>
        <w:ind w:firstLine="560" w:firstLineChars="200"/>
        <w:rPr>
          <w:rFonts w:eastAsia="仿宋_GB2312"/>
          <w:color w:val="auto"/>
          <w:sz w:val="28"/>
          <w:szCs w:val="28"/>
        </w:rPr>
      </w:pPr>
      <w:r>
        <w:rPr>
          <w:rFonts w:eastAsia="仿宋_GB2312"/>
          <w:color w:val="auto"/>
          <w:sz w:val="28"/>
        </w:rPr>
        <w:t>根据国家和北京市</w:t>
      </w:r>
      <w:r>
        <w:rPr>
          <w:rFonts w:hint="eastAsia" w:eastAsia="仿宋_GB2312"/>
          <w:color w:val="auto"/>
          <w:sz w:val="28"/>
          <w:lang w:val="en-US" w:eastAsia="zh-CN"/>
        </w:rPr>
        <w:t>关于集体经营性建设用地入市</w:t>
      </w:r>
      <w:r>
        <w:rPr>
          <w:rFonts w:eastAsia="仿宋_GB2312"/>
          <w:color w:val="auto"/>
          <w:sz w:val="28"/>
        </w:rPr>
        <w:t>的相关规定，经北京市</w:t>
      </w:r>
      <w:r>
        <w:rPr>
          <w:rFonts w:hint="eastAsia" w:eastAsia="仿宋_GB2312"/>
          <w:color w:val="auto"/>
          <w:sz w:val="28"/>
        </w:rPr>
        <w:t>大兴区</w:t>
      </w:r>
      <w:r>
        <w:rPr>
          <w:rFonts w:eastAsia="仿宋_GB2312"/>
          <w:color w:val="auto"/>
          <w:sz w:val="28"/>
        </w:rPr>
        <w:t>人</w:t>
      </w:r>
      <w:r>
        <w:rPr>
          <w:rFonts w:eastAsia="仿宋_GB2312"/>
          <w:color w:val="auto"/>
          <w:sz w:val="28"/>
          <w:szCs w:val="28"/>
        </w:rPr>
        <w:t>民政府批准，</w:t>
      </w:r>
      <w:r>
        <w:rPr>
          <w:rFonts w:hint="eastAsia" w:eastAsia="仿宋_GB2312"/>
          <w:color w:val="auto"/>
          <w:sz w:val="28"/>
          <w:szCs w:val="28"/>
          <w:lang w:eastAsia="zh-CN"/>
        </w:rPr>
        <w:t>北京汇瀛恒业有限公司</w:t>
      </w:r>
      <w:r>
        <w:rPr>
          <w:rFonts w:eastAsia="仿宋_GB2312"/>
          <w:color w:val="auto"/>
          <w:sz w:val="28"/>
          <w:szCs w:val="28"/>
        </w:rPr>
        <w:t>决定在</w:t>
      </w:r>
      <w:r>
        <w:rPr>
          <w:rFonts w:hint="eastAsia" w:eastAsia="仿宋_GB2312"/>
          <w:color w:val="auto"/>
          <w:sz w:val="28"/>
          <w:szCs w:val="28"/>
        </w:rPr>
        <w:t>北京市土地交易市场大兴分市场</w:t>
      </w:r>
      <w:r>
        <w:rPr>
          <w:rFonts w:eastAsia="仿宋_GB2312"/>
          <w:color w:val="auto"/>
          <w:sz w:val="28"/>
          <w:szCs w:val="28"/>
        </w:rPr>
        <w:t>公开挂牌出让</w:t>
      </w:r>
      <w:r>
        <w:rPr>
          <w:rFonts w:hint="eastAsia" w:eastAsia="仿宋_GB2312"/>
          <w:color w:val="auto"/>
          <w:sz w:val="28"/>
          <w:szCs w:val="28"/>
          <w:lang w:eastAsia="zh-CN"/>
        </w:rPr>
        <w:t>北京市大兴区瀛海镇集体经营性建设用地入市试点（一期）YZ00-0803-0011地块</w:t>
      </w:r>
      <w:r>
        <w:rPr>
          <w:rFonts w:hint="eastAsia" w:eastAsia="仿宋_GB2312"/>
          <w:color w:val="auto"/>
          <w:sz w:val="28"/>
          <w:szCs w:val="28"/>
        </w:rPr>
        <w:t>使用权。</w:t>
      </w:r>
    </w:p>
    <w:p>
      <w:pPr>
        <w:spacing w:line="540" w:lineRule="exact"/>
        <w:ind w:right="-108" w:firstLine="630" w:firstLineChars="225"/>
        <w:jc w:val="left"/>
        <w:rPr>
          <w:rFonts w:eastAsia="仿宋_GB2312"/>
          <w:color w:val="auto"/>
          <w:sz w:val="28"/>
        </w:rPr>
      </w:pPr>
      <w:r>
        <w:rPr>
          <w:rFonts w:eastAsia="仿宋_GB2312"/>
          <w:color w:val="auto"/>
          <w:sz w:val="28"/>
        </w:rPr>
        <w:t>一、宗地基本情况</w:t>
      </w:r>
    </w:p>
    <w:p>
      <w:pPr>
        <w:tabs>
          <w:tab w:val="left" w:pos="1297"/>
        </w:tabs>
        <w:spacing w:line="540" w:lineRule="exact"/>
        <w:ind w:firstLine="560" w:firstLineChars="200"/>
        <w:rPr>
          <w:rFonts w:eastAsia="仿宋_GB2312"/>
          <w:color w:val="auto"/>
          <w:sz w:val="28"/>
        </w:rPr>
      </w:pPr>
      <w:r>
        <w:rPr>
          <w:rFonts w:eastAsia="仿宋_GB2312"/>
          <w:color w:val="auto"/>
          <w:sz w:val="28"/>
          <w:szCs w:val="28"/>
        </w:rPr>
        <w:t>本次挂牌出让宗地位于</w:t>
      </w:r>
      <w:r>
        <w:rPr>
          <w:rFonts w:hint="eastAsia" w:eastAsia="仿宋_GB2312"/>
          <w:color w:val="auto"/>
          <w:sz w:val="28"/>
          <w:szCs w:val="28"/>
        </w:rPr>
        <w:t>大兴区</w:t>
      </w:r>
      <w:r>
        <w:rPr>
          <w:rFonts w:hint="eastAsia" w:eastAsia="仿宋_GB2312"/>
          <w:color w:val="auto"/>
          <w:sz w:val="28"/>
          <w:szCs w:val="28"/>
          <w:lang w:eastAsia="zh-CN"/>
        </w:rPr>
        <w:t>瀛海镇</w:t>
      </w:r>
      <w:r>
        <w:rPr>
          <w:rFonts w:hint="eastAsia" w:eastAsia="仿宋_GB2312"/>
          <w:color w:val="auto"/>
          <w:sz w:val="28"/>
          <w:szCs w:val="28"/>
        </w:rPr>
        <w:t>，</w:t>
      </w:r>
      <w:r>
        <w:rPr>
          <w:rFonts w:eastAsia="仿宋_GB2312"/>
          <w:color w:val="auto"/>
          <w:sz w:val="28"/>
          <w:szCs w:val="28"/>
        </w:rPr>
        <w:t>具体四至</w:t>
      </w:r>
      <w:r>
        <w:rPr>
          <w:rFonts w:hint="eastAsia" w:eastAsia="仿宋_GB2312"/>
          <w:color w:val="auto"/>
          <w:sz w:val="28"/>
          <w:szCs w:val="28"/>
        </w:rPr>
        <w:t>范围是</w:t>
      </w:r>
      <w:r>
        <w:rPr>
          <w:rFonts w:eastAsia="仿宋_GB2312"/>
          <w:color w:val="auto"/>
          <w:sz w:val="28"/>
          <w:szCs w:val="28"/>
        </w:rPr>
        <w:t>：</w:t>
      </w:r>
      <w:r>
        <w:rPr>
          <w:rFonts w:hint="eastAsia" w:ascii="Times New Roman" w:hAnsi="Times New Roman" w:eastAsia="仿宋_GB2312" w:cs="Times New Roman"/>
          <w:color w:val="auto"/>
          <w:sz w:val="28"/>
          <w:lang w:eastAsia="zh-CN"/>
        </w:rPr>
        <w:t>东至瀛祥路</w:t>
      </w:r>
      <w:r>
        <w:rPr>
          <w:rFonts w:hint="default" w:ascii="Times New Roman" w:hAnsi="Times New Roman" w:eastAsia="仿宋_GB2312" w:cs="Times New Roman"/>
          <w:color w:val="auto"/>
          <w:sz w:val="28"/>
        </w:rPr>
        <w:t>，</w:t>
      </w:r>
      <w:r>
        <w:rPr>
          <w:rFonts w:hint="eastAsia" w:ascii="Times New Roman" w:hAnsi="Times New Roman" w:eastAsia="仿宋_GB2312" w:cs="Times New Roman"/>
          <w:color w:val="auto"/>
          <w:sz w:val="28"/>
          <w:lang w:eastAsia="zh-CN"/>
        </w:rPr>
        <w:t>西至瀛坤路</w:t>
      </w:r>
      <w:r>
        <w:rPr>
          <w:rFonts w:hint="default" w:ascii="Times New Roman" w:hAnsi="Times New Roman" w:eastAsia="仿宋_GB2312" w:cs="Times New Roman"/>
          <w:color w:val="auto"/>
          <w:sz w:val="28"/>
        </w:rPr>
        <w:t>，</w:t>
      </w:r>
      <w:r>
        <w:rPr>
          <w:rFonts w:hint="eastAsia" w:ascii="Times New Roman" w:hAnsi="Times New Roman" w:eastAsia="仿宋_GB2312" w:cs="Times New Roman"/>
          <w:color w:val="auto"/>
          <w:sz w:val="28"/>
          <w:lang w:eastAsia="zh-CN"/>
        </w:rPr>
        <w:t>南至瀛成路</w:t>
      </w:r>
      <w:r>
        <w:rPr>
          <w:rFonts w:hint="default" w:ascii="Times New Roman" w:hAnsi="Times New Roman" w:eastAsia="仿宋_GB2312" w:cs="Times New Roman"/>
          <w:color w:val="auto"/>
          <w:sz w:val="28"/>
        </w:rPr>
        <w:t>，</w:t>
      </w:r>
      <w:r>
        <w:rPr>
          <w:rFonts w:hint="eastAsia" w:ascii="Times New Roman" w:hAnsi="Times New Roman" w:eastAsia="仿宋_GB2312" w:cs="Times New Roman"/>
          <w:color w:val="auto"/>
          <w:sz w:val="28"/>
          <w:lang w:eastAsia="zh-CN"/>
        </w:rPr>
        <w:t>北至瀛元街</w:t>
      </w:r>
      <w:r>
        <w:rPr>
          <w:rFonts w:hint="eastAsia" w:eastAsia="仿宋_GB2312"/>
          <w:color w:val="auto"/>
          <w:sz w:val="28"/>
          <w:szCs w:val="28"/>
        </w:rPr>
        <w:t>。</w:t>
      </w:r>
      <w:r>
        <w:rPr>
          <w:rFonts w:hint="eastAsia" w:eastAsia="仿宋_GB2312"/>
          <w:color w:val="auto"/>
          <w:sz w:val="28"/>
        </w:rPr>
        <w:t>该</w:t>
      </w:r>
      <w:r>
        <w:rPr>
          <w:rFonts w:eastAsia="仿宋_GB2312"/>
          <w:color w:val="auto"/>
          <w:sz w:val="28"/>
        </w:rPr>
        <w:t>宗地以</w:t>
      </w:r>
      <w:r>
        <w:rPr>
          <w:rFonts w:hint="eastAsia" w:eastAsia="仿宋_GB2312"/>
          <w:color w:val="auto"/>
          <w:sz w:val="28"/>
        </w:rPr>
        <w:t>临时</w:t>
      </w:r>
      <w:r>
        <w:rPr>
          <w:rFonts w:eastAsia="仿宋_GB2312"/>
          <w:color w:val="auto"/>
          <w:sz w:val="28"/>
        </w:rPr>
        <w:t>“</w:t>
      </w:r>
      <w:r>
        <w:rPr>
          <w:rFonts w:hint="eastAsia" w:eastAsia="仿宋_GB2312"/>
          <w:color w:val="auto"/>
          <w:sz w:val="28"/>
        </w:rPr>
        <w:t xml:space="preserve">三通一平”（“一平”指除最终可保留及涉及二级开发单位继续使用的地上物外，无其它施工障碍物的场地自然平整。“三通”指通临路、具备临水、临电的接入条件）形式供地，竣工验收前达到“六通一平” </w:t>
      </w:r>
      <w:r>
        <w:rPr>
          <w:rFonts w:hint="eastAsia" w:ascii="Times New Roman" w:hAnsi="Times New Roman" w:eastAsia="仿宋_GB2312" w:cs="Times New Roman"/>
          <w:color w:val="auto"/>
          <w:sz w:val="28"/>
          <w:szCs w:val="24"/>
          <w:lang w:eastAsia="zh-CN"/>
        </w:rPr>
        <w:t>（“六通”是指通路、通上水(自来水、中水)、通下水(雨水、污水)、通电(仅管沟)、通讯(电信、有线电视）、通燃气的条件。“一平”指除最终可保留及涉及二级开发单位继续使用的地上物外，无其他施工障碍物的场地自然平整)</w:t>
      </w:r>
      <w:r>
        <w:rPr>
          <w:rFonts w:hint="eastAsia" w:ascii="Times New Roman" w:hAnsi="Times New Roman" w:eastAsia="仿宋_GB2312" w:cs="Times New Roman"/>
          <w:color w:val="auto"/>
          <w:sz w:val="28"/>
          <w:lang w:eastAsia="zh-CN"/>
        </w:rPr>
        <w:t>的条件。</w:t>
      </w:r>
    </w:p>
    <w:p>
      <w:pPr>
        <w:tabs>
          <w:tab w:val="left" w:pos="1297"/>
        </w:tabs>
        <w:spacing w:line="540" w:lineRule="exact"/>
        <w:rPr>
          <w:rFonts w:eastAsia="仿宋_GB2312"/>
          <w:color w:val="auto"/>
          <w:sz w:val="28"/>
        </w:rPr>
      </w:pPr>
      <w:r>
        <w:rPr>
          <w:rFonts w:eastAsia="仿宋_GB2312"/>
          <w:color w:val="auto"/>
          <w:sz w:val="28"/>
        </w:rPr>
        <w:t>规划经济技术指标如下表：</w:t>
      </w:r>
    </w:p>
    <w:tbl>
      <w:tblPr>
        <w:tblStyle w:val="29"/>
        <w:tblW w:w="8475" w:type="dxa"/>
        <w:jc w:val="center"/>
        <w:tblInd w:w="1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701"/>
        <w:gridCol w:w="1418"/>
        <w:gridCol w:w="1984"/>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jc w:val="center"/>
        </w:trPr>
        <w:tc>
          <w:tcPr>
            <w:tcW w:w="1701" w:type="dxa"/>
            <w:vAlign w:val="center"/>
          </w:tcPr>
          <w:p>
            <w:pPr>
              <w:pStyle w:val="20"/>
              <w:spacing w:line="540" w:lineRule="exact"/>
              <w:ind w:firstLine="0" w:firstLineChars="0"/>
              <w:jc w:val="center"/>
              <w:rPr>
                <w:rFonts w:ascii="Times New Roman" w:eastAsia="仿宋_GB2312"/>
                <w:color w:val="auto"/>
                <w:spacing w:val="0"/>
                <w:sz w:val="21"/>
                <w:szCs w:val="21"/>
              </w:rPr>
            </w:pPr>
            <w:r>
              <w:rPr>
                <w:rFonts w:ascii="Times New Roman" w:eastAsia="仿宋_GB2312"/>
                <w:color w:val="auto"/>
                <w:spacing w:val="0"/>
                <w:sz w:val="21"/>
                <w:szCs w:val="21"/>
              </w:rPr>
              <w:t>挂牌编号</w:t>
            </w:r>
          </w:p>
        </w:tc>
        <w:tc>
          <w:tcPr>
            <w:tcW w:w="1701" w:type="dxa"/>
            <w:vAlign w:val="center"/>
          </w:tcPr>
          <w:p>
            <w:pPr>
              <w:pStyle w:val="20"/>
              <w:spacing w:line="540" w:lineRule="exact"/>
              <w:ind w:firstLine="0" w:firstLineChars="0"/>
              <w:jc w:val="center"/>
              <w:rPr>
                <w:rFonts w:ascii="Times New Roman" w:eastAsia="仿宋_GB2312"/>
                <w:color w:val="auto"/>
                <w:spacing w:val="0"/>
                <w:sz w:val="21"/>
                <w:szCs w:val="21"/>
              </w:rPr>
            </w:pPr>
            <w:r>
              <w:rPr>
                <w:rFonts w:ascii="Times New Roman" w:eastAsia="仿宋_GB2312"/>
                <w:color w:val="auto"/>
                <w:spacing w:val="0"/>
                <w:sz w:val="21"/>
                <w:szCs w:val="21"/>
              </w:rPr>
              <w:t>建筑使用性质</w:t>
            </w:r>
          </w:p>
        </w:tc>
        <w:tc>
          <w:tcPr>
            <w:tcW w:w="1418" w:type="dxa"/>
            <w:vAlign w:val="center"/>
          </w:tcPr>
          <w:p>
            <w:pPr>
              <w:pStyle w:val="20"/>
              <w:spacing w:line="540" w:lineRule="exact"/>
              <w:ind w:firstLine="0" w:firstLineChars="0"/>
              <w:jc w:val="center"/>
              <w:rPr>
                <w:rFonts w:ascii="Times New Roman" w:eastAsia="仿宋_GB2312"/>
                <w:color w:val="auto"/>
                <w:spacing w:val="0"/>
                <w:sz w:val="21"/>
                <w:szCs w:val="21"/>
              </w:rPr>
            </w:pPr>
            <w:r>
              <w:rPr>
                <w:rFonts w:ascii="Times New Roman" w:eastAsia="仿宋_GB2312"/>
                <w:color w:val="auto"/>
                <w:spacing w:val="0"/>
                <w:sz w:val="21"/>
                <w:szCs w:val="21"/>
              </w:rPr>
              <w:t>出让年限</w:t>
            </w:r>
          </w:p>
        </w:tc>
        <w:tc>
          <w:tcPr>
            <w:tcW w:w="1984" w:type="dxa"/>
            <w:vAlign w:val="center"/>
          </w:tcPr>
          <w:p>
            <w:pPr>
              <w:pStyle w:val="20"/>
              <w:spacing w:line="540" w:lineRule="exact"/>
              <w:ind w:firstLine="0" w:firstLineChars="0"/>
              <w:jc w:val="center"/>
              <w:rPr>
                <w:rFonts w:ascii="Times New Roman" w:eastAsia="仿宋_GB2312"/>
                <w:color w:val="auto"/>
                <w:spacing w:val="0"/>
                <w:sz w:val="21"/>
                <w:szCs w:val="21"/>
              </w:rPr>
            </w:pPr>
            <w:r>
              <w:rPr>
                <w:rFonts w:ascii="Times New Roman" w:eastAsia="仿宋_GB2312"/>
                <w:color w:val="auto"/>
                <w:spacing w:val="0"/>
                <w:sz w:val="21"/>
                <w:szCs w:val="21"/>
              </w:rPr>
              <w:t>土地面积</w:t>
            </w:r>
            <w:r>
              <w:rPr>
                <w:rFonts w:hint="eastAsia" w:ascii="Times New Roman" w:eastAsia="仿宋_GB2312"/>
                <w:color w:val="auto"/>
                <w:spacing w:val="0"/>
                <w:sz w:val="21"/>
                <w:szCs w:val="21"/>
              </w:rPr>
              <w:t xml:space="preserve">     </w:t>
            </w:r>
          </w:p>
        </w:tc>
        <w:tc>
          <w:tcPr>
            <w:tcW w:w="1671" w:type="dxa"/>
            <w:vAlign w:val="center"/>
          </w:tcPr>
          <w:p>
            <w:pPr>
              <w:pStyle w:val="20"/>
              <w:spacing w:line="540" w:lineRule="exact"/>
              <w:ind w:firstLine="0" w:firstLineChars="0"/>
              <w:jc w:val="center"/>
              <w:rPr>
                <w:rFonts w:ascii="Times New Roman" w:eastAsia="仿宋_GB2312"/>
                <w:color w:val="auto"/>
                <w:spacing w:val="0"/>
                <w:sz w:val="21"/>
                <w:szCs w:val="21"/>
              </w:rPr>
            </w:pPr>
            <w:r>
              <w:rPr>
                <w:rFonts w:ascii="Times New Roman" w:eastAsia="仿宋_GB2312"/>
                <w:color w:val="auto"/>
                <w:spacing w:val="0"/>
                <w:sz w:val="21"/>
                <w:szCs w:val="21"/>
              </w:rPr>
              <w:t>建筑控制规模</w:t>
            </w:r>
          </w:p>
          <w:p>
            <w:pPr>
              <w:pStyle w:val="20"/>
              <w:spacing w:line="540" w:lineRule="exact"/>
              <w:ind w:firstLine="0" w:firstLineChars="0"/>
              <w:jc w:val="center"/>
              <w:rPr>
                <w:rFonts w:ascii="Times New Roman" w:eastAsia="仿宋_GB2312"/>
                <w:color w:val="auto"/>
                <w:spacing w:val="0"/>
                <w:sz w:val="21"/>
                <w:szCs w:val="21"/>
              </w:rPr>
            </w:pPr>
            <w:r>
              <w:rPr>
                <w:rFonts w:ascii="Times New Roman" w:eastAsia="仿宋_GB2312"/>
                <w:color w:val="auto"/>
                <w:spacing w:val="0"/>
                <w:sz w:val="21"/>
                <w:szCs w:val="21"/>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jc w:val="center"/>
        </w:trPr>
        <w:tc>
          <w:tcPr>
            <w:tcW w:w="1701" w:type="dxa"/>
            <w:vAlign w:val="center"/>
          </w:tcPr>
          <w:p>
            <w:pPr>
              <w:pStyle w:val="20"/>
              <w:spacing w:line="540" w:lineRule="exact"/>
              <w:ind w:firstLine="0" w:firstLineChars="0"/>
              <w:jc w:val="center"/>
              <w:rPr>
                <w:rFonts w:ascii="Times New Roman" w:eastAsia="仿宋_GB2312"/>
                <w:color w:val="auto"/>
                <w:spacing w:val="0"/>
                <w:sz w:val="21"/>
                <w:szCs w:val="21"/>
              </w:rPr>
            </w:pPr>
            <w:r>
              <w:rPr>
                <w:rFonts w:ascii="Times New Roman" w:eastAsia="仿宋_GB2312"/>
                <w:color w:val="auto"/>
                <w:spacing w:val="0"/>
                <w:sz w:val="21"/>
                <w:szCs w:val="21"/>
              </w:rPr>
              <w:t>京土集使挂（兴）[201</w:t>
            </w:r>
            <w:r>
              <w:rPr>
                <w:rFonts w:hint="eastAsia" w:ascii="Times New Roman" w:eastAsia="仿宋_GB2312"/>
                <w:color w:val="auto"/>
                <w:spacing w:val="0"/>
                <w:sz w:val="21"/>
                <w:szCs w:val="21"/>
                <w:lang w:val="en-US" w:eastAsia="zh-CN"/>
              </w:rPr>
              <w:t>8</w:t>
            </w:r>
            <w:r>
              <w:rPr>
                <w:rFonts w:ascii="Times New Roman" w:eastAsia="仿宋_GB2312"/>
                <w:color w:val="auto"/>
                <w:spacing w:val="0"/>
                <w:sz w:val="21"/>
                <w:szCs w:val="21"/>
              </w:rPr>
              <w:t>]001号</w:t>
            </w:r>
          </w:p>
        </w:tc>
        <w:tc>
          <w:tcPr>
            <w:tcW w:w="1701" w:type="dxa"/>
            <w:vAlign w:val="center"/>
          </w:tcPr>
          <w:p>
            <w:pPr>
              <w:pStyle w:val="20"/>
              <w:spacing w:line="540" w:lineRule="exact"/>
              <w:ind w:firstLine="0" w:firstLineChars="0"/>
              <w:jc w:val="center"/>
              <w:rPr>
                <w:rFonts w:ascii="Times New Roman" w:eastAsia="仿宋_GB2312"/>
                <w:color w:val="auto"/>
                <w:spacing w:val="0"/>
                <w:sz w:val="21"/>
                <w:szCs w:val="21"/>
              </w:rPr>
            </w:pPr>
            <w:r>
              <w:rPr>
                <w:rFonts w:hint="eastAsia" w:ascii="Times New Roman" w:eastAsia="仿宋_GB2312"/>
                <w:color w:val="auto"/>
                <w:spacing w:val="0"/>
                <w:sz w:val="21"/>
                <w:szCs w:val="21"/>
              </w:rPr>
              <w:t>F81绿隔产业</w:t>
            </w:r>
          </w:p>
          <w:p>
            <w:pPr>
              <w:pStyle w:val="20"/>
              <w:spacing w:line="540" w:lineRule="exact"/>
              <w:ind w:firstLine="0" w:firstLineChars="0"/>
              <w:jc w:val="center"/>
              <w:rPr>
                <w:rFonts w:ascii="Times New Roman" w:eastAsia="仿宋_GB2312"/>
                <w:color w:val="auto"/>
                <w:spacing w:val="0"/>
                <w:sz w:val="21"/>
                <w:szCs w:val="21"/>
              </w:rPr>
            </w:pPr>
            <w:r>
              <w:rPr>
                <w:rFonts w:hint="eastAsia" w:ascii="Times New Roman" w:eastAsia="仿宋_GB2312"/>
                <w:color w:val="auto"/>
                <w:spacing w:val="0"/>
                <w:sz w:val="21"/>
                <w:szCs w:val="21"/>
              </w:rPr>
              <w:t>用地</w:t>
            </w:r>
          </w:p>
        </w:tc>
        <w:tc>
          <w:tcPr>
            <w:tcW w:w="1418" w:type="dxa"/>
            <w:vAlign w:val="center"/>
          </w:tcPr>
          <w:p>
            <w:pPr>
              <w:pStyle w:val="20"/>
              <w:spacing w:line="540" w:lineRule="exact"/>
              <w:ind w:firstLine="0" w:firstLineChars="0"/>
              <w:jc w:val="center"/>
              <w:rPr>
                <w:rFonts w:hint="eastAsia" w:ascii="Times New Roman" w:eastAsia="仿宋_GB2312"/>
                <w:color w:val="auto"/>
                <w:spacing w:val="0"/>
                <w:sz w:val="21"/>
                <w:szCs w:val="21"/>
                <w:lang w:val="en-US" w:eastAsia="zh-CN"/>
              </w:rPr>
            </w:pPr>
            <w:r>
              <w:rPr>
                <w:rFonts w:hint="eastAsia" w:ascii="Times New Roman" w:eastAsia="仿宋_GB2312"/>
                <w:color w:val="auto"/>
                <w:spacing w:val="0"/>
                <w:sz w:val="21"/>
                <w:szCs w:val="21"/>
                <w:lang w:val="en-US" w:eastAsia="zh-CN"/>
              </w:rPr>
              <w:t>商业</w:t>
            </w:r>
            <w:r>
              <w:rPr>
                <w:rFonts w:hint="eastAsia" w:ascii="Times New Roman" w:eastAsia="仿宋_GB2312"/>
                <w:color w:val="auto"/>
                <w:spacing w:val="0"/>
                <w:sz w:val="21"/>
                <w:szCs w:val="21"/>
              </w:rPr>
              <w:t>40</w:t>
            </w:r>
            <w:r>
              <w:rPr>
                <w:rFonts w:hint="eastAsia" w:ascii="Times New Roman" w:eastAsia="仿宋_GB2312"/>
                <w:color w:val="auto"/>
                <w:spacing w:val="0"/>
                <w:sz w:val="21"/>
                <w:szCs w:val="21"/>
                <w:lang w:val="en-US" w:eastAsia="zh-CN"/>
              </w:rPr>
              <w:t>年</w:t>
            </w:r>
          </w:p>
          <w:p>
            <w:pPr>
              <w:pStyle w:val="20"/>
              <w:spacing w:line="540" w:lineRule="exact"/>
              <w:ind w:firstLine="0" w:firstLineChars="0"/>
              <w:jc w:val="center"/>
              <w:rPr>
                <w:rFonts w:hint="eastAsia" w:ascii="Times New Roman" w:eastAsia="仿宋_GB2312"/>
                <w:color w:val="auto"/>
                <w:spacing w:val="0"/>
                <w:sz w:val="21"/>
                <w:szCs w:val="21"/>
                <w:lang w:val="en-US" w:eastAsia="zh-CN"/>
              </w:rPr>
            </w:pPr>
            <w:r>
              <w:rPr>
                <w:rFonts w:hint="eastAsia" w:ascii="Times New Roman" w:eastAsia="仿宋_GB2312"/>
                <w:color w:val="auto"/>
                <w:spacing w:val="0"/>
                <w:sz w:val="21"/>
                <w:szCs w:val="21"/>
                <w:lang w:val="en-US" w:eastAsia="zh-CN"/>
              </w:rPr>
              <w:t>办公50年</w:t>
            </w:r>
          </w:p>
        </w:tc>
        <w:tc>
          <w:tcPr>
            <w:tcW w:w="1984" w:type="dxa"/>
            <w:vAlign w:val="center"/>
          </w:tcPr>
          <w:p>
            <w:pPr>
              <w:spacing w:line="540" w:lineRule="exact"/>
              <w:jc w:val="center"/>
              <w:rPr>
                <w:rFonts w:eastAsia="仿宋_GB2312"/>
                <w:color w:val="auto"/>
                <w:kern w:val="15"/>
                <w:szCs w:val="21"/>
                <w:u w:val="single"/>
              </w:rPr>
            </w:pPr>
            <w:r>
              <w:rPr>
                <w:rFonts w:eastAsia="仿宋_GB2312"/>
                <w:color w:val="auto"/>
                <w:sz w:val="24"/>
              </w:rPr>
              <w:t>其中</w:t>
            </w:r>
            <w:r>
              <w:rPr>
                <w:rFonts w:hint="eastAsia" w:eastAsia="仿宋_GB2312"/>
                <w:color w:val="auto"/>
                <w:sz w:val="24"/>
                <w:lang w:eastAsia="zh-CN"/>
              </w:rPr>
              <w:t>：</w:t>
            </w:r>
            <w:r>
              <w:rPr>
                <w:rFonts w:eastAsia="仿宋_GB2312"/>
                <w:color w:val="auto"/>
                <w:sz w:val="24"/>
              </w:rPr>
              <w:t>建设用地</w:t>
            </w:r>
            <w:r>
              <w:rPr>
                <w:rFonts w:hint="eastAsia" w:eastAsia="仿宋_GB2312"/>
                <w:color w:val="auto"/>
                <w:szCs w:val="21"/>
                <w:lang w:eastAsia="zh-CN"/>
              </w:rPr>
              <w:t>39972.524</w:t>
            </w:r>
            <w:r>
              <w:rPr>
                <w:rFonts w:eastAsia="仿宋_GB2312"/>
                <w:color w:val="auto"/>
                <w:szCs w:val="21"/>
              </w:rPr>
              <w:t>（平方米）</w:t>
            </w:r>
          </w:p>
        </w:tc>
        <w:tc>
          <w:tcPr>
            <w:tcW w:w="1671" w:type="dxa"/>
            <w:vAlign w:val="center"/>
          </w:tcPr>
          <w:p>
            <w:pPr>
              <w:spacing w:line="540" w:lineRule="exact"/>
              <w:jc w:val="center"/>
              <w:rPr>
                <w:rFonts w:hint="eastAsia" w:eastAsia="宋体"/>
                <w:color w:val="auto"/>
                <w:kern w:val="15"/>
                <w:szCs w:val="21"/>
                <w:lang w:eastAsia="zh-CN"/>
              </w:rPr>
            </w:pPr>
            <w:r>
              <w:rPr>
                <w:rFonts w:hint="eastAsia" w:ascii="宋体" w:hAnsi="宋体" w:cs="宋体"/>
                <w:color w:val="auto"/>
                <w:kern w:val="15"/>
                <w:szCs w:val="21"/>
              </w:rPr>
              <w:t>≦</w:t>
            </w:r>
            <w:r>
              <w:rPr>
                <w:rFonts w:hint="eastAsia" w:eastAsia="仿宋_GB2312"/>
                <w:color w:val="auto"/>
                <w:kern w:val="15"/>
                <w:szCs w:val="21"/>
                <w:lang w:eastAsia="zh-CN"/>
              </w:rPr>
              <w:t>95934</w:t>
            </w:r>
          </w:p>
        </w:tc>
      </w:tr>
    </w:tbl>
    <w:p>
      <w:pPr>
        <w:pStyle w:val="10"/>
        <w:spacing w:line="540" w:lineRule="exact"/>
        <w:ind w:firstLine="560" w:firstLineChars="200"/>
        <w:rPr>
          <w:rFonts w:ascii="Times New Roman"/>
          <w:color w:val="auto"/>
          <w:sz w:val="28"/>
        </w:rPr>
      </w:pPr>
      <w:r>
        <w:rPr>
          <w:rFonts w:ascii="Times New Roman"/>
          <w:color w:val="auto"/>
          <w:sz w:val="28"/>
        </w:rPr>
        <w:t>二、挂牌出让起始价为人民币</w:t>
      </w:r>
      <w:r>
        <w:rPr>
          <w:rFonts w:hint="eastAsia" w:ascii="Times New Roman"/>
          <w:color w:val="auto"/>
          <w:sz w:val="28"/>
          <w:lang w:val="en-US" w:eastAsia="zh-CN"/>
        </w:rPr>
        <w:t>143901</w:t>
      </w:r>
      <w:r>
        <w:rPr>
          <w:rFonts w:hint="eastAsia" w:ascii="Times New Roman"/>
          <w:color w:val="auto"/>
          <w:sz w:val="28"/>
        </w:rPr>
        <w:t>万元</w:t>
      </w:r>
      <w:r>
        <w:rPr>
          <w:rFonts w:ascii="Times New Roman"/>
          <w:color w:val="auto"/>
          <w:sz w:val="28"/>
        </w:rPr>
        <w:t>，竞价阶梯为人民币</w:t>
      </w:r>
      <w:r>
        <w:rPr>
          <w:rFonts w:hint="eastAsia" w:ascii="Times New Roman"/>
          <w:color w:val="auto"/>
          <w:sz w:val="28"/>
          <w:lang w:val="en-US" w:eastAsia="zh-CN"/>
        </w:rPr>
        <w:t>800</w:t>
      </w:r>
      <w:r>
        <w:rPr>
          <w:rFonts w:hint="eastAsia" w:ascii="Times New Roman"/>
          <w:color w:val="auto"/>
          <w:sz w:val="28"/>
        </w:rPr>
        <w:t>万元</w:t>
      </w:r>
      <w:r>
        <w:rPr>
          <w:rFonts w:ascii="Times New Roman"/>
          <w:color w:val="auto"/>
          <w:sz w:val="28"/>
        </w:rPr>
        <w:t>整，竞买保证金为人民币</w:t>
      </w:r>
      <w:r>
        <w:rPr>
          <w:rFonts w:hint="eastAsia" w:ascii="Times New Roman"/>
          <w:color w:val="auto"/>
          <w:sz w:val="28"/>
          <w:lang w:val="en-US" w:eastAsia="zh-CN"/>
        </w:rPr>
        <w:t>45000</w:t>
      </w:r>
      <w:r>
        <w:rPr>
          <w:rFonts w:hint="eastAsia" w:ascii="Times New Roman"/>
          <w:color w:val="auto"/>
          <w:sz w:val="28"/>
        </w:rPr>
        <w:t>万元整</w:t>
      </w:r>
      <w:r>
        <w:rPr>
          <w:rFonts w:ascii="Times New Roman"/>
          <w:color w:val="auto"/>
          <w:sz w:val="28"/>
        </w:rPr>
        <w:t>。</w:t>
      </w:r>
    </w:p>
    <w:p>
      <w:pPr>
        <w:pStyle w:val="10"/>
        <w:spacing w:line="540" w:lineRule="exact"/>
        <w:ind w:firstLine="560" w:firstLineChars="200"/>
        <w:rPr>
          <w:rFonts w:hint="eastAsia" w:ascii="Times New Roman"/>
          <w:color w:val="auto"/>
          <w:sz w:val="28"/>
        </w:rPr>
      </w:pPr>
      <w:r>
        <w:rPr>
          <w:rFonts w:ascii="Times New Roman"/>
          <w:color w:val="auto"/>
          <w:sz w:val="28"/>
        </w:rPr>
        <w:t>三、中华人民共和国</w:t>
      </w:r>
      <w:r>
        <w:rPr>
          <w:rFonts w:hint="eastAsia" w:ascii="Times New Roman"/>
          <w:color w:val="auto"/>
          <w:sz w:val="28"/>
          <w:lang w:eastAsia="zh-CN"/>
        </w:rPr>
        <w:t>境内</w:t>
      </w:r>
      <w:r>
        <w:rPr>
          <w:rFonts w:ascii="Times New Roman"/>
          <w:color w:val="auto"/>
          <w:sz w:val="28"/>
        </w:rPr>
        <w:t>企业、其他组织和个人（除法律另有规定外）均可参加竞买</w:t>
      </w:r>
      <w:r>
        <w:rPr>
          <w:rFonts w:hint="eastAsia" w:ascii="Times New Roman"/>
          <w:color w:val="auto"/>
          <w:sz w:val="28"/>
        </w:rPr>
        <w:t>，不接受联合竞买。</w:t>
      </w:r>
      <w:r>
        <w:rPr>
          <w:rFonts w:hint="default" w:ascii="Times New Roman" w:hAnsi="Times New Roman" w:eastAsia="仿宋_GB2312" w:cs="Times New Roman"/>
          <w:color w:val="auto"/>
          <w:sz w:val="28"/>
        </w:rPr>
        <w:t>法定代表人相同或者控股股东相同的公司不能同时参加同一项目的</w:t>
      </w:r>
      <w:r>
        <w:rPr>
          <w:rFonts w:hint="eastAsia" w:ascii="Times New Roman" w:hAnsi="Times New Roman" w:eastAsia="仿宋_GB2312" w:cs="Times New Roman"/>
          <w:color w:val="auto"/>
          <w:sz w:val="28"/>
          <w:lang w:eastAsia="zh-CN"/>
        </w:rPr>
        <w:t>竞买</w:t>
      </w:r>
      <w:r>
        <w:rPr>
          <w:rFonts w:hint="default" w:ascii="Times New Roman" w:hAnsi="Times New Roman" w:eastAsia="仿宋_GB2312" w:cs="Times New Roman"/>
          <w:color w:val="auto"/>
          <w:sz w:val="28"/>
        </w:rPr>
        <w:t>（国家控股公司除外）。</w:t>
      </w:r>
    </w:p>
    <w:p>
      <w:pPr>
        <w:pStyle w:val="10"/>
        <w:spacing w:line="540" w:lineRule="exact"/>
        <w:ind w:firstLine="630"/>
        <w:rPr>
          <w:rFonts w:hint="eastAsia" w:ascii="Times New Roman"/>
          <w:color w:val="auto"/>
          <w:sz w:val="28"/>
        </w:rPr>
      </w:pPr>
      <w:r>
        <w:rPr>
          <w:rFonts w:hint="eastAsia" w:ascii="Times New Roman"/>
          <w:color w:val="auto"/>
          <w:sz w:val="28"/>
        </w:rPr>
        <w:t>四</w:t>
      </w:r>
      <w:r>
        <w:rPr>
          <w:rFonts w:ascii="Times New Roman"/>
          <w:color w:val="auto"/>
          <w:sz w:val="28"/>
        </w:rPr>
        <w:t>、</w:t>
      </w:r>
      <w:r>
        <w:rPr>
          <w:rFonts w:hint="eastAsia" w:ascii="Times New Roman"/>
          <w:color w:val="auto"/>
          <w:sz w:val="28"/>
          <w:lang w:eastAsia="zh-CN"/>
        </w:rPr>
        <w:t>该宗地入市交易公告为</w:t>
      </w:r>
      <w:r>
        <w:rPr>
          <w:rFonts w:hint="eastAsia" w:ascii="Times New Roman"/>
          <w:color w:val="auto"/>
          <w:sz w:val="28"/>
          <w:lang w:val="en-US" w:eastAsia="zh-CN"/>
        </w:rPr>
        <w:t>20个日历日，挂牌竞价期限不少于10个工作日，自收到第一份有效竞买报价单当日起，至延后的第11个工作日15:00止为挂牌竞价时间。</w:t>
      </w:r>
    </w:p>
    <w:p>
      <w:pPr>
        <w:pStyle w:val="10"/>
        <w:spacing w:line="540" w:lineRule="exact"/>
        <w:ind w:firstLine="630"/>
        <w:rPr>
          <w:rFonts w:ascii="Times New Roman"/>
          <w:color w:val="auto"/>
          <w:sz w:val="28"/>
        </w:rPr>
      </w:pPr>
      <w:r>
        <w:rPr>
          <w:rFonts w:hint="eastAsia" w:ascii="Times New Roman"/>
          <w:color w:val="auto"/>
          <w:sz w:val="28"/>
          <w:lang w:eastAsia="zh-CN"/>
        </w:rPr>
        <w:t>五</w:t>
      </w:r>
      <w:r>
        <w:rPr>
          <w:rFonts w:ascii="Times New Roman"/>
          <w:color w:val="auto"/>
          <w:sz w:val="28"/>
        </w:rPr>
        <w:t>、本次挂牌不接受电话、邮寄及口头报价。</w:t>
      </w:r>
    </w:p>
    <w:p>
      <w:pPr>
        <w:pStyle w:val="10"/>
        <w:spacing w:line="540" w:lineRule="exact"/>
        <w:ind w:firstLine="630"/>
        <w:rPr>
          <w:rFonts w:hint="eastAsia" w:ascii="Times New Roman"/>
          <w:color w:val="auto"/>
          <w:sz w:val="28"/>
          <w:lang w:eastAsia="zh-CN"/>
        </w:rPr>
      </w:pPr>
      <w:r>
        <w:rPr>
          <w:rFonts w:hint="eastAsia" w:ascii="Times New Roman"/>
          <w:color w:val="auto"/>
          <w:sz w:val="28"/>
          <w:lang w:eastAsia="zh-CN"/>
        </w:rPr>
        <w:t>六</w:t>
      </w:r>
      <w:r>
        <w:rPr>
          <w:rFonts w:ascii="Times New Roman"/>
          <w:color w:val="auto"/>
          <w:sz w:val="28"/>
        </w:rPr>
        <w:t>、本次挂牌出让的详细资料和竞买要求请参阅有关挂牌文件。</w:t>
      </w:r>
      <w:r>
        <w:rPr>
          <w:rFonts w:hint="eastAsia" w:ascii="Times New Roman"/>
          <w:color w:val="auto"/>
          <w:sz w:val="28"/>
          <w:lang w:eastAsia="zh-CN"/>
        </w:rPr>
        <w:t>挂牌公告文件</w:t>
      </w:r>
      <w:r>
        <w:rPr>
          <w:rFonts w:ascii="Times New Roman"/>
          <w:color w:val="auto"/>
          <w:sz w:val="28"/>
        </w:rPr>
        <w:t>于201</w:t>
      </w:r>
      <w:r>
        <w:rPr>
          <w:rFonts w:hint="eastAsia" w:ascii="Times New Roman"/>
          <w:color w:val="auto"/>
          <w:sz w:val="28"/>
          <w:lang w:val="en-US" w:eastAsia="zh-CN"/>
        </w:rPr>
        <w:t>8</w:t>
      </w:r>
      <w:r>
        <w:rPr>
          <w:rFonts w:ascii="Times New Roman"/>
          <w:color w:val="auto"/>
          <w:sz w:val="28"/>
        </w:rPr>
        <w:t>年</w:t>
      </w:r>
      <w:r>
        <w:rPr>
          <w:rFonts w:hint="eastAsia" w:ascii="Times New Roman"/>
          <w:color w:val="auto"/>
          <w:sz w:val="28"/>
          <w:lang w:val="en-US" w:eastAsia="zh-CN"/>
        </w:rPr>
        <w:t>10</w:t>
      </w:r>
      <w:r>
        <w:rPr>
          <w:rFonts w:hint="eastAsia" w:ascii="Times New Roman"/>
          <w:color w:val="auto"/>
          <w:sz w:val="28"/>
        </w:rPr>
        <w:t>月</w:t>
      </w:r>
      <w:r>
        <w:rPr>
          <w:rFonts w:hint="eastAsia" w:ascii="Times New Roman"/>
          <w:color w:val="auto"/>
          <w:sz w:val="28"/>
          <w:lang w:val="en-US" w:eastAsia="zh-CN"/>
        </w:rPr>
        <w:t>23</w:t>
      </w:r>
      <w:r>
        <w:rPr>
          <w:rFonts w:hint="eastAsia" w:ascii="Times New Roman"/>
          <w:color w:val="auto"/>
          <w:sz w:val="28"/>
        </w:rPr>
        <w:t>日</w:t>
      </w:r>
      <w:r>
        <w:rPr>
          <w:rFonts w:hint="eastAsia" w:ascii="Times New Roman"/>
          <w:color w:val="auto"/>
          <w:sz w:val="28"/>
          <w:lang w:eastAsia="zh-CN"/>
        </w:rPr>
        <w:t>起由竞买人在北京市规划和国土资源管理委员会官方网站自行下载。</w:t>
      </w:r>
    </w:p>
    <w:p>
      <w:pPr>
        <w:pStyle w:val="10"/>
        <w:spacing w:line="540" w:lineRule="exact"/>
        <w:ind w:firstLine="630"/>
        <w:rPr>
          <w:rFonts w:hint="eastAsia" w:ascii="Times New Roman"/>
          <w:color w:val="auto"/>
          <w:sz w:val="28"/>
          <w:lang w:eastAsia="zh-CN"/>
        </w:rPr>
      </w:pPr>
    </w:p>
    <w:p>
      <w:pPr>
        <w:spacing w:line="540" w:lineRule="exact"/>
        <w:ind w:right="-108"/>
        <w:rPr>
          <w:rFonts w:eastAsia="仿宋_GB2312"/>
          <w:color w:val="auto"/>
          <w:sz w:val="28"/>
          <w:szCs w:val="28"/>
        </w:rPr>
      </w:pPr>
      <w:r>
        <w:rPr>
          <w:rFonts w:hint="eastAsia" w:eastAsia="仿宋_GB2312"/>
          <w:color w:val="auto"/>
          <w:sz w:val="28"/>
          <w:szCs w:val="28"/>
        </w:rPr>
        <w:t>北京市土地交易市场大兴分市场</w:t>
      </w:r>
    </w:p>
    <w:p>
      <w:pPr>
        <w:spacing w:line="540" w:lineRule="exact"/>
        <w:ind w:right="-108"/>
        <w:jc w:val="left"/>
        <w:rPr>
          <w:rFonts w:eastAsia="仿宋_GB2312"/>
          <w:color w:val="auto"/>
          <w:sz w:val="28"/>
          <w:szCs w:val="28"/>
        </w:rPr>
      </w:pPr>
      <w:r>
        <w:rPr>
          <w:rFonts w:eastAsia="仿宋_GB2312"/>
          <w:color w:val="auto"/>
          <w:sz w:val="28"/>
          <w:szCs w:val="28"/>
        </w:rPr>
        <w:t>地址：</w:t>
      </w:r>
      <w:r>
        <w:rPr>
          <w:rFonts w:hint="eastAsia" w:eastAsia="仿宋_GB2312"/>
          <w:color w:val="auto"/>
          <w:sz w:val="28"/>
          <w:szCs w:val="28"/>
        </w:rPr>
        <w:t>北京市大兴区金华寺东路1号</w:t>
      </w:r>
    </w:p>
    <w:p>
      <w:pPr>
        <w:spacing w:line="540" w:lineRule="exact"/>
        <w:ind w:right="-108"/>
        <w:jc w:val="left"/>
        <w:rPr>
          <w:rFonts w:eastAsia="仿宋_GB2312"/>
          <w:color w:val="auto"/>
          <w:sz w:val="28"/>
          <w:szCs w:val="28"/>
        </w:rPr>
      </w:pPr>
      <w:r>
        <w:rPr>
          <w:rFonts w:eastAsia="仿宋_GB2312"/>
          <w:color w:val="auto"/>
          <w:sz w:val="28"/>
          <w:szCs w:val="28"/>
        </w:rPr>
        <w:t>咨询电话：</w:t>
      </w:r>
      <w:r>
        <w:rPr>
          <w:rFonts w:hint="eastAsia" w:eastAsia="仿宋_GB2312"/>
          <w:color w:val="auto"/>
          <w:sz w:val="28"/>
          <w:szCs w:val="28"/>
        </w:rPr>
        <w:t>69261062</w:t>
      </w:r>
    </w:p>
    <w:p>
      <w:pPr>
        <w:spacing w:line="540" w:lineRule="exact"/>
        <w:ind w:right="-108"/>
        <w:jc w:val="left"/>
        <w:rPr>
          <w:rFonts w:hint="eastAsia" w:eastAsia="仿宋_GB2312"/>
          <w:color w:val="auto"/>
          <w:sz w:val="28"/>
          <w:szCs w:val="28"/>
          <w:lang w:val="en-US" w:eastAsia="zh-CN"/>
        </w:rPr>
      </w:pPr>
      <w:r>
        <w:rPr>
          <w:rFonts w:eastAsia="仿宋_GB2312"/>
          <w:color w:val="auto"/>
          <w:sz w:val="28"/>
          <w:szCs w:val="28"/>
        </w:rPr>
        <w:t xml:space="preserve">网址: </w:t>
      </w:r>
      <w:r>
        <w:rPr>
          <w:rFonts w:hint="eastAsia" w:eastAsia="仿宋_GB2312"/>
          <w:color w:val="auto"/>
          <w:sz w:val="28"/>
          <w:szCs w:val="28"/>
          <w:lang w:val="en-US" w:eastAsia="zh-CN"/>
        </w:rPr>
        <w:fldChar w:fldCharType="begin"/>
      </w:r>
      <w:r>
        <w:rPr>
          <w:rFonts w:hint="eastAsia" w:eastAsia="仿宋_GB2312"/>
          <w:color w:val="auto"/>
          <w:sz w:val="28"/>
          <w:szCs w:val="28"/>
          <w:lang w:val="en-US" w:eastAsia="zh-CN"/>
        </w:rPr>
        <w:instrText xml:space="preserve"> HYPERLINK "http://ghgtw.beijing.gov.cn/" </w:instrText>
      </w:r>
      <w:r>
        <w:rPr>
          <w:rFonts w:hint="eastAsia" w:eastAsia="仿宋_GB2312"/>
          <w:color w:val="auto"/>
          <w:sz w:val="28"/>
          <w:szCs w:val="28"/>
          <w:lang w:val="en-US" w:eastAsia="zh-CN"/>
        </w:rPr>
        <w:fldChar w:fldCharType="separate"/>
      </w:r>
      <w:r>
        <w:rPr>
          <w:rStyle w:val="27"/>
          <w:rFonts w:hint="eastAsia" w:eastAsia="仿宋_GB2312"/>
          <w:color w:val="auto"/>
          <w:sz w:val="28"/>
          <w:szCs w:val="28"/>
          <w:lang w:val="en-US" w:eastAsia="zh-CN"/>
        </w:rPr>
        <w:t>http://ghgtw.beijing.gov.cn/</w:t>
      </w:r>
      <w:r>
        <w:rPr>
          <w:rFonts w:hint="eastAsia" w:eastAsia="仿宋_GB2312"/>
          <w:color w:val="auto"/>
          <w:sz w:val="28"/>
          <w:szCs w:val="28"/>
          <w:lang w:val="en-US" w:eastAsia="zh-CN"/>
        </w:rPr>
        <w:fldChar w:fldCharType="end"/>
      </w:r>
    </w:p>
    <w:p>
      <w:pPr>
        <w:spacing w:line="540" w:lineRule="exact"/>
        <w:ind w:right="-108"/>
        <w:jc w:val="left"/>
        <w:rPr>
          <w:rFonts w:hint="eastAsia" w:eastAsia="仿宋_GB2312"/>
          <w:color w:val="auto"/>
          <w:sz w:val="28"/>
          <w:szCs w:val="28"/>
          <w:lang w:val="en-US" w:eastAsia="zh-CN"/>
        </w:rPr>
      </w:pPr>
    </w:p>
    <w:p>
      <w:pPr>
        <w:spacing w:line="540" w:lineRule="exact"/>
        <w:ind w:right="-108"/>
        <w:jc w:val="left"/>
        <w:rPr>
          <w:rFonts w:hint="eastAsia" w:eastAsia="仿宋_GB2312"/>
          <w:color w:val="auto"/>
          <w:sz w:val="28"/>
          <w:szCs w:val="28"/>
          <w:lang w:val="en-US" w:eastAsia="zh-CN"/>
        </w:rPr>
      </w:pPr>
    </w:p>
    <w:p>
      <w:pPr>
        <w:spacing w:line="540" w:lineRule="exact"/>
        <w:ind w:right="-108"/>
        <w:jc w:val="left"/>
        <w:rPr>
          <w:rFonts w:hint="eastAsia" w:eastAsia="仿宋_GB2312"/>
          <w:color w:val="auto"/>
          <w:sz w:val="28"/>
          <w:szCs w:val="28"/>
          <w:lang w:eastAsia="zh-CN"/>
        </w:rPr>
      </w:pPr>
      <w:r>
        <w:rPr>
          <w:rFonts w:hint="eastAsia" w:eastAsia="仿宋_GB2312"/>
          <w:color w:val="auto"/>
          <w:sz w:val="28"/>
        </w:rPr>
        <w:t>出让方：</w:t>
      </w:r>
      <w:r>
        <w:rPr>
          <w:rFonts w:hint="eastAsia" w:eastAsia="仿宋_GB2312"/>
          <w:color w:val="auto"/>
          <w:sz w:val="28"/>
          <w:szCs w:val="28"/>
          <w:lang w:eastAsia="zh-CN"/>
        </w:rPr>
        <w:t>北京汇瀛恒业有限公司</w:t>
      </w:r>
    </w:p>
    <w:p>
      <w:pPr>
        <w:spacing w:line="540" w:lineRule="exact"/>
        <w:ind w:right="-108"/>
        <w:jc w:val="left"/>
        <w:rPr>
          <w:rFonts w:hint="eastAsia" w:eastAsia="仿宋_GB2312"/>
          <w:color w:val="auto"/>
          <w:sz w:val="28"/>
          <w:szCs w:val="28"/>
          <w:lang w:eastAsia="zh-CN"/>
        </w:rPr>
      </w:pPr>
      <w:r>
        <w:rPr>
          <w:rFonts w:hint="eastAsia" w:eastAsia="仿宋_GB2312"/>
          <w:color w:val="auto"/>
          <w:sz w:val="28"/>
          <w:szCs w:val="28"/>
        </w:rPr>
        <w:t>地址：</w:t>
      </w:r>
      <w:r>
        <w:rPr>
          <w:rFonts w:hint="eastAsia" w:eastAsia="仿宋_GB2312"/>
          <w:color w:val="auto"/>
          <w:sz w:val="28"/>
          <w:szCs w:val="28"/>
          <w:lang w:eastAsia="zh-CN"/>
        </w:rPr>
        <w:t>北京市大兴区瀛海镇三太路1号</w:t>
      </w:r>
    </w:p>
    <w:p>
      <w:pPr>
        <w:spacing w:line="540" w:lineRule="exact"/>
        <w:ind w:right="-108"/>
        <w:jc w:val="left"/>
        <w:rPr>
          <w:rFonts w:hint="eastAsia" w:eastAsia="仿宋_GB2312"/>
          <w:color w:val="auto"/>
          <w:sz w:val="28"/>
          <w:szCs w:val="28"/>
        </w:rPr>
      </w:pPr>
      <w:r>
        <w:rPr>
          <w:rFonts w:hint="eastAsia" w:eastAsia="仿宋_GB2312"/>
          <w:color w:val="auto"/>
          <w:sz w:val="28"/>
          <w:szCs w:val="28"/>
        </w:rPr>
        <w:t>电话：</w:t>
      </w:r>
      <w:r>
        <w:rPr>
          <w:rFonts w:hint="eastAsia" w:eastAsia="仿宋_GB2312"/>
          <w:color w:val="auto"/>
          <w:sz w:val="28"/>
          <w:szCs w:val="28"/>
          <w:lang w:val="en-US" w:eastAsia="zh-CN"/>
        </w:rPr>
        <w:t>69274500</w:t>
      </w:r>
    </w:p>
    <w:p>
      <w:pPr>
        <w:spacing w:line="540" w:lineRule="exact"/>
        <w:ind w:right="-108"/>
        <w:jc w:val="left"/>
        <w:rPr>
          <w:rFonts w:hint="eastAsia" w:eastAsia="仿宋_GB2312"/>
          <w:color w:val="auto"/>
          <w:sz w:val="28"/>
          <w:szCs w:val="28"/>
        </w:rPr>
      </w:pPr>
    </w:p>
    <w:p>
      <w:pPr>
        <w:spacing w:line="540" w:lineRule="exact"/>
        <w:ind w:left="522" w:right="-108" w:firstLine="630" w:firstLineChars="225"/>
        <w:jc w:val="center"/>
        <w:rPr>
          <w:rFonts w:hint="eastAsia" w:eastAsia="仿宋_GB2312"/>
          <w:color w:val="auto"/>
          <w:sz w:val="28"/>
          <w:lang w:eastAsia="zh-CN"/>
        </w:rPr>
      </w:pPr>
      <w:r>
        <w:rPr>
          <w:rFonts w:hint="eastAsia" w:eastAsia="仿宋_GB2312"/>
          <w:color w:val="auto"/>
          <w:sz w:val="28"/>
          <w:lang w:val="en-US" w:eastAsia="zh-CN"/>
        </w:rPr>
        <w:t xml:space="preserve">      </w:t>
      </w:r>
      <w:r>
        <w:rPr>
          <w:rFonts w:hint="eastAsia" w:eastAsia="仿宋_GB2312"/>
          <w:color w:val="auto"/>
          <w:sz w:val="28"/>
          <w:lang w:eastAsia="zh-CN"/>
        </w:rPr>
        <w:t>北京市规划和国土资源管理委员会大兴分局</w:t>
      </w:r>
    </w:p>
    <w:p>
      <w:pPr>
        <w:pStyle w:val="17"/>
        <w:rPr>
          <w:color w:val="auto"/>
          <w:sz w:val="28"/>
        </w:rPr>
      </w:pPr>
      <w:r>
        <w:rPr>
          <w:rFonts w:hint="eastAsia"/>
          <w:color w:val="auto"/>
        </w:rPr>
        <w:t xml:space="preserve">         </w:t>
      </w:r>
      <w:r>
        <w:rPr>
          <w:rFonts w:hint="eastAsia"/>
          <w:color w:val="auto"/>
          <w:lang w:val="en-US" w:eastAsia="zh-CN"/>
        </w:rPr>
        <w:t xml:space="preserve">     </w:t>
      </w:r>
      <w:r>
        <w:rPr>
          <w:rFonts w:hint="eastAsia"/>
          <w:color w:val="auto"/>
        </w:rPr>
        <w:t xml:space="preserve"> </w:t>
      </w:r>
      <w:r>
        <w:rPr>
          <w:color w:val="auto"/>
        </w:rPr>
        <w:t>二Ο一</w:t>
      </w:r>
      <w:r>
        <w:rPr>
          <w:rFonts w:hint="eastAsia"/>
          <w:color w:val="auto"/>
          <w:lang w:val="en-US" w:eastAsia="zh-CN"/>
        </w:rPr>
        <w:t>八</w:t>
      </w:r>
      <w:r>
        <w:rPr>
          <w:color w:val="auto"/>
        </w:rPr>
        <w:t>年</w:t>
      </w:r>
      <w:r>
        <w:rPr>
          <w:rFonts w:hint="eastAsia"/>
          <w:color w:val="auto"/>
        </w:rPr>
        <w:t>十</w:t>
      </w:r>
      <w:r>
        <w:rPr>
          <w:color w:val="auto"/>
        </w:rPr>
        <w:t>月</w:t>
      </w:r>
      <w:r>
        <w:rPr>
          <w:rFonts w:hint="eastAsia"/>
          <w:color w:val="auto"/>
          <w:lang w:val="en-US" w:eastAsia="zh-CN"/>
        </w:rPr>
        <w:t>二十三</w:t>
      </w:r>
      <w:r>
        <w:rPr>
          <w:rFonts w:hint="eastAsia"/>
          <w:color w:val="auto"/>
        </w:rPr>
        <w:t>日</w:t>
      </w:r>
    </w:p>
    <w:p>
      <w:pPr>
        <w:pStyle w:val="2"/>
        <w:spacing w:line="240" w:lineRule="auto"/>
        <w:rPr>
          <w:rFonts w:ascii="宋体" w:hAnsi="宋体"/>
          <w:color w:val="auto"/>
        </w:rPr>
      </w:pPr>
      <w:bookmarkStart w:id="9" w:name="_Toc212531020"/>
      <w:bookmarkStart w:id="10" w:name="_Toc212531156"/>
      <w:bookmarkStart w:id="11" w:name="_Toc272043494"/>
      <w:bookmarkStart w:id="12" w:name="_Toc32548"/>
      <w:r>
        <w:rPr>
          <w:rFonts w:ascii="宋体" w:hAnsi="宋体"/>
          <w:color w:val="auto"/>
        </w:rPr>
        <w:t>竞 买 须 知</w:t>
      </w:r>
      <w:bookmarkEnd w:id="9"/>
      <w:bookmarkEnd w:id="10"/>
      <w:bookmarkEnd w:id="11"/>
      <w:bookmarkEnd w:id="12"/>
    </w:p>
    <w:p>
      <w:pPr>
        <w:pStyle w:val="3"/>
        <w:numPr>
          <w:ilvl w:val="0"/>
          <w:numId w:val="1"/>
        </w:numPr>
        <w:spacing w:line="240" w:lineRule="auto"/>
        <w:jc w:val="center"/>
        <w:rPr>
          <w:rFonts w:ascii="Times New Roman" w:hAnsi="Times New Roman" w:eastAsia="仿宋_GB2312"/>
          <w:color w:val="auto"/>
        </w:rPr>
      </w:pPr>
      <w:bookmarkStart w:id="13" w:name="_Toc212531157"/>
      <w:bookmarkStart w:id="14" w:name="_Toc272043495"/>
      <w:bookmarkStart w:id="15" w:name="_Toc212531021"/>
      <w:bookmarkStart w:id="16" w:name="_Toc26126"/>
      <w:r>
        <w:rPr>
          <w:rFonts w:ascii="Times New Roman" w:hAnsi="Times New Roman" w:eastAsia="仿宋_GB2312"/>
          <w:color w:val="auto"/>
        </w:rPr>
        <w:t>总则</w:t>
      </w:r>
      <w:bookmarkEnd w:id="13"/>
      <w:bookmarkEnd w:id="14"/>
      <w:bookmarkEnd w:id="15"/>
      <w:bookmarkEnd w:id="16"/>
    </w:p>
    <w:p>
      <w:pPr>
        <w:pStyle w:val="9"/>
        <w:numPr>
          <w:ilvl w:val="0"/>
          <w:numId w:val="2"/>
        </w:numPr>
        <w:tabs>
          <w:tab w:val="left" w:pos="1455"/>
        </w:tabs>
        <w:spacing w:after="0"/>
        <w:ind w:left="0" w:firstLine="630" w:firstLineChars="225"/>
        <w:rPr>
          <w:rFonts w:ascii="仿宋_GB2312" w:eastAsia="仿宋_GB2312"/>
          <w:color w:val="auto"/>
          <w:sz w:val="32"/>
          <w:szCs w:val="32"/>
        </w:rPr>
      </w:pPr>
      <w:bookmarkStart w:id="17" w:name="_Toc212531022"/>
      <w:bookmarkStart w:id="18" w:name="_Toc212531158"/>
      <w:r>
        <w:rPr>
          <w:rFonts w:eastAsia="仿宋_GB2312"/>
          <w:color w:val="auto"/>
          <w:sz w:val="28"/>
        </w:rPr>
        <w:t>经北京市大兴区人民政府批准，</w:t>
      </w:r>
      <w:r>
        <w:rPr>
          <w:rFonts w:hint="eastAsia" w:eastAsia="仿宋_GB2312"/>
          <w:color w:val="auto"/>
          <w:sz w:val="28"/>
          <w:lang w:eastAsia="zh-CN"/>
        </w:rPr>
        <w:t>北京汇瀛恒业有限公司</w:t>
      </w:r>
      <w:r>
        <w:rPr>
          <w:rFonts w:eastAsia="仿宋_GB2312"/>
          <w:color w:val="auto"/>
          <w:sz w:val="28"/>
        </w:rPr>
        <w:t>决定</w:t>
      </w:r>
      <w:r>
        <w:rPr>
          <w:rFonts w:hint="eastAsia" w:eastAsia="仿宋_GB2312"/>
          <w:color w:val="auto"/>
          <w:sz w:val="28"/>
        </w:rPr>
        <w:t>于201</w:t>
      </w:r>
      <w:r>
        <w:rPr>
          <w:rFonts w:hint="eastAsia" w:eastAsia="仿宋_GB2312"/>
          <w:color w:val="auto"/>
          <w:sz w:val="28"/>
          <w:lang w:val="en-US" w:eastAsia="zh-CN"/>
        </w:rPr>
        <w:t>8</w:t>
      </w:r>
      <w:r>
        <w:rPr>
          <w:rFonts w:hint="eastAsia" w:eastAsia="仿宋_GB2312"/>
          <w:color w:val="auto"/>
          <w:sz w:val="28"/>
        </w:rPr>
        <w:t>年</w:t>
      </w:r>
      <w:r>
        <w:rPr>
          <w:rFonts w:hint="eastAsia" w:eastAsia="仿宋_GB2312"/>
          <w:color w:val="auto"/>
          <w:sz w:val="28"/>
          <w:lang w:val="en-US" w:eastAsia="zh-CN"/>
        </w:rPr>
        <w:t>10</w:t>
      </w:r>
      <w:r>
        <w:rPr>
          <w:rFonts w:hint="eastAsia" w:eastAsia="仿宋_GB2312"/>
          <w:color w:val="auto"/>
          <w:sz w:val="28"/>
        </w:rPr>
        <w:t>月</w:t>
      </w:r>
      <w:r>
        <w:rPr>
          <w:rFonts w:hint="eastAsia" w:eastAsia="仿宋_GB2312"/>
          <w:color w:val="auto"/>
          <w:sz w:val="28"/>
          <w:lang w:val="en-US" w:eastAsia="zh-CN"/>
        </w:rPr>
        <w:t>23</w:t>
      </w:r>
      <w:r>
        <w:rPr>
          <w:rFonts w:hint="eastAsia" w:eastAsia="仿宋_GB2312"/>
          <w:color w:val="auto"/>
          <w:sz w:val="28"/>
        </w:rPr>
        <w:t>日上午9：00开始，在北京市土地交易市场大兴分市场公开挂牌出让</w:t>
      </w:r>
      <w:r>
        <w:rPr>
          <w:rFonts w:hint="eastAsia" w:eastAsia="仿宋_GB2312"/>
          <w:color w:val="auto"/>
          <w:sz w:val="28"/>
          <w:szCs w:val="28"/>
          <w:lang w:eastAsia="zh-CN"/>
        </w:rPr>
        <w:t>北京市大兴区瀛海镇集体经营性建设用地入市试点（一期）YZ00-0803-0011地块</w:t>
      </w:r>
      <w:r>
        <w:rPr>
          <w:rFonts w:hint="eastAsia" w:eastAsia="仿宋_GB2312"/>
          <w:color w:val="auto"/>
          <w:sz w:val="28"/>
          <w:szCs w:val="28"/>
        </w:rPr>
        <w:t>使用权</w:t>
      </w:r>
      <w:r>
        <w:rPr>
          <w:rFonts w:eastAsia="仿宋_GB2312"/>
          <w:color w:val="auto"/>
          <w:sz w:val="28"/>
        </w:rPr>
        <w:t>（以下简称“宗地”），该宗地挂牌</w:t>
      </w:r>
      <w:r>
        <w:rPr>
          <w:rFonts w:hint="eastAsia" w:eastAsia="仿宋_GB2312"/>
          <w:color w:val="auto"/>
          <w:sz w:val="28"/>
        </w:rPr>
        <w:t>出让</w:t>
      </w:r>
      <w:r>
        <w:rPr>
          <w:rFonts w:eastAsia="仿宋_GB2312"/>
          <w:color w:val="auto"/>
          <w:sz w:val="28"/>
        </w:rPr>
        <w:t>编号为：</w:t>
      </w:r>
      <w:r>
        <w:rPr>
          <w:rFonts w:hint="eastAsia" w:eastAsia="仿宋_GB2312"/>
          <w:color w:val="auto"/>
          <w:sz w:val="28"/>
          <w:lang w:eastAsia="zh-CN"/>
        </w:rPr>
        <w:t>京土集使挂（兴）[2018]001号</w:t>
      </w:r>
      <w:r>
        <w:rPr>
          <w:rFonts w:eastAsia="仿宋_GB2312"/>
          <w:color w:val="auto"/>
          <w:sz w:val="28"/>
        </w:rPr>
        <w:t>。</w:t>
      </w:r>
    </w:p>
    <w:p>
      <w:pPr>
        <w:pStyle w:val="9"/>
        <w:numPr>
          <w:ilvl w:val="0"/>
          <w:numId w:val="2"/>
        </w:numPr>
        <w:tabs>
          <w:tab w:val="left" w:pos="1455"/>
        </w:tabs>
        <w:spacing w:after="0"/>
        <w:ind w:left="0" w:firstLine="630" w:firstLineChars="225"/>
        <w:rPr>
          <w:rFonts w:eastAsia="仿宋_GB2312"/>
          <w:color w:val="auto"/>
          <w:sz w:val="28"/>
        </w:rPr>
      </w:pPr>
      <w:r>
        <w:rPr>
          <w:rFonts w:eastAsia="仿宋_GB2312"/>
          <w:color w:val="auto"/>
          <w:sz w:val="28"/>
        </w:rPr>
        <w:t>本次</w:t>
      </w:r>
      <w:r>
        <w:rPr>
          <w:rFonts w:hint="eastAsia" w:eastAsia="仿宋_GB2312"/>
          <w:color w:val="auto"/>
          <w:sz w:val="28"/>
        </w:rPr>
        <w:t>挂牌</w:t>
      </w:r>
      <w:r>
        <w:rPr>
          <w:rFonts w:eastAsia="仿宋_GB2312"/>
          <w:color w:val="auto"/>
          <w:sz w:val="28"/>
        </w:rPr>
        <w:t>出让宗地</w:t>
      </w:r>
      <w:r>
        <w:rPr>
          <w:rFonts w:hint="eastAsia" w:eastAsia="仿宋_GB2312"/>
          <w:color w:val="auto"/>
          <w:sz w:val="28"/>
        </w:rPr>
        <w:t>通过集体经济组织民主程序，履行了“一次授权、全权委托”</w:t>
      </w:r>
      <w:r>
        <w:rPr>
          <w:rFonts w:hint="eastAsia" w:eastAsia="仿宋_GB2312"/>
          <w:color w:val="auto"/>
          <w:sz w:val="28"/>
          <w:lang w:val="en-US" w:eastAsia="zh-CN"/>
        </w:rPr>
        <w:t>工作</w:t>
      </w:r>
      <w:r>
        <w:rPr>
          <w:rFonts w:hint="eastAsia" w:eastAsia="仿宋_GB2312"/>
          <w:color w:val="auto"/>
          <w:sz w:val="28"/>
        </w:rPr>
        <w:t>，</w:t>
      </w:r>
      <w:r>
        <w:rPr>
          <w:rFonts w:hint="eastAsia" w:eastAsia="仿宋_GB2312"/>
          <w:color w:val="auto"/>
          <w:sz w:val="28"/>
          <w:lang w:eastAsia="zh-CN"/>
        </w:rPr>
        <w:t>北京汇瀛恒业有限公司</w:t>
      </w:r>
      <w:r>
        <w:rPr>
          <w:rFonts w:hint="eastAsia" w:eastAsia="仿宋_GB2312"/>
          <w:color w:val="auto"/>
          <w:sz w:val="28"/>
        </w:rPr>
        <w:t>作为该地块入市主体，代表村集体行使</w:t>
      </w:r>
      <w:r>
        <w:rPr>
          <w:rFonts w:hint="eastAsia" w:eastAsia="仿宋_GB2312"/>
          <w:color w:val="auto"/>
          <w:sz w:val="28"/>
          <w:lang w:eastAsia="zh-CN"/>
        </w:rPr>
        <w:t>拟出让年限的</w:t>
      </w:r>
      <w:r>
        <w:rPr>
          <w:rFonts w:hint="eastAsia" w:eastAsia="仿宋_GB2312"/>
          <w:color w:val="auto"/>
          <w:sz w:val="28"/>
          <w:lang w:val="en-US" w:eastAsia="zh-CN"/>
        </w:rPr>
        <w:t>使用</w:t>
      </w:r>
      <w:r>
        <w:rPr>
          <w:rFonts w:hint="eastAsia" w:eastAsia="仿宋_GB2312"/>
          <w:color w:val="auto"/>
          <w:sz w:val="28"/>
        </w:rPr>
        <w:t>权。</w:t>
      </w:r>
    </w:p>
    <w:p>
      <w:pPr>
        <w:pStyle w:val="9"/>
        <w:numPr>
          <w:ilvl w:val="0"/>
          <w:numId w:val="2"/>
        </w:numPr>
        <w:tabs>
          <w:tab w:val="left" w:pos="1455"/>
        </w:tabs>
        <w:spacing w:after="0"/>
        <w:ind w:left="0" w:firstLine="630" w:firstLineChars="225"/>
        <w:rPr>
          <w:rFonts w:eastAsia="仿宋_GB2312"/>
          <w:color w:val="auto"/>
          <w:sz w:val="24"/>
        </w:rPr>
      </w:pPr>
      <w:r>
        <w:rPr>
          <w:rFonts w:eastAsia="仿宋_GB2312"/>
          <w:color w:val="auto"/>
          <w:sz w:val="28"/>
        </w:rPr>
        <w:t>本次</w:t>
      </w:r>
      <w:r>
        <w:rPr>
          <w:rFonts w:hint="eastAsia" w:eastAsia="仿宋_GB2312"/>
          <w:color w:val="auto"/>
          <w:sz w:val="28"/>
        </w:rPr>
        <w:t>挂牌</w:t>
      </w:r>
      <w:r>
        <w:rPr>
          <w:rFonts w:eastAsia="仿宋_GB2312"/>
          <w:color w:val="auto"/>
          <w:sz w:val="28"/>
        </w:rPr>
        <w:t>出让宗地</w:t>
      </w:r>
      <w:r>
        <w:rPr>
          <w:rFonts w:hint="eastAsia" w:eastAsia="仿宋_GB2312"/>
          <w:color w:val="auto"/>
          <w:sz w:val="28"/>
        </w:rPr>
        <w:t>土地出让方及</w:t>
      </w:r>
      <w:r>
        <w:rPr>
          <w:rFonts w:hint="eastAsia" w:ascii="仿宋_GB2312" w:hAnsi="宋体" w:eastAsia="仿宋_GB2312"/>
          <w:color w:val="auto"/>
          <w:sz w:val="28"/>
        </w:rPr>
        <w:t>集体土地开发实施单位（简称“开发单位”）</w:t>
      </w:r>
      <w:r>
        <w:rPr>
          <w:rFonts w:eastAsia="仿宋_GB2312"/>
          <w:color w:val="auto"/>
          <w:sz w:val="28"/>
        </w:rPr>
        <w:t>是</w:t>
      </w:r>
      <w:r>
        <w:rPr>
          <w:rFonts w:hint="eastAsia" w:eastAsia="仿宋_GB2312"/>
          <w:color w:val="auto"/>
          <w:sz w:val="28"/>
          <w:lang w:eastAsia="zh-CN"/>
        </w:rPr>
        <w:t>北京汇瀛恒业有限公司</w:t>
      </w:r>
      <w:r>
        <w:rPr>
          <w:rFonts w:eastAsia="仿宋_GB2312"/>
          <w:color w:val="auto"/>
          <w:sz w:val="28"/>
        </w:rPr>
        <w:t>，</w:t>
      </w:r>
      <w:r>
        <w:rPr>
          <w:rFonts w:hint="eastAsia" w:eastAsia="仿宋_GB2312"/>
          <w:color w:val="auto"/>
          <w:sz w:val="28"/>
        </w:rPr>
        <w:t>北京</w:t>
      </w:r>
      <w:r>
        <w:rPr>
          <w:rFonts w:eastAsia="仿宋_GB2312"/>
          <w:color w:val="auto"/>
          <w:sz w:val="28"/>
        </w:rPr>
        <w:t>市</w:t>
      </w:r>
      <w:r>
        <w:rPr>
          <w:rFonts w:hint="eastAsia" w:eastAsia="仿宋_GB2312"/>
          <w:color w:val="auto"/>
          <w:sz w:val="28"/>
        </w:rPr>
        <w:t>土地整理</w:t>
      </w:r>
      <w:r>
        <w:rPr>
          <w:rFonts w:eastAsia="仿宋_GB2312"/>
          <w:color w:val="auto"/>
          <w:sz w:val="28"/>
        </w:rPr>
        <w:t>储备中心</w:t>
      </w:r>
      <w:r>
        <w:rPr>
          <w:rFonts w:hint="eastAsia" w:eastAsia="仿宋_GB2312"/>
          <w:color w:val="auto"/>
          <w:sz w:val="28"/>
        </w:rPr>
        <w:t>大兴区分中心（</w:t>
      </w:r>
      <w:r>
        <w:rPr>
          <w:rFonts w:eastAsia="仿宋_GB2312"/>
          <w:color w:val="auto"/>
          <w:sz w:val="28"/>
        </w:rPr>
        <w:t>以下简称</w:t>
      </w:r>
      <w:r>
        <w:rPr>
          <w:rFonts w:hint="eastAsia" w:eastAsia="仿宋_GB2312"/>
          <w:color w:val="auto"/>
          <w:sz w:val="28"/>
        </w:rPr>
        <w:t>“大兴分中心”）</w:t>
      </w:r>
      <w:r>
        <w:rPr>
          <w:rFonts w:eastAsia="仿宋_GB2312"/>
          <w:color w:val="auto"/>
          <w:sz w:val="28"/>
        </w:rPr>
        <w:t>负责本次挂牌出让的组织和实施工作。</w:t>
      </w:r>
    </w:p>
    <w:p>
      <w:pPr>
        <w:pStyle w:val="9"/>
        <w:numPr>
          <w:ilvl w:val="0"/>
          <w:numId w:val="2"/>
        </w:numPr>
        <w:tabs>
          <w:tab w:val="left" w:pos="1455"/>
        </w:tabs>
        <w:spacing w:after="0"/>
        <w:ind w:left="0" w:firstLine="630" w:firstLineChars="225"/>
        <w:rPr>
          <w:rFonts w:eastAsia="仿宋_GB2312"/>
          <w:b/>
          <w:color w:val="auto"/>
          <w:sz w:val="28"/>
        </w:rPr>
      </w:pPr>
      <w:r>
        <w:rPr>
          <w:rFonts w:hint="default" w:ascii="Times New Roman" w:hAnsi="Times New Roman" w:eastAsia="仿宋_GB2312" w:cs="Times New Roman"/>
          <w:color w:val="auto"/>
          <w:sz w:val="28"/>
          <w:lang w:eastAsia="zh-CN"/>
        </w:rPr>
        <w:t>根据</w:t>
      </w:r>
      <w:r>
        <w:rPr>
          <w:rFonts w:hint="eastAsia" w:ascii="Times New Roman" w:hAnsi="Times New Roman" w:eastAsia="仿宋_GB2312" w:cs="Times New Roman"/>
          <w:color w:val="auto"/>
          <w:sz w:val="28"/>
          <w:lang w:eastAsia="zh-CN"/>
        </w:rPr>
        <w:t>《</w:t>
      </w:r>
      <w:r>
        <w:rPr>
          <w:rFonts w:hint="default" w:ascii="Times New Roman" w:hAnsi="Times New Roman" w:eastAsia="仿宋_GB2312" w:cs="Times New Roman"/>
          <w:color w:val="auto"/>
          <w:sz w:val="28"/>
          <w:lang w:eastAsia="zh-CN"/>
        </w:rPr>
        <w:t>全国人民代表大会授权</w:t>
      </w:r>
      <w:r>
        <w:rPr>
          <w:rFonts w:hint="eastAsia" w:ascii="Times New Roman" w:hAnsi="Times New Roman" w:eastAsia="仿宋_GB2312" w:cs="Times New Roman"/>
          <w:color w:val="auto"/>
          <w:sz w:val="28"/>
          <w:lang w:eastAsia="zh-CN"/>
        </w:rPr>
        <w:t>》</w:t>
      </w:r>
      <w:r>
        <w:rPr>
          <w:rFonts w:hint="default" w:ascii="Times New Roman" w:hAnsi="Times New Roman" w:eastAsia="仿宋_GB2312" w:cs="Times New Roman"/>
          <w:color w:val="auto"/>
          <w:sz w:val="28"/>
          <w:lang w:eastAsia="zh-CN"/>
        </w:rPr>
        <w:t>及我市</w:t>
      </w:r>
      <w:r>
        <w:rPr>
          <w:rFonts w:hint="eastAsia" w:ascii="Times New Roman" w:hAnsi="Times New Roman" w:eastAsia="仿宋_GB2312" w:cs="Times New Roman"/>
          <w:color w:val="auto"/>
          <w:sz w:val="28"/>
          <w:lang w:eastAsia="zh-CN"/>
        </w:rPr>
        <w:t>《</w:t>
      </w:r>
      <w:r>
        <w:rPr>
          <w:rFonts w:hint="default" w:ascii="Times New Roman" w:hAnsi="Times New Roman" w:eastAsia="仿宋_GB2312" w:cs="Times New Roman"/>
          <w:color w:val="auto"/>
          <w:sz w:val="28"/>
          <w:lang w:eastAsia="zh-CN"/>
        </w:rPr>
        <w:t>集体经营性建设用地试点管理办法</w:t>
      </w:r>
      <w:r>
        <w:rPr>
          <w:rFonts w:hint="eastAsia" w:ascii="Times New Roman" w:hAnsi="Times New Roman" w:eastAsia="仿宋_GB2312" w:cs="Times New Roman"/>
          <w:color w:val="auto"/>
          <w:sz w:val="28"/>
          <w:lang w:eastAsia="zh-CN"/>
        </w:rPr>
        <w:t>》</w:t>
      </w:r>
      <w:r>
        <w:rPr>
          <w:rFonts w:hint="default" w:ascii="Times New Roman" w:hAnsi="Times New Roman" w:eastAsia="仿宋_GB2312" w:cs="Times New Roman"/>
          <w:color w:val="auto"/>
          <w:sz w:val="28"/>
          <w:lang w:eastAsia="zh-CN"/>
        </w:rPr>
        <w:t>相关规定，</w:t>
      </w:r>
      <w:r>
        <w:rPr>
          <w:rFonts w:eastAsia="仿宋_GB2312"/>
          <w:color w:val="auto"/>
          <w:sz w:val="28"/>
        </w:rPr>
        <w:t>本次挂牌出让宗地，</w:t>
      </w:r>
      <w:r>
        <w:rPr>
          <w:rFonts w:hint="default" w:ascii="Times New Roman" w:hAnsi="Times New Roman" w:eastAsia="仿宋_GB2312" w:cs="Times New Roman"/>
          <w:color w:val="auto"/>
          <w:sz w:val="28"/>
          <w:lang w:eastAsia="zh-CN"/>
        </w:rPr>
        <w:t>与国有建设用地同地同权。</w:t>
      </w:r>
      <w:r>
        <w:rPr>
          <w:rFonts w:hint="default" w:ascii="Times New Roman" w:hAnsi="Times New Roman" w:eastAsia="仿宋_GB2312" w:cs="Times New Roman"/>
          <w:color w:val="auto"/>
          <w:sz w:val="28"/>
        </w:rPr>
        <w:t>根据集体经济组织入股协议及</w:t>
      </w:r>
      <w:r>
        <w:rPr>
          <w:rFonts w:hint="eastAsia" w:ascii="Times New Roman" w:hAnsi="Times New Roman" w:eastAsia="仿宋_GB2312" w:cs="Times New Roman"/>
          <w:color w:val="auto"/>
          <w:sz w:val="28"/>
          <w:lang w:eastAsia="zh-CN"/>
        </w:rPr>
        <w:t>北京汇瀛恒业有限公司</w:t>
      </w:r>
      <w:r>
        <w:rPr>
          <w:rFonts w:hint="default" w:ascii="Times New Roman" w:hAnsi="Times New Roman" w:eastAsia="仿宋_GB2312" w:cs="Times New Roman"/>
          <w:color w:val="auto"/>
          <w:sz w:val="28"/>
        </w:rPr>
        <w:t>股东大会决议，</w:t>
      </w:r>
      <w:r>
        <w:rPr>
          <w:rFonts w:eastAsia="仿宋_GB2312"/>
          <w:color w:val="auto"/>
          <w:sz w:val="28"/>
        </w:rPr>
        <w:t>其土地所有权属于</w:t>
      </w:r>
      <w:r>
        <w:rPr>
          <w:rFonts w:hint="eastAsia" w:eastAsia="仿宋_GB2312"/>
          <w:color w:val="auto"/>
          <w:sz w:val="28"/>
          <w:lang w:val="en-US" w:eastAsia="zh-CN"/>
        </w:rPr>
        <w:t>瀛海镇西一村和瀛海镇南宫村集体经济组织</w:t>
      </w:r>
      <w:r>
        <w:rPr>
          <w:rFonts w:eastAsia="仿宋_GB2312"/>
          <w:color w:val="auto"/>
          <w:sz w:val="28"/>
        </w:rPr>
        <w:t>，</w:t>
      </w:r>
      <w:r>
        <w:rPr>
          <w:rFonts w:hint="eastAsia" w:eastAsia="仿宋_GB2312"/>
          <w:color w:val="auto"/>
          <w:sz w:val="28"/>
          <w:lang w:eastAsia="zh-CN"/>
        </w:rPr>
        <w:t>村集体转让期限内的</w:t>
      </w:r>
      <w:r>
        <w:rPr>
          <w:rFonts w:hint="eastAsia" w:eastAsia="仿宋_GB2312"/>
          <w:color w:val="auto"/>
          <w:sz w:val="28"/>
        </w:rPr>
        <w:t>使用权属于</w:t>
      </w:r>
      <w:r>
        <w:rPr>
          <w:rFonts w:hint="eastAsia" w:eastAsia="仿宋_GB2312"/>
          <w:color w:val="auto"/>
          <w:sz w:val="28"/>
          <w:lang w:eastAsia="zh-CN"/>
        </w:rPr>
        <w:t>北京汇瀛恒业有限公司。</w:t>
      </w:r>
      <w:r>
        <w:rPr>
          <w:rFonts w:hint="default" w:ascii="Times New Roman" w:hAnsi="Times New Roman" w:eastAsia="仿宋_GB2312" w:cs="Times New Roman"/>
          <w:color w:val="auto"/>
          <w:sz w:val="28"/>
          <w:lang w:eastAsia="zh-CN"/>
        </w:rPr>
        <w:t>按照国家及我市有关法律法规要求该宗地</w:t>
      </w:r>
      <w:r>
        <w:rPr>
          <w:rFonts w:hint="default" w:ascii="Times New Roman" w:hAnsi="Times New Roman" w:eastAsia="仿宋_GB2312" w:cs="Times New Roman"/>
          <w:color w:val="auto"/>
          <w:sz w:val="28"/>
        </w:rPr>
        <w:t>地下资源</w:t>
      </w:r>
      <w:r>
        <w:rPr>
          <w:rFonts w:eastAsia="仿宋_GB2312"/>
          <w:color w:val="auto"/>
          <w:sz w:val="28"/>
        </w:rPr>
        <w:t>、埋藏物和市政公共设施均不在本次挂牌出让范围内。</w:t>
      </w:r>
    </w:p>
    <w:p>
      <w:pPr>
        <w:pStyle w:val="3"/>
        <w:spacing w:line="240" w:lineRule="auto"/>
        <w:jc w:val="center"/>
        <w:rPr>
          <w:rFonts w:hint="eastAsia" w:ascii="Times New Roman" w:hAnsi="Times New Roman" w:eastAsia="仿宋_GB2312"/>
          <w:color w:val="auto"/>
        </w:rPr>
      </w:pPr>
      <w:bookmarkStart w:id="19" w:name="_Toc272043496"/>
      <w:bookmarkStart w:id="20" w:name="_Toc31489"/>
      <w:r>
        <w:rPr>
          <w:rFonts w:hint="eastAsia" w:ascii="Times New Roman" w:hAnsi="Times New Roman" w:eastAsia="仿宋_GB2312"/>
          <w:color w:val="auto"/>
        </w:rPr>
        <w:t>第二</w:t>
      </w:r>
      <w:r>
        <w:rPr>
          <w:rFonts w:ascii="Times New Roman" w:hAnsi="Times New Roman" w:eastAsia="仿宋_GB2312"/>
          <w:color w:val="auto"/>
        </w:rPr>
        <w:t>章</w:t>
      </w:r>
      <w:bookmarkEnd w:id="17"/>
      <w:bookmarkEnd w:id="18"/>
      <w:bookmarkEnd w:id="19"/>
      <w:r>
        <w:rPr>
          <w:rFonts w:hint="eastAsia" w:ascii="Times New Roman" w:hAnsi="Times New Roman" w:eastAsia="仿宋_GB2312"/>
          <w:color w:val="auto"/>
        </w:rPr>
        <w:t xml:space="preserve"> 宗地基本情况与基本要求</w:t>
      </w:r>
      <w:bookmarkEnd w:id="20"/>
    </w:p>
    <w:p>
      <w:pPr>
        <w:pStyle w:val="9"/>
        <w:numPr>
          <w:ilvl w:val="0"/>
          <w:numId w:val="2"/>
        </w:numPr>
        <w:tabs>
          <w:tab w:val="left" w:pos="1455"/>
        </w:tabs>
        <w:spacing w:after="0"/>
        <w:ind w:left="0" w:firstLine="630" w:firstLineChars="225"/>
        <w:rPr>
          <w:rFonts w:eastAsia="仿宋_GB2312"/>
          <w:color w:val="auto"/>
          <w:sz w:val="28"/>
        </w:rPr>
      </w:pPr>
      <w:r>
        <w:rPr>
          <w:rFonts w:eastAsia="仿宋_GB2312"/>
          <w:color w:val="auto"/>
          <w:sz w:val="28"/>
        </w:rPr>
        <w:t>出让宗地的位置、范围</w:t>
      </w:r>
    </w:p>
    <w:p>
      <w:pPr>
        <w:pStyle w:val="35"/>
        <w:tabs>
          <w:tab w:val="left" w:pos="1297"/>
        </w:tabs>
        <w:ind w:firstLine="560"/>
        <w:rPr>
          <w:rFonts w:eastAsia="仿宋_GB2312"/>
          <w:color w:val="auto"/>
          <w:sz w:val="28"/>
          <w:szCs w:val="28"/>
        </w:rPr>
      </w:pPr>
      <w:r>
        <w:rPr>
          <w:rFonts w:eastAsia="仿宋_GB2312"/>
          <w:color w:val="auto"/>
          <w:sz w:val="28"/>
          <w:szCs w:val="28"/>
        </w:rPr>
        <w:t>本次挂牌出让宗地位于</w:t>
      </w:r>
      <w:r>
        <w:rPr>
          <w:rFonts w:hint="eastAsia" w:eastAsia="仿宋_GB2312"/>
          <w:color w:val="auto"/>
          <w:sz w:val="28"/>
          <w:szCs w:val="28"/>
        </w:rPr>
        <w:t>大兴区</w:t>
      </w:r>
      <w:r>
        <w:rPr>
          <w:rFonts w:hint="eastAsia" w:eastAsia="仿宋_GB2312"/>
          <w:color w:val="auto"/>
          <w:sz w:val="28"/>
          <w:szCs w:val="28"/>
          <w:lang w:eastAsia="zh-CN"/>
        </w:rPr>
        <w:t>瀛海镇</w:t>
      </w:r>
      <w:r>
        <w:rPr>
          <w:rFonts w:hint="eastAsia" w:eastAsia="仿宋_GB2312"/>
          <w:color w:val="auto"/>
          <w:sz w:val="28"/>
          <w:szCs w:val="28"/>
        </w:rPr>
        <w:t>，</w:t>
      </w:r>
      <w:r>
        <w:rPr>
          <w:rFonts w:eastAsia="仿宋_GB2312"/>
          <w:color w:val="auto"/>
          <w:sz w:val="28"/>
          <w:szCs w:val="28"/>
        </w:rPr>
        <w:t>具体四至</w:t>
      </w:r>
      <w:r>
        <w:rPr>
          <w:rFonts w:hint="eastAsia" w:eastAsia="仿宋_GB2312"/>
          <w:color w:val="auto"/>
          <w:sz w:val="28"/>
          <w:szCs w:val="28"/>
        </w:rPr>
        <w:t>范围是：</w:t>
      </w:r>
      <w:r>
        <w:rPr>
          <w:rFonts w:hint="eastAsia" w:ascii="Times New Roman" w:hAnsi="Times New Roman" w:eastAsia="仿宋_GB2312" w:cs="Times New Roman"/>
          <w:color w:val="auto"/>
          <w:sz w:val="28"/>
          <w:lang w:eastAsia="zh-CN"/>
        </w:rPr>
        <w:t>东至瀛祥路</w:t>
      </w:r>
      <w:r>
        <w:rPr>
          <w:rFonts w:hint="default" w:ascii="Times New Roman" w:hAnsi="Times New Roman" w:eastAsia="仿宋_GB2312" w:cs="Times New Roman"/>
          <w:color w:val="auto"/>
          <w:sz w:val="28"/>
        </w:rPr>
        <w:t>，</w:t>
      </w:r>
      <w:r>
        <w:rPr>
          <w:rFonts w:hint="eastAsia" w:ascii="Times New Roman" w:hAnsi="Times New Roman" w:eastAsia="仿宋_GB2312" w:cs="Times New Roman"/>
          <w:color w:val="auto"/>
          <w:sz w:val="28"/>
          <w:lang w:eastAsia="zh-CN"/>
        </w:rPr>
        <w:t>西至瀛坤路</w:t>
      </w:r>
      <w:r>
        <w:rPr>
          <w:rFonts w:hint="default" w:ascii="Times New Roman" w:hAnsi="Times New Roman" w:eastAsia="仿宋_GB2312" w:cs="Times New Roman"/>
          <w:color w:val="auto"/>
          <w:sz w:val="28"/>
        </w:rPr>
        <w:t>，</w:t>
      </w:r>
      <w:r>
        <w:rPr>
          <w:rFonts w:hint="eastAsia" w:ascii="Times New Roman" w:hAnsi="Times New Roman" w:eastAsia="仿宋_GB2312" w:cs="Times New Roman"/>
          <w:color w:val="auto"/>
          <w:sz w:val="28"/>
          <w:lang w:eastAsia="zh-CN"/>
        </w:rPr>
        <w:t>南至瀛成路</w:t>
      </w:r>
      <w:r>
        <w:rPr>
          <w:rFonts w:hint="default" w:ascii="Times New Roman" w:hAnsi="Times New Roman" w:eastAsia="仿宋_GB2312" w:cs="Times New Roman"/>
          <w:color w:val="auto"/>
          <w:sz w:val="28"/>
        </w:rPr>
        <w:t>，</w:t>
      </w:r>
      <w:r>
        <w:rPr>
          <w:rFonts w:hint="eastAsia" w:ascii="Times New Roman" w:hAnsi="Times New Roman" w:eastAsia="仿宋_GB2312" w:cs="Times New Roman"/>
          <w:color w:val="auto"/>
          <w:sz w:val="28"/>
          <w:lang w:eastAsia="zh-CN"/>
        </w:rPr>
        <w:t>北至瀛元街</w:t>
      </w:r>
      <w:r>
        <w:rPr>
          <w:rFonts w:hint="eastAsia" w:eastAsia="仿宋_GB2312"/>
          <w:color w:val="auto"/>
          <w:sz w:val="28"/>
          <w:szCs w:val="28"/>
        </w:rPr>
        <w:t>。</w:t>
      </w:r>
    </w:p>
    <w:p>
      <w:pPr>
        <w:pStyle w:val="9"/>
        <w:numPr>
          <w:ilvl w:val="0"/>
          <w:numId w:val="2"/>
        </w:numPr>
        <w:tabs>
          <w:tab w:val="left" w:pos="1455"/>
        </w:tabs>
        <w:spacing w:after="0"/>
        <w:ind w:left="0" w:firstLine="630" w:firstLineChars="225"/>
        <w:rPr>
          <w:rFonts w:eastAsia="仿宋_GB2312"/>
          <w:color w:val="auto"/>
          <w:sz w:val="28"/>
        </w:rPr>
      </w:pPr>
      <w:r>
        <w:rPr>
          <w:rFonts w:eastAsia="仿宋_GB2312"/>
          <w:color w:val="auto"/>
          <w:sz w:val="28"/>
        </w:rPr>
        <w:t>出让宗地规划</w:t>
      </w:r>
      <w:r>
        <w:rPr>
          <w:rFonts w:hint="eastAsia" w:eastAsia="仿宋_GB2312"/>
          <w:color w:val="auto"/>
          <w:sz w:val="28"/>
        </w:rPr>
        <w:t>使用</w:t>
      </w:r>
      <w:r>
        <w:rPr>
          <w:rFonts w:eastAsia="仿宋_GB2312"/>
          <w:color w:val="auto"/>
          <w:sz w:val="28"/>
        </w:rPr>
        <w:t>条件</w:t>
      </w:r>
    </w:p>
    <w:p>
      <w:pPr>
        <w:pStyle w:val="35"/>
        <w:tabs>
          <w:tab w:val="left" w:pos="1297"/>
        </w:tabs>
        <w:ind w:firstLine="560"/>
        <w:rPr>
          <w:rFonts w:hint="eastAsia" w:ascii="Times New Roman" w:hAnsi="Times New Roman" w:eastAsia="仿宋_GB2312" w:cs="Times New Roman"/>
          <w:color w:val="auto"/>
          <w:sz w:val="28"/>
          <w:lang w:eastAsia="zh-CN"/>
        </w:rPr>
      </w:pPr>
      <w:r>
        <w:rPr>
          <w:rFonts w:hint="eastAsia" w:ascii="Times New Roman" w:hAnsi="Times New Roman" w:eastAsia="仿宋_GB2312" w:cs="Times New Roman"/>
          <w:color w:val="auto"/>
          <w:sz w:val="28"/>
          <w:lang w:eastAsia="zh-CN"/>
        </w:rPr>
        <w:t>根据《建设项目规划条件》（供应阶段）（201</w:t>
      </w:r>
      <w:r>
        <w:rPr>
          <w:rFonts w:hint="eastAsia" w:ascii="Times New Roman" w:hAnsi="Times New Roman" w:eastAsia="仿宋_GB2312" w:cs="Times New Roman"/>
          <w:color w:val="auto"/>
          <w:sz w:val="28"/>
          <w:lang w:val="en-US" w:eastAsia="zh-CN"/>
        </w:rPr>
        <w:t>8</w:t>
      </w:r>
      <w:r>
        <w:rPr>
          <w:rFonts w:hint="eastAsia" w:ascii="Times New Roman" w:hAnsi="Times New Roman" w:eastAsia="仿宋_GB2312" w:cs="Times New Roman"/>
          <w:color w:val="auto"/>
          <w:sz w:val="28"/>
          <w:lang w:eastAsia="zh-CN"/>
        </w:rPr>
        <w:t>规土（大）乡条供字0001号）和《建设工程规划用地测量成果报告书》（201</w:t>
      </w:r>
      <w:r>
        <w:rPr>
          <w:rFonts w:hint="eastAsia" w:ascii="Times New Roman" w:hAnsi="Times New Roman" w:eastAsia="仿宋_GB2312" w:cs="Times New Roman"/>
          <w:color w:val="auto"/>
          <w:sz w:val="28"/>
          <w:lang w:val="en-US" w:eastAsia="zh-CN"/>
        </w:rPr>
        <w:t>6</w:t>
      </w:r>
      <w:r>
        <w:rPr>
          <w:rFonts w:hint="eastAsia" w:ascii="Times New Roman" w:hAnsi="Times New Roman" w:eastAsia="仿宋_GB2312" w:cs="Times New Roman"/>
          <w:color w:val="auto"/>
          <w:sz w:val="28"/>
          <w:lang w:eastAsia="zh-CN"/>
        </w:rPr>
        <w:t>规（大）测字00</w:t>
      </w:r>
      <w:r>
        <w:rPr>
          <w:rFonts w:hint="eastAsia" w:ascii="Times New Roman" w:hAnsi="Times New Roman" w:eastAsia="仿宋_GB2312" w:cs="Times New Roman"/>
          <w:color w:val="auto"/>
          <w:sz w:val="28"/>
          <w:lang w:val="en-US" w:eastAsia="zh-CN"/>
        </w:rPr>
        <w:t>37</w:t>
      </w:r>
      <w:r>
        <w:rPr>
          <w:rFonts w:hint="eastAsia" w:ascii="Times New Roman" w:hAnsi="Times New Roman" w:eastAsia="仿宋_GB2312" w:cs="Times New Roman"/>
          <w:color w:val="auto"/>
          <w:sz w:val="28"/>
          <w:lang w:eastAsia="zh-CN"/>
        </w:rPr>
        <w:t>号）确定该宗地具体规划技术指标如下：</w:t>
      </w:r>
    </w:p>
    <w:p>
      <w:pPr>
        <w:tabs>
          <w:tab w:val="left" w:pos="0"/>
        </w:tabs>
        <w:rPr>
          <w:rFonts w:eastAsia="仿宋_GB2312"/>
          <w:color w:val="auto"/>
          <w:sz w:val="28"/>
        </w:rPr>
      </w:pPr>
      <w:r>
        <w:rPr>
          <w:rFonts w:eastAsia="仿宋_GB2312"/>
          <w:color w:val="auto"/>
          <w:sz w:val="28"/>
        </w:rPr>
        <w:t>建设用地使用性质：</w:t>
      </w:r>
      <w:r>
        <w:rPr>
          <w:rFonts w:hint="eastAsia" w:eastAsia="仿宋_GB2312"/>
          <w:color w:val="auto"/>
          <w:sz w:val="28"/>
          <w:szCs w:val="28"/>
        </w:rPr>
        <w:t>F81绿隔产业用地</w:t>
      </w:r>
    </w:p>
    <w:p>
      <w:pPr>
        <w:tabs>
          <w:tab w:val="left" w:pos="0"/>
        </w:tabs>
        <w:rPr>
          <w:rFonts w:eastAsia="仿宋_GB2312"/>
          <w:color w:val="auto"/>
          <w:sz w:val="28"/>
        </w:rPr>
      </w:pPr>
      <w:r>
        <w:rPr>
          <w:rFonts w:hint="eastAsia" w:eastAsia="仿宋_GB2312"/>
          <w:color w:val="auto"/>
          <w:sz w:val="28"/>
        </w:rPr>
        <w:t>总</w:t>
      </w:r>
      <w:r>
        <w:rPr>
          <w:rFonts w:eastAsia="仿宋_GB2312"/>
          <w:color w:val="auto"/>
          <w:sz w:val="28"/>
        </w:rPr>
        <w:t>建设用地面积：</w:t>
      </w:r>
      <w:r>
        <w:rPr>
          <w:rFonts w:hint="eastAsia" w:eastAsia="仿宋_GB2312"/>
          <w:color w:val="auto"/>
          <w:sz w:val="28"/>
          <w:lang w:eastAsia="zh-CN"/>
        </w:rPr>
        <w:t>39972.524</w:t>
      </w:r>
      <w:r>
        <w:rPr>
          <w:rFonts w:eastAsia="仿宋_GB2312"/>
          <w:color w:val="auto"/>
          <w:sz w:val="28"/>
        </w:rPr>
        <w:t>平方米</w:t>
      </w:r>
    </w:p>
    <w:p>
      <w:pPr>
        <w:tabs>
          <w:tab w:val="left" w:pos="0"/>
        </w:tabs>
        <w:rPr>
          <w:rFonts w:eastAsia="仿宋_GB2312"/>
          <w:color w:val="auto"/>
          <w:sz w:val="28"/>
        </w:rPr>
      </w:pPr>
      <w:r>
        <w:rPr>
          <w:rFonts w:hint="eastAsia" w:eastAsia="仿宋_GB2312"/>
          <w:color w:val="auto"/>
          <w:sz w:val="28"/>
        </w:rPr>
        <w:t>总</w:t>
      </w:r>
      <w:r>
        <w:rPr>
          <w:rFonts w:eastAsia="仿宋_GB2312"/>
          <w:color w:val="auto"/>
          <w:sz w:val="28"/>
        </w:rPr>
        <w:t>建筑规模：</w:t>
      </w:r>
      <w:r>
        <w:rPr>
          <w:rFonts w:hint="eastAsia" w:ascii="宋体" w:hAnsi="宋体" w:cs="宋体"/>
          <w:color w:val="auto"/>
          <w:sz w:val="28"/>
        </w:rPr>
        <w:t>≦</w:t>
      </w:r>
      <w:r>
        <w:rPr>
          <w:rFonts w:hint="eastAsia" w:eastAsia="仿宋_GB2312"/>
          <w:color w:val="auto"/>
          <w:sz w:val="28"/>
          <w:lang w:eastAsia="zh-CN"/>
        </w:rPr>
        <w:t>95934</w:t>
      </w:r>
      <w:r>
        <w:rPr>
          <w:rFonts w:eastAsia="仿宋_GB2312"/>
          <w:color w:val="auto"/>
          <w:sz w:val="28"/>
        </w:rPr>
        <w:t>平方米</w:t>
      </w:r>
    </w:p>
    <w:p>
      <w:pPr>
        <w:tabs>
          <w:tab w:val="left" w:pos="0"/>
        </w:tabs>
        <w:rPr>
          <w:rFonts w:hint="eastAsia" w:eastAsia="宋体"/>
          <w:color w:val="auto"/>
          <w:sz w:val="28"/>
          <w:lang w:val="en-US" w:eastAsia="zh-CN"/>
        </w:rPr>
      </w:pPr>
      <w:r>
        <w:rPr>
          <w:rFonts w:hint="eastAsia" w:eastAsia="仿宋_GB2312"/>
          <w:color w:val="auto"/>
          <w:sz w:val="28"/>
        </w:rPr>
        <w:t>容积率：</w:t>
      </w:r>
      <w:r>
        <w:rPr>
          <w:rFonts w:hint="eastAsia" w:ascii="宋体" w:hAnsi="宋体" w:cs="宋体"/>
          <w:color w:val="auto"/>
          <w:sz w:val="28"/>
        </w:rPr>
        <w:t>≦2.</w:t>
      </w:r>
      <w:r>
        <w:rPr>
          <w:rFonts w:hint="eastAsia" w:ascii="宋体" w:hAnsi="宋体" w:cs="宋体"/>
          <w:color w:val="auto"/>
          <w:sz w:val="28"/>
          <w:lang w:val="en-US" w:eastAsia="zh-CN"/>
        </w:rPr>
        <w:t>4</w:t>
      </w:r>
    </w:p>
    <w:p>
      <w:pPr>
        <w:tabs>
          <w:tab w:val="left" w:pos="0"/>
        </w:tabs>
        <w:ind w:firstLine="548" w:firstLineChars="196"/>
        <w:rPr>
          <w:rFonts w:eastAsia="仿宋_GB2312"/>
          <w:bCs/>
          <w:color w:val="auto"/>
          <w:sz w:val="28"/>
        </w:rPr>
      </w:pPr>
      <w:r>
        <w:rPr>
          <w:rFonts w:hint="eastAsia" w:ascii="Times New Roman" w:hAnsi="Times New Roman" w:eastAsia="仿宋_GB2312" w:cs="Times New Roman"/>
          <w:color w:val="auto"/>
          <w:kern w:val="2"/>
          <w:sz w:val="28"/>
          <w:szCs w:val="22"/>
          <w:lang w:val="en-US" w:eastAsia="zh-CN" w:bidi="ar-SA"/>
        </w:rPr>
        <w:t>其他要求：具体指标详见《建设项目规划条件》（2018规土（大）乡条供字0001号）和《拨地钉桩测绘成果报告》（2016规（大）测字0037号），竞得人须严格执行本项目《建设项目规划条件》（2018规土（大）乡条供字0001号）中的有关条款。</w:t>
      </w:r>
    </w:p>
    <w:p>
      <w:pPr>
        <w:pStyle w:val="9"/>
        <w:ind w:firstLine="560" w:firstLineChars="200"/>
        <w:rPr>
          <w:rFonts w:ascii="仿宋_GB2312" w:hAnsi="宋体" w:eastAsia="仿宋_GB2312"/>
          <w:color w:val="auto"/>
          <w:sz w:val="28"/>
        </w:rPr>
      </w:pPr>
      <w:r>
        <w:rPr>
          <w:rFonts w:eastAsia="仿宋_GB2312"/>
          <w:bCs/>
          <w:color w:val="auto"/>
          <w:sz w:val="28"/>
        </w:rPr>
        <w:t>该项目应严格执行</w:t>
      </w:r>
      <w:r>
        <w:rPr>
          <w:rFonts w:hint="eastAsia" w:eastAsia="仿宋_GB2312"/>
          <w:bCs/>
          <w:color w:val="auto"/>
          <w:sz w:val="28"/>
        </w:rPr>
        <w:t>《北京市新增、限制产业目录</w:t>
      </w:r>
      <w:r>
        <w:rPr>
          <w:rFonts w:hint="eastAsia" w:eastAsia="仿宋_GB2312"/>
          <w:bCs/>
          <w:color w:val="auto"/>
          <w:sz w:val="28"/>
          <w:lang w:eastAsia="zh-CN"/>
        </w:rPr>
        <w:t>（</w:t>
      </w:r>
      <w:r>
        <w:rPr>
          <w:rFonts w:hint="eastAsia" w:eastAsia="仿宋_GB2312"/>
          <w:bCs/>
          <w:color w:val="auto"/>
          <w:sz w:val="28"/>
          <w:lang w:val="en-US" w:eastAsia="zh-CN"/>
        </w:rPr>
        <w:t>2018年版</w:t>
      </w:r>
      <w:r>
        <w:rPr>
          <w:rFonts w:hint="eastAsia" w:eastAsia="仿宋_GB2312"/>
          <w:bCs/>
          <w:color w:val="auto"/>
          <w:sz w:val="28"/>
          <w:lang w:eastAsia="zh-CN"/>
        </w:rPr>
        <w:t>）</w:t>
      </w:r>
      <w:r>
        <w:rPr>
          <w:rFonts w:hint="eastAsia" w:eastAsia="仿宋_GB2312"/>
          <w:bCs/>
          <w:color w:val="auto"/>
          <w:sz w:val="28"/>
        </w:rPr>
        <w:t>》、</w:t>
      </w:r>
      <w:r>
        <w:rPr>
          <w:rFonts w:hint="eastAsia" w:ascii="仿宋_GB2312" w:hAnsi="宋体" w:eastAsia="仿宋_GB2312"/>
          <w:color w:val="auto"/>
          <w:sz w:val="28"/>
        </w:rPr>
        <w:t>《北京市城市建设节约用地标准（试行）》等相关文件。</w:t>
      </w:r>
    </w:p>
    <w:p>
      <w:pPr>
        <w:pStyle w:val="9"/>
        <w:numPr>
          <w:ilvl w:val="0"/>
          <w:numId w:val="2"/>
        </w:numPr>
        <w:tabs>
          <w:tab w:val="left" w:pos="1455"/>
          <w:tab w:val="left" w:pos="1785"/>
        </w:tabs>
        <w:spacing w:after="0"/>
        <w:ind w:left="0" w:firstLine="630" w:firstLineChars="225"/>
        <w:rPr>
          <w:rFonts w:eastAsia="仿宋_GB2312"/>
          <w:bCs/>
          <w:color w:val="auto"/>
          <w:sz w:val="28"/>
        </w:rPr>
      </w:pPr>
      <w:r>
        <w:rPr>
          <w:rFonts w:eastAsia="仿宋_GB2312"/>
          <w:bCs/>
          <w:color w:val="auto"/>
          <w:sz w:val="28"/>
        </w:rPr>
        <w:t>出让宗地权属及土地现状</w:t>
      </w:r>
    </w:p>
    <w:p>
      <w:pPr>
        <w:rPr>
          <w:rFonts w:hint="eastAsia" w:ascii="仿宋_GB2312" w:hAnsi="仿宋_GB2312" w:eastAsia="仿宋_GB2312"/>
          <w:color w:val="auto"/>
          <w:sz w:val="28"/>
          <w:szCs w:val="28"/>
          <w:lang w:val="en-US" w:eastAsia="zh-CN"/>
        </w:rPr>
      </w:pPr>
      <w:r>
        <w:rPr>
          <w:rFonts w:hint="eastAsia" w:ascii="仿宋_GB2312" w:hAnsi="仿宋_GB2312" w:eastAsia="仿宋_GB2312"/>
          <w:color w:val="auto"/>
          <w:sz w:val="28"/>
          <w:szCs w:val="28"/>
          <w:lang w:eastAsia="zh-CN"/>
        </w:rPr>
        <w:t>　　</w:t>
      </w:r>
      <w:r>
        <w:rPr>
          <w:rFonts w:hint="eastAsia" w:ascii="仿宋_GB2312" w:hAnsi="仿宋_GB2312" w:eastAsia="仿宋_GB2312"/>
          <w:color w:val="auto"/>
          <w:sz w:val="28"/>
          <w:szCs w:val="28"/>
        </w:rPr>
        <w:t>该宗地的权属情况为：</w:t>
      </w:r>
      <w:r>
        <w:rPr>
          <w:rFonts w:hint="eastAsia" w:eastAsia="仿宋_GB2312"/>
          <w:bCs/>
          <w:color w:val="auto"/>
          <w:sz w:val="28"/>
        </w:rPr>
        <w:t>集体经营性建设用地，已由</w:t>
      </w:r>
      <w:r>
        <w:rPr>
          <w:rFonts w:hint="eastAsia" w:eastAsia="仿宋_GB2312"/>
          <w:bCs/>
          <w:color w:val="auto"/>
          <w:sz w:val="28"/>
          <w:lang w:eastAsia="zh-CN"/>
        </w:rPr>
        <w:t>北京汇瀛恒业有限公司</w:t>
      </w:r>
      <w:r>
        <w:rPr>
          <w:rFonts w:hint="eastAsia" w:eastAsia="仿宋_GB2312"/>
          <w:bCs/>
          <w:color w:val="auto"/>
          <w:sz w:val="28"/>
        </w:rPr>
        <w:t>完成该宗地的拆迁、腾退等入市前期相关工作。</w:t>
      </w:r>
      <w:r>
        <w:rPr>
          <w:rFonts w:hint="eastAsia" w:ascii="仿宋_GB2312" w:hAnsi="仿宋_GB2312" w:eastAsia="仿宋_GB2312"/>
          <w:color w:val="auto"/>
          <w:sz w:val="28"/>
          <w:szCs w:val="28"/>
        </w:rPr>
        <w:t>该宗地的现状为：</w:t>
      </w:r>
      <w:r>
        <w:rPr>
          <w:rFonts w:hint="eastAsia" w:ascii="仿宋_GB2312" w:hAnsi="仿宋_GB2312" w:eastAsia="仿宋_GB2312"/>
          <w:color w:val="auto"/>
          <w:sz w:val="28"/>
          <w:szCs w:val="28"/>
          <w:lang w:val="en-US" w:eastAsia="zh-CN"/>
        </w:rPr>
        <w:t>基本达到“场清地平”。</w:t>
      </w:r>
    </w:p>
    <w:p>
      <w:pPr>
        <w:autoSpaceDE w:val="0"/>
        <w:autoSpaceDN w:val="0"/>
        <w:ind w:firstLine="561"/>
        <w:jc w:val="left"/>
        <w:rPr>
          <w:rFonts w:hint="eastAsia" w:eastAsia="仿宋_GB2312"/>
          <w:color w:val="auto"/>
          <w:sz w:val="28"/>
          <w:lang w:val="en-US" w:eastAsia="zh-CN"/>
        </w:rPr>
      </w:pPr>
      <w:r>
        <w:rPr>
          <w:rFonts w:hint="default" w:eastAsia="仿宋_GB2312"/>
          <w:color w:val="auto"/>
          <w:sz w:val="28"/>
        </w:rPr>
        <w:t>项目</w:t>
      </w:r>
      <w:r>
        <w:rPr>
          <w:rFonts w:hint="eastAsia" w:eastAsia="仿宋_GB2312"/>
          <w:color w:val="auto"/>
          <w:sz w:val="28"/>
          <w:lang w:eastAsia="zh-CN"/>
        </w:rPr>
        <w:t>用</w:t>
      </w:r>
      <w:r>
        <w:rPr>
          <w:rFonts w:hint="default" w:eastAsia="仿宋_GB2312"/>
          <w:color w:val="auto"/>
          <w:sz w:val="28"/>
        </w:rPr>
        <w:t>地内有树木（不涉及补偿、不涉及名木古树）、现状道路（断路）、未加固的陡坎(不涉及补偿)、各类管井等市政设施，暂现状保留。</w:t>
      </w:r>
    </w:p>
    <w:p>
      <w:pPr>
        <w:pStyle w:val="9"/>
        <w:numPr>
          <w:ilvl w:val="0"/>
          <w:numId w:val="2"/>
        </w:numPr>
        <w:tabs>
          <w:tab w:val="left" w:pos="1455"/>
          <w:tab w:val="left" w:pos="1785"/>
        </w:tabs>
        <w:spacing w:after="0"/>
        <w:ind w:firstLine="630" w:firstLineChars="225"/>
        <w:rPr>
          <w:rFonts w:eastAsia="仿宋_GB2312"/>
          <w:color w:val="auto"/>
          <w:sz w:val="28"/>
        </w:rPr>
      </w:pPr>
      <w:r>
        <w:rPr>
          <w:rFonts w:hint="eastAsia" w:eastAsia="仿宋_GB2312"/>
          <w:color w:val="auto"/>
          <w:sz w:val="28"/>
        </w:rPr>
        <w:t>宗地开发程度</w:t>
      </w:r>
    </w:p>
    <w:p>
      <w:pPr>
        <w:autoSpaceDE w:val="0"/>
        <w:autoSpaceDN w:val="0"/>
        <w:ind w:firstLine="561"/>
        <w:jc w:val="left"/>
        <w:rPr>
          <w:rFonts w:eastAsia="仿宋_GB2312"/>
          <w:bCs/>
          <w:color w:val="auto"/>
          <w:sz w:val="28"/>
        </w:rPr>
      </w:pPr>
      <w:r>
        <w:rPr>
          <w:rFonts w:hint="eastAsia" w:eastAsia="仿宋_GB2312"/>
          <w:color w:val="auto"/>
          <w:sz w:val="28"/>
        </w:rPr>
        <w:t>该</w:t>
      </w:r>
      <w:r>
        <w:rPr>
          <w:rFonts w:eastAsia="仿宋_GB2312"/>
          <w:color w:val="auto"/>
          <w:sz w:val="28"/>
        </w:rPr>
        <w:t>宗地以</w:t>
      </w:r>
      <w:r>
        <w:rPr>
          <w:rFonts w:hint="eastAsia" w:eastAsia="仿宋_GB2312"/>
          <w:color w:val="auto"/>
          <w:sz w:val="28"/>
        </w:rPr>
        <w:t>临时</w:t>
      </w:r>
      <w:r>
        <w:rPr>
          <w:rFonts w:eastAsia="仿宋_GB2312"/>
          <w:color w:val="auto"/>
          <w:sz w:val="28"/>
        </w:rPr>
        <w:t>“</w:t>
      </w:r>
      <w:r>
        <w:rPr>
          <w:rFonts w:hint="eastAsia" w:eastAsia="仿宋_GB2312"/>
          <w:color w:val="auto"/>
          <w:sz w:val="28"/>
        </w:rPr>
        <w:t>三通一平”（“一平”指除最终可保留及涉及二级开发单位继续使用的地上物外，无其它施工障碍物的场地自然平整。“三通”指通临路、具备临水、临电的接入条件）形式供地，</w:t>
      </w:r>
      <w:r>
        <w:rPr>
          <w:rFonts w:hint="eastAsia" w:eastAsia="仿宋_GB2312"/>
          <w:bCs/>
          <w:color w:val="auto"/>
          <w:sz w:val="28"/>
          <w:lang w:eastAsia="zh-CN"/>
        </w:rPr>
        <w:t>北京汇瀛恒业有限公司</w:t>
      </w:r>
      <w:r>
        <w:rPr>
          <w:rFonts w:hint="eastAsia" w:eastAsia="仿宋_GB2312"/>
          <w:bCs/>
          <w:color w:val="auto"/>
          <w:sz w:val="28"/>
        </w:rPr>
        <w:t>最终在项目竣工验收前向竞得人提供“六通一平”</w:t>
      </w:r>
      <w:r>
        <w:rPr>
          <w:rFonts w:hint="eastAsia" w:ascii="Times New Roman" w:hAnsi="Times New Roman" w:eastAsia="仿宋_GB2312" w:cs="Times New Roman"/>
          <w:color w:val="auto"/>
          <w:sz w:val="28"/>
          <w:lang w:eastAsia="zh-CN"/>
        </w:rPr>
        <w:t>（“六通”是指通路、通上水(自来水、中水)、通下水(雨水、污水)、通电(仅管沟)、通讯(电信、有线电视）、通燃气的条件。“一平”指除最终可保留及涉及二级开发单位继续使用的地上物外，无其他施工障碍物的场地自然平整)</w:t>
      </w:r>
      <w:r>
        <w:rPr>
          <w:rFonts w:hint="eastAsia" w:eastAsia="仿宋_GB2312"/>
          <w:bCs/>
          <w:color w:val="auto"/>
          <w:sz w:val="28"/>
        </w:rPr>
        <w:t>条件的宗地</w:t>
      </w:r>
      <w:r>
        <w:rPr>
          <w:rFonts w:hint="eastAsia" w:ascii="Times New Roman" w:hAnsi="Times New Roman" w:eastAsia="仿宋_GB2312" w:cs="Times New Roman"/>
          <w:color w:val="auto"/>
          <w:sz w:val="28"/>
          <w:lang w:eastAsia="zh-CN"/>
        </w:rPr>
        <w:t>。</w:t>
      </w:r>
      <w:r>
        <w:rPr>
          <w:rFonts w:hint="eastAsia" w:ascii="Times New Roman" w:hAnsi="Times New Roman" w:eastAsia="仿宋_GB2312" w:cs="Times New Roman"/>
          <w:color w:val="auto"/>
          <w:sz w:val="28"/>
          <w:lang w:val="en-US" w:eastAsia="zh-CN"/>
        </w:rPr>
        <w:t>北京汇瀛恒业有限</w:t>
      </w:r>
      <w:r>
        <w:rPr>
          <w:rFonts w:hint="eastAsia" w:ascii="Times New Roman" w:hAnsi="Times New Roman" w:eastAsia="仿宋_GB2312" w:cs="Times New Roman"/>
          <w:color w:val="auto"/>
          <w:sz w:val="28"/>
          <w:lang w:eastAsia="zh-CN"/>
        </w:rPr>
        <w:t>公司将协助竞得人完成各种市政设施的接用工作，接用及报装费用由竞得人承担。具体情</w:t>
      </w:r>
      <w:r>
        <w:rPr>
          <w:rFonts w:hint="eastAsia" w:eastAsia="仿宋_GB2312"/>
          <w:bCs/>
          <w:color w:val="auto"/>
          <w:sz w:val="28"/>
        </w:rPr>
        <w:t>况如下：</w:t>
      </w:r>
    </w:p>
    <w:p>
      <w:pPr>
        <w:autoSpaceDE w:val="0"/>
        <w:autoSpaceDN w:val="0"/>
        <w:ind w:firstLine="561"/>
        <w:jc w:val="left"/>
        <w:rPr>
          <w:rFonts w:hint="eastAsia" w:eastAsia="仿宋_GB2312"/>
          <w:color w:val="auto"/>
          <w:sz w:val="28"/>
          <w:lang w:val="en-US" w:eastAsia="zh-CN"/>
        </w:rPr>
      </w:pPr>
      <w:r>
        <w:rPr>
          <w:rFonts w:hint="eastAsia" w:eastAsia="仿宋_GB2312"/>
          <w:color w:val="auto"/>
          <w:sz w:val="28"/>
          <w:lang w:val="en-US" w:eastAsia="zh-CN"/>
        </w:rPr>
        <w:t>一、道路情况</w:t>
      </w:r>
    </w:p>
    <w:p>
      <w:pPr>
        <w:autoSpaceDE w:val="0"/>
        <w:autoSpaceDN w:val="0"/>
        <w:ind w:firstLine="561"/>
        <w:jc w:val="left"/>
        <w:rPr>
          <w:rFonts w:hint="eastAsia" w:eastAsia="仿宋_GB2312"/>
          <w:color w:val="auto"/>
          <w:sz w:val="28"/>
          <w:lang w:val="en-US" w:eastAsia="zh-CN"/>
        </w:rPr>
      </w:pPr>
      <w:r>
        <w:rPr>
          <w:rFonts w:hint="eastAsia" w:eastAsia="仿宋_GB2312"/>
          <w:color w:val="auto"/>
          <w:sz w:val="28"/>
          <w:lang w:val="en-US" w:eastAsia="zh-CN"/>
        </w:rPr>
        <w:t>1、瀛祥路：现状为一幅路型式，车行道宽12米，路面为沥青混凝土路面，两侧无人行道。（已按规划实施，部分路段未实施人行道）</w:t>
      </w:r>
    </w:p>
    <w:p>
      <w:pPr>
        <w:autoSpaceDE w:val="0"/>
        <w:autoSpaceDN w:val="0"/>
        <w:ind w:firstLine="560" w:firstLineChars="200"/>
        <w:jc w:val="left"/>
        <w:rPr>
          <w:rFonts w:hint="eastAsia" w:eastAsia="仿宋_GB2312"/>
          <w:color w:val="auto"/>
          <w:sz w:val="28"/>
          <w:lang w:val="en-US" w:eastAsia="zh-CN"/>
        </w:rPr>
      </w:pPr>
      <w:r>
        <w:rPr>
          <w:rFonts w:hint="eastAsia" w:eastAsia="仿宋_GB2312"/>
          <w:color w:val="auto"/>
          <w:sz w:val="28"/>
          <w:lang w:val="en-US" w:eastAsia="zh-CN"/>
        </w:rPr>
        <w:t>2、瀛成路（原规划二路）：规划为城市支路，车行道宽12米，两侧人行道4米。</w:t>
      </w:r>
    </w:p>
    <w:p>
      <w:pPr>
        <w:autoSpaceDE w:val="0"/>
        <w:autoSpaceDN w:val="0"/>
        <w:ind w:firstLine="560" w:firstLineChars="200"/>
        <w:jc w:val="left"/>
        <w:rPr>
          <w:rFonts w:hint="eastAsia" w:eastAsia="仿宋_GB2312"/>
          <w:color w:val="auto"/>
          <w:sz w:val="28"/>
          <w:lang w:val="en-US" w:eastAsia="zh-CN"/>
        </w:rPr>
      </w:pPr>
      <w:r>
        <w:rPr>
          <w:rFonts w:hint="eastAsia" w:eastAsia="仿宋_GB2312"/>
          <w:color w:val="auto"/>
          <w:sz w:val="28"/>
          <w:lang w:val="en-US" w:eastAsia="zh-CN"/>
        </w:rPr>
        <w:t>3、瀛坤路：规划为城市次干路，车行道宽21米，两侧人行道宽4.5米。</w:t>
      </w:r>
    </w:p>
    <w:p>
      <w:pPr>
        <w:autoSpaceDE w:val="0"/>
        <w:autoSpaceDN w:val="0"/>
        <w:ind w:firstLine="560" w:firstLineChars="200"/>
        <w:jc w:val="left"/>
        <w:rPr>
          <w:rFonts w:hint="eastAsia" w:eastAsia="仿宋_GB2312"/>
          <w:color w:val="auto"/>
          <w:sz w:val="28"/>
          <w:lang w:val="en-US" w:eastAsia="zh-CN"/>
        </w:rPr>
      </w:pPr>
      <w:r>
        <w:rPr>
          <w:rFonts w:hint="eastAsia" w:eastAsia="仿宋_GB2312"/>
          <w:color w:val="auto"/>
          <w:sz w:val="28"/>
          <w:lang w:val="en-US" w:eastAsia="zh-CN"/>
        </w:rPr>
        <w:t>4、瀛元街：规划为城市支路，车行道宽12米，两侧人行道宽4米。</w:t>
      </w:r>
    </w:p>
    <w:p>
      <w:pPr>
        <w:autoSpaceDE w:val="0"/>
        <w:autoSpaceDN w:val="0"/>
        <w:ind w:firstLine="561"/>
        <w:jc w:val="left"/>
        <w:rPr>
          <w:rFonts w:hint="eastAsia" w:eastAsia="仿宋_GB2312"/>
          <w:color w:val="auto"/>
          <w:sz w:val="28"/>
          <w:lang w:val="en-US" w:eastAsia="zh-CN"/>
        </w:rPr>
      </w:pPr>
      <w:r>
        <w:rPr>
          <w:rFonts w:hint="eastAsia" w:eastAsia="仿宋_GB2312"/>
          <w:color w:val="auto"/>
          <w:sz w:val="28"/>
          <w:lang w:val="en-US" w:eastAsia="zh-CN"/>
        </w:rPr>
        <w:t>二、配套管线</w:t>
      </w:r>
    </w:p>
    <w:p>
      <w:pPr>
        <w:autoSpaceDE w:val="0"/>
        <w:autoSpaceDN w:val="0"/>
        <w:ind w:firstLine="561"/>
        <w:jc w:val="left"/>
        <w:rPr>
          <w:rFonts w:hint="eastAsia" w:eastAsia="仿宋_GB2312"/>
          <w:color w:val="auto"/>
          <w:sz w:val="28"/>
          <w:lang w:val="en-US" w:eastAsia="zh-CN"/>
        </w:rPr>
      </w:pPr>
      <w:r>
        <w:rPr>
          <w:rFonts w:hint="eastAsia" w:eastAsia="仿宋_GB2312"/>
          <w:color w:val="auto"/>
          <w:sz w:val="28"/>
          <w:lang w:val="en-US" w:eastAsia="zh-CN"/>
        </w:rPr>
        <w:t>（一）通上水方案</w:t>
      </w:r>
    </w:p>
    <w:p>
      <w:pPr>
        <w:autoSpaceDE w:val="0"/>
        <w:autoSpaceDN w:val="0"/>
        <w:ind w:firstLine="561"/>
        <w:jc w:val="left"/>
        <w:rPr>
          <w:rFonts w:hint="eastAsia" w:eastAsia="仿宋_GB2312"/>
          <w:color w:val="auto"/>
          <w:sz w:val="28"/>
          <w:lang w:val="en-US" w:eastAsia="zh-CN"/>
        </w:rPr>
      </w:pPr>
      <w:r>
        <w:rPr>
          <w:rFonts w:hint="eastAsia" w:eastAsia="仿宋_GB2312"/>
          <w:color w:val="auto"/>
          <w:sz w:val="28"/>
          <w:lang w:val="en-US" w:eastAsia="zh-CN"/>
        </w:rPr>
        <w:t>1、给水方案</w:t>
      </w:r>
    </w:p>
    <w:p>
      <w:pPr>
        <w:autoSpaceDE w:val="0"/>
        <w:autoSpaceDN w:val="0"/>
        <w:ind w:firstLine="561"/>
        <w:jc w:val="left"/>
        <w:rPr>
          <w:rFonts w:hint="eastAsia" w:eastAsia="仿宋_GB2312"/>
          <w:color w:val="auto"/>
          <w:sz w:val="28"/>
          <w:lang w:val="en-US" w:eastAsia="zh-CN"/>
        </w:rPr>
      </w:pPr>
      <w:r>
        <w:rPr>
          <w:rFonts w:hint="eastAsia" w:eastAsia="仿宋_GB2312"/>
          <w:color w:val="auto"/>
          <w:sz w:val="28"/>
          <w:lang w:val="en-US" w:eastAsia="zh-CN"/>
        </w:rPr>
        <w:t>（1）现状</w:t>
      </w:r>
    </w:p>
    <w:p>
      <w:pPr>
        <w:autoSpaceDE w:val="0"/>
        <w:autoSpaceDN w:val="0"/>
        <w:ind w:firstLine="561"/>
        <w:jc w:val="left"/>
        <w:rPr>
          <w:rFonts w:hint="eastAsia" w:eastAsia="仿宋_GB2312"/>
          <w:color w:val="auto"/>
          <w:sz w:val="28"/>
          <w:lang w:val="en-US" w:eastAsia="zh-CN"/>
        </w:rPr>
      </w:pPr>
      <w:r>
        <w:rPr>
          <w:rFonts w:hint="eastAsia" w:eastAsia="仿宋_GB2312"/>
          <w:color w:val="auto"/>
          <w:sz w:val="28"/>
          <w:lang w:val="en-US" w:eastAsia="zh-CN"/>
        </w:rPr>
        <w:t>沿灜坤路（瀛永街~瀛昌街）分别有现状DN200mm、DN300mm供水管道，沿瀛元街（瀛祥路~瀛福路）有现状DN300mm~DN400mm供水管道，沿瀛祥路（瀛元街~瀛亨街）有DN400mm现状供水管道。本项目由规划亦庄地表水厂和当地地下水联合调度供水。瀛海西区现状地下水水厂规划予以保留，作为应急备用水源。</w:t>
      </w:r>
    </w:p>
    <w:p>
      <w:pPr>
        <w:autoSpaceDE w:val="0"/>
        <w:autoSpaceDN w:val="0"/>
        <w:ind w:firstLine="561"/>
        <w:jc w:val="left"/>
        <w:rPr>
          <w:rFonts w:hint="eastAsia" w:eastAsia="仿宋_GB2312"/>
          <w:color w:val="auto"/>
          <w:sz w:val="28"/>
          <w:lang w:val="en-US" w:eastAsia="zh-CN"/>
        </w:rPr>
      </w:pPr>
      <w:r>
        <w:rPr>
          <w:rFonts w:hint="eastAsia" w:eastAsia="仿宋_GB2312"/>
          <w:color w:val="auto"/>
          <w:sz w:val="28"/>
          <w:lang w:val="en-US" w:eastAsia="zh-CN"/>
        </w:rPr>
        <w:t>（2）规划方案</w:t>
      </w:r>
    </w:p>
    <w:p>
      <w:pPr>
        <w:autoSpaceDE w:val="0"/>
        <w:autoSpaceDN w:val="0"/>
        <w:ind w:firstLine="561"/>
        <w:jc w:val="left"/>
        <w:rPr>
          <w:rFonts w:hint="eastAsia" w:eastAsia="仿宋_GB2312"/>
          <w:color w:val="auto"/>
          <w:sz w:val="28"/>
          <w:lang w:val="en-US" w:eastAsia="zh-CN"/>
        </w:rPr>
      </w:pPr>
      <w:r>
        <w:rPr>
          <w:rFonts w:hint="eastAsia" w:eastAsia="仿宋_GB2312"/>
          <w:color w:val="auto"/>
          <w:sz w:val="28"/>
          <w:lang w:val="en-US" w:eastAsia="zh-CN"/>
        </w:rPr>
        <w:t>规划沿灜坤路（瀛昌街~瀛亨街）新建DN300mm给水管道，沿瀛元街（瀛达路~瀛祥路）新建DN200mm给水管道，沿瀛成路（原规划二路，瀛达路~瀛祥路）新建DN200mm给水管道，沿瀛祥路（瀛元街~瀛亨街）。（管径位置及大小以项目路段竣工验收数据为准）</w:t>
      </w:r>
    </w:p>
    <w:p>
      <w:pPr>
        <w:autoSpaceDE w:val="0"/>
        <w:autoSpaceDN w:val="0"/>
        <w:ind w:firstLine="561"/>
        <w:jc w:val="left"/>
        <w:rPr>
          <w:rFonts w:hint="eastAsia" w:eastAsia="仿宋_GB2312"/>
          <w:color w:val="auto"/>
          <w:sz w:val="28"/>
          <w:lang w:val="en-US" w:eastAsia="zh-CN"/>
        </w:rPr>
      </w:pPr>
      <w:r>
        <w:rPr>
          <w:rFonts w:hint="eastAsia" w:eastAsia="仿宋_GB2312"/>
          <w:color w:val="auto"/>
          <w:sz w:val="28"/>
          <w:lang w:val="en-US" w:eastAsia="zh-CN"/>
        </w:rPr>
        <w:t>2、再生水方案</w:t>
      </w:r>
    </w:p>
    <w:p>
      <w:pPr>
        <w:autoSpaceDE w:val="0"/>
        <w:autoSpaceDN w:val="0"/>
        <w:ind w:firstLine="561"/>
        <w:jc w:val="left"/>
        <w:rPr>
          <w:rFonts w:hint="eastAsia" w:eastAsia="仿宋_GB2312"/>
          <w:color w:val="auto"/>
          <w:sz w:val="28"/>
          <w:lang w:val="en-US" w:eastAsia="zh-CN"/>
        </w:rPr>
      </w:pPr>
      <w:r>
        <w:rPr>
          <w:rFonts w:hint="eastAsia" w:eastAsia="仿宋_GB2312"/>
          <w:color w:val="auto"/>
          <w:sz w:val="28"/>
          <w:lang w:val="en-US" w:eastAsia="zh-CN"/>
        </w:rPr>
        <w:t>项目范围内灜坤路、瀛祥路分别建有DN200mm再生水管道。</w:t>
      </w:r>
    </w:p>
    <w:p>
      <w:pPr>
        <w:autoSpaceDE w:val="0"/>
        <w:autoSpaceDN w:val="0"/>
        <w:ind w:firstLine="561"/>
        <w:jc w:val="left"/>
        <w:rPr>
          <w:rFonts w:hint="eastAsia" w:eastAsia="仿宋_GB2312"/>
          <w:color w:val="auto"/>
          <w:sz w:val="28"/>
          <w:lang w:val="en-US" w:eastAsia="zh-CN"/>
        </w:rPr>
      </w:pPr>
      <w:r>
        <w:rPr>
          <w:rFonts w:hint="eastAsia" w:eastAsia="仿宋_GB2312"/>
          <w:color w:val="auto"/>
          <w:sz w:val="28"/>
          <w:lang w:val="en-US" w:eastAsia="zh-CN"/>
        </w:rPr>
        <w:t>规划在瀛海镇污水处理厂的基础上建设再生水处理厂。规划沿灜坤路（瀛昌街~瀛亨街）新建DN500mm再生水管道，沿瀛元街（瀛达路~瀛祥路）新建DN200mm再生水管道，沿瀛成路（原规划二路，瀛达路~瀛祥路）新建DN200mm再生水管道，沿瀛祥路（瀛元街~瀛亨街）新建DN300mm再生水管道，并在新建管道上向本项目引入DN150mm再生水支线并设置支线闸，以供地块用水。（管径位置及大小以项目路段竣工验收数据为准）</w:t>
      </w:r>
    </w:p>
    <w:p>
      <w:pPr>
        <w:autoSpaceDE w:val="0"/>
        <w:autoSpaceDN w:val="0"/>
        <w:ind w:firstLine="561"/>
        <w:jc w:val="left"/>
        <w:rPr>
          <w:rFonts w:hint="eastAsia" w:eastAsia="仿宋_GB2312"/>
          <w:color w:val="auto"/>
          <w:sz w:val="28"/>
          <w:lang w:val="en-US" w:eastAsia="zh-CN"/>
        </w:rPr>
      </w:pPr>
      <w:r>
        <w:rPr>
          <w:rFonts w:hint="eastAsia" w:eastAsia="仿宋_GB2312"/>
          <w:color w:val="auto"/>
          <w:sz w:val="28"/>
          <w:lang w:val="en-US" w:eastAsia="zh-CN"/>
        </w:rPr>
        <w:t>（二）通下水方案</w:t>
      </w:r>
    </w:p>
    <w:p>
      <w:pPr>
        <w:autoSpaceDE w:val="0"/>
        <w:autoSpaceDN w:val="0"/>
        <w:ind w:firstLine="561"/>
        <w:jc w:val="left"/>
        <w:rPr>
          <w:rFonts w:hint="eastAsia" w:eastAsia="仿宋_GB2312"/>
          <w:color w:val="auto"/>
          <w:sz w:val="28"/>
          <w:lang w:val="en-US" w:eastAsia="zh-CN"/>
        </w:rPr>
      </w:pPr>
      <w:r>
        <w:rPr>
          <w:rFonts w:hint="eastAsia" w:eastAsia="仿宋_GB2312"/>
          <w:color w:val="auto"/>
          <w:sz w:val="28"/>
          <w:lang w:val="en-US" w:eastAsia="zh-CN"/>
        </w:rPr>
        <w:t>1、雨水方案</w:t>
      </w:r>
    </w:p>
    <w:p>
      <w:pPr>
        <w:autoSpaceDE w:val="0"/>
        <w:autoSpaceDN w:val="0"/>
        <w:ind w:firstLine="561"/>
        <w:jc w:val="left"/>
        <w:rPr>
          <w:rFonts w:hint="eastAsia" w:eastAsia="仿宋_GB2312"/>
          <w:color w:val="auto"/>
          <w:sz w:val="28"/>
          <w:lang w:val="en-US" w:eastAsia="zh-CN"/>
        </w:rPr>
      </w:pPr>
      <w:r>
        <w:rPr>
          <w:rFonts w:hint="eastAsia" w:eastAsia="仿宋_GB2312"/>
          <w:color w:val="auto"/>
          <w:sz w:val="28"/>
          <w:lang w:val="en-US" w:eastAsia="zh-CN"/>
        </w:rPr>
        <w:t>本地块雨水属于安南支沟的流域范围，雨水最终排入安南支沟。项目范围内瀛祥路有现状d600mm~□2000×1800mm雨水管道，下游接入现状安南支沟。</w:t>
      </w:r>
    </w:p>
    <w:p>
      <w:pPr>
        <w:autoSpaceDE w:val="0"/>
        <w:autoSpaceDN w:val="0"/>
        <w:ind w:firstLine="561"/>
        <w:jc w:val="left"/>
        <w:rPr>
          <w:rFonts w:hint="eastAsia" w:eastAsia="仿宋_GB2312"/>
          <w:color w:val="auto"/>
          <w:sz w:val="28"/>
          <w:lang w:val="en-US" w:eastAsia="zh-CN"/>
        </w:rPr>
      </w:pPr>
      <w:r>
        <w:rPr>
          <w:rFonts w:hint="eastAsia" w:eastAsia="仿宋_GB2312"/>
          <w:color w:val="auto"/>
          <w:sz w:val="28"/>
          <w:lang w:val="en-US" w:eastAsia="zh-CN"/>
        </w:rPr>
        <w:t>规划沿灜坤路（瀛昌街~瀛亨街）新建d1800mm~□3800×2000mm雨水管道，沿瀛成路（原规划二路，瀛达路~瀛祥路）新建d1400mm雨水管道，沿瀛祥路（瀛元街~瀛亨街）新建□4400×1800mm~2□2800×1800mm雨水管道。（管径位置及大小以项目路段竣工验收数据为准）</w:t>
      </w:r>
    </w:p>
    <w:p>
      <w:pPr>
        <w:autoSpaceDE w:val="0"/>
        <w:autoSpaceDN w:val="0"/>
        <w:jc w:val="left"/>
        <w:rPr>
          <w:rFonts w:hint="eastAsia" w:eastAsia="仿宋_GB2312"/>
          <w:color w:val="auto"/>
          <w:sz w:val="28"/>
          <w:lang w:val="en-US" w:eastAsia="zh-CN"/>
        </w:rPr>
      </w:pPr>
      <w:r>
        <w:rPr>
          <w:rFonts w:hint="eastAsia" w:eastAsia="仿宋_GB2312"/>
          <w:color w:val="auto"/>
          <w:sz w:val="28"/>
          <w:lang w:val="en-US" w:eastAsia="zh-CN"/>
        </w:rPr>
        <w:t>2、污水方案</w:t>
      </w:r>
    </w:p>
    <w:p>
      <w:pPr>
        <w:autoSpaceDE w:val="0"/>
        <w:autoSpaceDN w:val="0"/>
        <w:ind w:firstLine="561"/>
        <w:jc w:val="left"/>
        <w:rPr>
          <w:rFonts w:hint="eastAsia" w:eastAsia="仿宋_GB2312"/>
          <w:color w:val="auto"/>
          <w:sz w:val="28"/>
          <w:lang w:val="en-US" w:eastAsia="zh-CN"/>
        </w:rPr>
      </w:pPr>
      <w:r>
        <w:rPr>
          <w:rFonts w:hint="eastAsia" w:eastAsia="仿宋_GB2312"/>
          <w:color w:val="auto"/>
          <w:sz w:val="28"/>
          <w:lang w:val="en-US" w:eastAsia="zh-CN"/>
        </w:rPr>
        <w:t>现状项目范围内沿瀛祥路，自瀛永街至104国道西侧绿化带有d400mm~d800mm污水管道，接入104国道西侧绿化带内现状污水干管。</w:t>
      </w:r>
    </w:p>
    <w:p>
      <w:pPr>
        <w:autoSpaceDE w:val="0"/>
        <w:autoSpaceDN w:val="0"/>
        <w:ind w:firstLine="561"/>
        <w:jc w:val="left"/>
        <w:rPr>
          <w:rFonts w:hint="eastAsia" w:eastAsia="仿宋_GB2312"/>
          <w:color w:val="auto"/>
          <w:sz w:val="28"/>
          <w:lang w:val="en-US" w:eastAsia="zh-CN"/>
        </w:rPr>
      </w:pPr>
      <w:r>
        <w:rPr>
          <w:rFonts w:hint="eastAsia" w:eastAsia="仿宋_GB2312"/>
          <w:color w:val="auto"/>
          <w:sz w:val="28"/>
          <w:lang w:val="en-US" w:eastAsia="zh-CN"/>
        </w:rPr>
        <w:t>本项目范围内污水排除属于规划瀛海镇污水处理厂收集范围。规划沿灜坤路（瀛昌街~瀛亨街）新建d400mm~d800mm污水管道，沿瀛元街（瀛达路~瀛祥路）新建d400mm污水管道，沿瀛成路（原规划二路，瀛达路~瀛祥路）新建d400mm污水管道，瀛祥路（瀛元街~瀛亨街）有现状d400mm污水管道。（管径位置及大小以项目路段竣工验收数据为准）</w:t>
      </w:r>
    </w:p>
    <w:p>
      <w:pPr>
        <w:autoSpaceDE w:val="0"/>
        <w:autoSpaceDN w:val="0"/>
        <w:jc w:val="left"/>
        <w:rPr>
          <w:rFonts w:hint="eastAsia" w:eastAsia="仿宋_GB2312"/>
          <w:color w:val="auto"/>
          <w:sz w:val="28"/>
          <w:lang w:val="en-US" w:eastAsia="zh-CN"/>
        </w:rPr>
      </w:pPr>
      <w:r>
        <w:rPr>
          <w:rFonts w:hint="eastAsia" w:eastAsia="仿宋_GB2312"/>
          <w:color w:val="auto"/>
          <w:sz w:val="28"/>
          <w:lang w:val="en-US" w:eastAsia="zh-CN"/>
        </w:rPr>
        <w:t>（三）电力方案</w:t>
      </w:r>
    </w:p>
    <w:p>
      <w:pPr>
        <w:autoSpaceDE w:val="0"/>
        <w:autoSpaceDN w:val="0"/>
        <w:ind w:firstLine="561"/>
        <w:jc w:val="left"/>
        <w:rPr>
          <w:rFonts w:hint="eastAsia" w:eastAsia="仿宋_GB2312"/>
          <w:color w:val="auto"/>
          <w:sz w:val="28"/>
          <w:lang w:val="en-US" w:eastAsia="zh-CN"/>
        </w:rPr>
      </w:pPr>
      <w:r>
        <w:rPr>
          <w:rFonts w:hint="eastAsia" w:eastAsia="仿宋_GB2312"/>
          <w:color w:val="auto"/>
          <w:sz w:val="28"/>
          <w:lang w:val="en-US" w:eastAsia="zh-CN"/>
        </w:rPr>
        <w:t>项目区周边的瀛坤路、规划二路、瀛元街上规划有dn150×12+dn100×2的电力管块，瀛祥路上规划有2.0M×2.1M电力方沟。</w:t>
      </w:r>
    </w:p>
    <w:p>
      <w:pPr>
        <w:autoSpaceDE w:val="0"/>
        <w:autoSpaceDN w:val="0"/>
        <w:ind w:firstLine="561"/>
        <w:jc w:val="left"/>
        <w:rPr>
          <w:rFonts w:hint="eastAsia" w:eastAsia="仿宋_GB2312"/>
          <w:color w:val="auto"/>
          <w:sz w:val="28"/>
          <w:lang w:val="en-US" w:eastAsia="zh-CN"/>
        </w:rPr>
      </w:pPr>
      <w:r>
        <w:rPr>
          <w:rFonts w:hint="eastAsia" w:eastAsia="仿宋_GB2312"/>
          <w:color w:val="auto"/>
          <w:sz w:val="28"/>
          <w:lang w:val="en-US" w:eastAsia="zh-CN"/>
        </w:rPr>
        <w:t>地区电源主要由项目东南约500米处同心庄110千伏变电站提供，以及镇区内瀛海110千伏变电站，同时为项目区供电。</w:t>
      </w:r>
    </w:p>
    <w:p>
      <w:pPr>
        <w:autoSpaceDE w:val="0"/>
        <w:autoSpaceDN w:val="0"/>
        <w:jc w:val="left"/>
        <w:rPr>
          <w:rFonts w:hint="eastAsia" w:eastAsia="仿宋_GB2312"/>
          <w:color w:val="auto"/>
          <w:sz w:val="28"/>
          <w:lang w:val="en-US" w:eastAsia="zh-CN"/>
        </w:rPr>
      </w:pPr>
      <w:r>
        <w:rPr>
          <w:rFonts w:hint="eastAsia" w:eastAsia="仿宋_GB2312"/>
          <w:color w:val="auto"/>
          <w:sz w:val="28"/>
          <w:lang w:val="en-US" w:eastAsia="zh-CN"/>
        </w:rPr>
        <w:t>（四）通讯方案（电信、有线电视工程方案）</w:t>
      </w:r>
    </w:p>
    <w:p>
      <w:pPr>
        <w:autoSpaceDE w:val="0"/>
        <w:autoSpaceDN w:val="0"/>
        <w:ind w:firstLine="561"/>
        <w:jc w:val="left"/>
        <w:rPr>
          <w:rFonts w:hint="eastAsia" w:eastAsia="仿宋_GB2312"/>
          <w:color w:val="auto"/>
          <w:sz w:val="28"/>
          <w:lang w:val="en-US" w:eastAsia="zh-CN"/>
        </w:rPr>
      </w:pPr>
      <w:r>
        <w:rPr>
          <w:rFonts w:hint="eastAsia" w:eastAsia="仿宋_GB2312"/>
          <w:color w:val="auto"/>
          <w:sz w:val="28"/>
          <w:lang w:val="en-US" w:eastAsia="zh-CN"/>
        </w:rPr>
        <w:t>本项目范围内瀛元街、灜坤路、瀛祥路有现状电信管道。</w:t>
      </w:r>
    </w:p>
    <w:p>
      <w:pPr>
        <w:autoSpaceDE w:val="0"/>
        <w:autoSpaceDN w:val="0"/>
        <w:ind w:firstLine="561"/>
        <w:jc w:val="left"/>
        <w:rPr>
          <w:rFonts w:hint="eastAsia" w:eastAsia="仿宋_GB2312"/>
          <w:color w:val="auto"/>
          <w:sz w:val="28"/>
          <w:lang w:val="en-US" w:eastAsia="zh-CN"/>
        </w:rPr>
      </w:pPr>
      <w:r>
        <w:rPr>
          <w:rFonts w:hint="eastAsia" w:eastAsia="仿宋_GB2312"/>
          <w:color w:val="auto"/>
          <w:sz w:val="28"/>
          <w:lang w:val="en-US" w:eastAsia="zh-CN"/>
        </w:rPr>
        <w:t>规划沿规划一路、瀛成路（原规划二路）、瀛瑞街、瀛亨街、瀛达路、灜坤路、瀛祥路、瀛元街新建12孔电信管道。</w:t>
      </w:r>
    </w:p>
    <w:p>
      <w:pPr>
        <w:autoSpaceDE w:val="0"/>
        <w:autoSpaceDN w:val="0"/>
        <w:ind w:firstLine="561"/>
        <w:jc w:val="left"/>
        <w:rPr>
          <w:rFonts w:hint="eastAsia" w:eastAsia="仿宋_GB2312"/>
          <w:color w:val="auto"/>
          <w:sz w:val="28"/>
          <w:lang w:val="en-US" w:eastAsia="zh-CN"/>
        </w:rPr>
      </w:pPr>
      <w:r>
        <w:rPr>
          <w:rFonts w:hint="eastAsia" w:eastAsia="仿宋_GB2312"/>
          <w:color w:val="auto"/>
          <w:sz w:val="28"/>
          <w:lang w:val="en-US" w:eastAsia="zh-CN"/>
        </w:rPr>
        <w:t>规划沿瀛祥路、瀛亨街新建2孔有线电视管道；沿规划一路、规划二路、瀛元街、瀛达路、灜坤路新建1孔有线电视管道。可通过上述管线从瀛海有线电视机房引入线缆解决本项目有线电视需求。</w:t>
      </w:r>
    </w:p>
    <w:p>
      <w:pPr>
        <w:autoSpaceDE w:val="0"/>
        <w:autoSpaceDN w:val="0"/>
        <w:jc w:val="left"/>
        <w:rPr>
          <w:rFonts w:hint="eastAsia" w:eastAsia="仿宋_GB2312"/>
          <w:color w:val="auto"/>
          <w:sz w:val="28"/>
          <w:lang w:val="en-US" w:eastAsia="zh-CN"/>
        </w:rPr>
      </w:pPr>
      <w:r>
        <w:rPr>
          <w:rFonts w:hint="eastAsia" w:eastAsia="仿宋_GB2312"/>
          <w:color w:val="auto"/>
          <w:sz w:val="28"/>
          <w:lang w:val="en-US" w:eastAsia="zh-CN"/>
        </w:rPr>
        <w:t>（五）燃气方案</w:t>
      </w:r>
    </w:p>
    <w:p>
      <w:pPr>
        <w:autoSpaceDE w:val="0"/>
        <w:autoSpaceDN w:val="0"/>
        <w:ind w:firstLine="561"/>
        <w:jc w:val="left"/>
        <w:rPr>
          <w:rFonts w:hint="eastAsia" w:eastAsia="仿宋_GB2312"/>
          <w:color w:val="auto"/>
          <w:sz w:val="28"/>
          <w:lang w:val="en-US" w:eastAsia="zh-CN"/>
        </w:rPr>
      </w:pPr>
      <w:r>
        <w:rPr>
          <w:rFonts w:hint="eastAsia" w:eastAsia="仿宋_GB2312"/>
          <w:color w:val="auto"/>
          <w:sz w:val="28"/>
          <w:lang w:val="en-US" w:eastAsia="zh-CN"/>
        </w:rPr>
        <w:t>本项目东侧瀛元街、瀛昌街、104国道有现状DN400mm—DN500mm中压燃气管线，瀛元街有现状次高压A调压箱。</w:t>
      </w:r>
    </w:p>
    <w:p>
      <w:pPr>
        <w:autoSpaceDE w:val="0"/>
        <w:autoSpaceDN w:val="0"/>
        <w:ind w:firstLine="561"/>
        <w:jc w:val="left"/>
        <w:rPr>
          <w:rFonts w:hint="eastAsia" w:eastAsia="仿宋_GB2312"/>
          <w:color w:val="auto"/>
          <w:sz w:val="28"/>
          <w:lang w:val="en-US" w:eastAsia="zh-CN"/>
        </w:rPr>
      </w:pPr>
      <w:r>
        <w:rPr>
          <w:rFonts w:hint="eastAsia" w:eastAsia="仿宋_GB2312"/>
          <w:color w:val="auto"/>
          <w:sz w:val="28"/>
          <w:lang w:val="en-US" w:eastAsia="zh-CN"/>
        </w:rPr>
        <w:t>规划沿瀛元街、瀛昌街、灜坤路新建DN400mm中压燃气管道，沿瀛亨街新建DN300mm中压燃气管道。（管径位置及大小以项目路段竣工验收数据为准）</w:t>
      </w:r>
    </w:p>
    <w:p>
      <w:pPr>
        <w:autoSpaceDE w:val="0"/>
        <w:autoSpaceDN w:val="0"/>
        <w:ind w:firstLine="561"/>
        <w:jc w:val="left"/>
        <w:rPr>
          <w:rFonts w:hint="eastAsia" w:eastAsia="仿宋_GB2312"/>
          <w:color w:val="auto"/>
          <w:sz w:val="28"/>
        </w:rPr>
      </w:pPr>
      <w:r>
        <w:rPr>
          <w:rFonts w:hint="eastAsia" w:eastAsia="仿宋_GB2312"/>
          <w:color w:val="auto"/>
          <w:sz w:val="28"/>
          <w:lang w:val="en-US" w:eastAsia="zh-CN"/>
        </w:rPr>
        <w:t>最终以市政竣工验收报告为准。</w:t>
      </w:r>
    </w:p>
    <w:p>
      <w:pPr>
        <w:pStyle w:val="9"/>
        <w:numPr>
          <w:ilvl w:val="0"/>
          <w:numId w:val="2"/>
        </w:numPr>
        <w:tabs>
          <w:tab w:val="left" w:pos="1455"/>
          <w:tab w:val="left" w:pos="1785"/>
        </w:tabs>
        <w:spacing w:after="0"/>
        <w:rPr>
          <w:rFonts w:eastAsia="仿宋_GB2312"/>
          <w:color w:val="auto"/>
          <w:sz w:val="28"/>
        </w:rPr>
      </w:pPr>
      <w:r>
        <w:rPr>
          <w:rFonts w:eastAsia="仿宋_GB2312"/>
          <w:color w:val="auto"/>
          <w:sz w:val="28"/>
        </w:rPr>
        <w:t>出让宗地</w:t>
      </w:r>
      <w:r>
        <w:rPr>
          <w:rFonts w:hint="eastAsia" w:eastAsia="仿宋_GB2312"/>
          <w:color w:val="auto"/>
          <w:sz w:val="28"/>
        </w:rPr>
        <w:t>政策条件</w:t>
      </w:r>
    </w:p>
    <w:p>
      <w:pPr>
        <w:numPr>
          <w:numId w:val="0"/>
        </w:numPr>
        <w:autoSpaceDE w:val="0"/>
        <w:autoSpaceDN w:val="0"/>
        <w:ind w:leftChars="0"/>
        <w:jc w:val="left"/>
        <w:rPr>
          <w:rFonts w:hint="eastAsia" w:eastAsia="仿宋_GB2312"/>
          <w:color w:val="auto"/>
          <w:sz w:val="28"/>
          <w:lang w:val="en-US" w:eastAsia="zh-CN"/>
        </w:rPr>
      </w:pPr>
      <w:r>
        <w:rPr>
          <w:rFonts w:hint="eastAsia" w:eastAsia="仿宋_GB2312"/>
          <w:color w:val="auto"/>
          <w:sz w:val="28"/>
          <w:lang w:val="en-US" w:eastAsia="zh-CN"/>
        </w:rPr>
        <w:t>（一）鼓励以互联网信息安全产业为主</w:t>
      </w:r>
    </w:p>
    <w:p>
      <w:pPr>
        <w:numPr>
          <w:numId w:val="0"/>
        </w:numPr>
        <w:autoSpaceDE w:val="0"/>
        <w:autoSpaceDN w:val="0"/>
        <w:ind w:leftChars="0"/>
        <w:jc w:val="left"/>
        <w:rPr>
          <w:rFonts w:hint="eastAsia" w:eastAsia="仿宋_GB2312"/>
          <w:color w:val="auto"/>
          <w:sz w:val="28"/>
          <w:lang w:val="en-US" w:eastAsia="zh-CN"/>
        </w:rPr>
      </w:pPr>
      <w:r>
        <w:rPr>
          <w:rFonts w:hint="eastAsia" w:eastAsia="仿宋_GB2312"/>
          <w:color w:val="auto"/>
          <w:sz w:val="28"/>
          <w:lang w:val="en-US" w:eastAsia="zh-CN"/>
        </w:rPr>
        <w:t>（二）项目建成后由竞得人100%自持。</w:t>
      </w:r>
    </w:p>
    <w:p>
      <w:pPr>
        <w:numPr>
          <w:numId w:val="0"/>
        </w:numPr>
        <w:autoSpaceDE w:val="0"/>
        <w:autoSpaceDN w:val="0"/>
        <w:ind w:leftChars="0"/>
        <w:jc w:val="left"/>
        <w:rPr>
          <w:rFonts w:hint="eastAsia" w:eastAsia="仿宋_GB2312"/>
          <w:color w:val="auto"/>
          <w:sz w:val="28"/>
          <w:lang w:val="en-US" w:eastAsia="zh-CN"/>
        </w:rPr>
      </w:pPr>
      <w:r>
        <w:rPr>
          <w:rFonts w:hint="eastAsia" w:eastAsia="仿宋_GB2312"/>
          <w:color w:val="auto"/>
          <w:sz w:val="28"/>
          <w:lang w:val="en-US" w:eastAsia="zh-CN"/>
        </w:rPr>
        <w:t>（三）安置瀛海镇劳动力就业不少于400人。</w:t>
      </w:r>
    </w:p>
    <w:p>
      <w:pPr>
        <w:numPr>
          <w:numId w:val="0"/>
        </w:numPr>
        <w:autoSpaceDE w:val="0"/>
        <w:autoSpaceDN w:val="0"/>
        <w:ind w:leftChars="0"/>
        <w:jc w:val="left"/>
        <w:rPr>
          <w:rFonts w:hint="eastAsia" w:eastAsia="仿宋_GB2312"/>
          <w:color w:val="auto"/>
          <w:sz w:val="28"/>
          <w:lang w:val="en-US" w:eastAsia="zh-CN"/>
        </w:rPr>
      </w:pPr>
      <w:r>
        <w:rPr>
          <w:rFonts w:hint="eastAsia" w:eastAsia="仿宋_GB2312"/>
          <w:color w:val="auto"/>
          <w:sz w:val="28"/>
          <w:lang w:val="en-US" w:eastAsia="zh-CN"/>
        </w:rPr>
        <w:t>（四）年纳税额不低于1000万元/公顷。</w:t>
      </w:r>
    </w:p>
    <w:p>
      <w:pPr>
        <w:numPr>
          <w:numId w:val="0"/>
        </w:numPr>
        <w:autoSpaceDE w:val="0"/>
        <w:autoSpaceDN w:val="0"/>
        <w:ind w:leftChars="0"/>
        <w:jc w:val="left"/>
        <w:rPr>
          <w:rFonts w:hint="eastAsia" w:eastAsia="仿宋_GB2312"/>
          <w:color w:val="auto"/>
          <w:sz w:val="28"/>
          <w:lang w:val="en-US" w:eastAsia="zh-CN"/>
        </w:rPr>
      </w:pPr>
      <w:r>
        <w:rPr>
          <w:rFonts w:hint="eastAsia" w:eastAsia="仿宋_GB2312"/>
          <w:color w:val="auto"/>
          <w:sz w:val="28"/>
          <w:lang w:val="en-US" w:eastAsia="zh-CN"/>
        </w:rPr>
        <w:t>（五）项目投资强度不低于人民币2.5亿元/公顷（不含土地价款）。</w:t>
      </w:r>
    </w:p>
    <w:p>
      <w:pPr>
        <w:numPr>
          <w:numId w:val="0"/>
        </w:numPr>
        <w:autoSpaceDE w:val="0"/>
        <w:autoSpaceDN w:val="0"/>
        <w:ind w:leftChars="0"/>
        <w:jc w:val="left"/>
        <w:rPr>
          <w:rFonts w:hint="eastAsia" w:eastAsia="仿宋_GB2312"/>
          <w:color w:val="auto"/>
          <w:sz w:val="28"/>
          <w:lang w:val="en-US" w:eastAsia="zh-CN"/>
        </w:rPr>
      </w:pPr>
      <w:r>
        <w:rPr>
          <w:rFonts w:hint="eastAsia" w:eastAsia="仿宋_GB2312"/>
          <w:color w:val="auto"/>
          <w:sz w:val="28"/>
          <w:lang w:val="en-US" w:eastAsia="zh-CN"/>
        </w:rPr>
        <w:t>（六) 建设期间，建设税需在本地缴纳，经营公司需在瀛海镇本地注册。</w:t>
      </w:r>
    </w:p>
    <w:p>
      <w:pPr>
        <w:numPr>
          <w:numId w:val="0"/>
        </w:numPr>
        <w:autoSpaceDE w:val="0"/>
        <w:autoSpaceDN w:val="0"/>
        <w:ind w:leftChars="0"/>
        <w:jc w:val="left"/>
        <w:rPr>
          <w:rFonts w:hint="eastAsia" w:eastAsia="仿宋_GB2312"/>
          <w:color w:val="auto"/>
          <w:sz w:val="28"/>
          <w:lang w:val="en-US" w:eastAsia="zh-CN"/>
        </w:rPr>
      </w:pPr>
      <w:r>
        <w:rPr>
          <w:rFonts w:hint="eastAsia" w:eastAsia="仿宋_GB2312"/>
          <w:color w:val="auto"/>
          <w:sz w:val="28"/>
          <w:lang w:val="en-US" w:eastAsia="zh-CN"/>
        </w:rPr>
        <w:t xml:space="preserve"> (七）项目建设期不超过三年。</w:t>
      </w:r>
    </w:p>
    <w:p>
      <w:pPr>
        <w:pStyle w:val="9"/>
        <w:numPr>
          <w:ilvl w:val="0"/>
          <w:numId w:val="2"/>
        </w:numPr>
        <w:tabs>
          <w:tab w:val="left" w:pos="1455"/>
          <w:tab w:val="left" w:pos="1785"/>
        </w:tabs>
        <w:spacing w:after="0"/>
        <w:rPr>
          <w:rFonts w:hint="eastAsia" w:eastAsia="仿宋_GB2312"/>
          <w:color w:val="auto"/>
          <w:sz w:val="28"/>
        </w:rPr>
      </w:pPr>
      <w:r>
        <w:rPr>
          <w:rFonts w:hint="eastAsia" w:eastAsia="仿宋_GB2312"/>
          <w:color w:val="auto"/>
          <w:sz w:val="28"/>
        </w:rPr>
        <w:t>本次出让宗地项目开工竣工时间要求、地块闲置事宜、土地转让事宜，按《北京市集体经营性建设用地使用合同》约定执行。</w:t>
      </w:r>
    </w:p>
    <w:p>
      <w:pPr>
        <w:pStyle w:val="9"/>
        <w:numPr>
          <w:ilvl w:val="0"/>
          <w:numId w:val="2"/>
        </w:numPr>
        <w:tabs>
          <w:tab w:val="left" w:pos="1455"/>
          <w:tab w:val="left" w:pos="1785"/>
        </w:tabs>
        <w:spacing w:after="0"/>
        <w:rPr>
          <w:rFonts w:eastAsia="仿宋_GB2312"/>
          <w:color w:val="auto"/>
          <w:sz w:val="28"/>
        </w:rPr>
      </w:pPr>
      <w:r>
        <w:rPr>
          <w:rFonts w:hint="eastAsia" w:eastAsia="仿宋_GB2312"/>
          <w:color w:val="auto"/>
          <w:sz w:val="28"/>
        </w:rPr>
        <w:t>本次挂牌出让宗地的集体经营性建设用地使用权出让年限为</w:t>
      </w:r>
      <w:r>
        <w:rPr>
          <w:rFonts w:hint="eastAsia" w:eastAsia="仿宋_GB2312"/>
          <w:color w:val="auto"/>
          <w:sz w:val="28"/>
          <w:lang w:val="en-US" w:eastAsia="zh-CN"/>
        </w:rPr>
        <w:t>商业</w:t>
      </w:r>
      <w:r>
        <w:rPr>
          <w:rFonts w:hint="eastAsia" w:eastAsia="仿宋_GB2312"/>
          <w:color w:val="auto"/>
          <w:sz w:val="28"/>
        </w:rPr>
        <w:t>40年</w:t>
      </w:r>
      <w:r>
        <w:rPr>
          <w:rFonts w:hint="eastAsia" w:eastAsia="仿宋_GB2312"/>
          <w:color w:val="auto"/>
          <w:sz w:val="28"/>
          <w:lang w:eastAsia="zh-CN"/>
        </w:rPr>
        <w:t>，</w:t>
      </w:r>
      <w:r>
        <w:rPr>
          <w:rFonts w:hint="eastAsia" w:eastAsia="仿宋_GB2312"/>
          <w:color w:val="auto"/>
          <w:sz w:val="28"/>
          <w:lang w:val="en-US" w:eastAsia="zh-CN"/>
        </w:rPr>
        <w:t>办公50年</w:t>
      </w:r>
      <w:r>
        <w:rPr>
          <w:rFonts w:hint="eastAsia" w:eastAsia="仿宋_GB2312"/>
          <w:color w:val="auto"/>
          <w:sz w:val="28"/>
        </w:rPr>
        <w:t>。集体经营性建设用地使用权出让年限自《集体经营性建设用地使用权出让合同》签订之日起计算。</w:t>
      </w:r>
    </w:p>
    <w:p>
      <w:pPr>
        <w:pStyle w:val="9"/>
        <w:numPr>
          <w:ilvl w:val="0"/>
          <w:numId w:val="2"/>
        </w:numPr>
        <w:tabs>
          <w:tab w:val="left" w:pos="1455"/>
          <w:tab w:val="left" w:pos="1785"/>
        </w:tabs>
        <w:spacing w:after="0"/>
        <w:rPr>
          <w:rFonts w:eastAsia="仿宋_GB2312"/>
          <w:color w:val="auto"/>
          <w:sz w:val="28"/>
        </w:rPr>
      </w:pPr>
      <w:r>
        <w:rPr>
          <w:rFonts w:hint="eastAsia" w:eastAsia="仿宋_GB2312"/>
          <w:color w:val="auto"/>
          <w:sz w:val="28"/>
        </w:rPr>
        <w:t>本次挂牌出让</w:t>
      </w:r>
      <w:r>
        <w:rPr>
          <w:rFonts w:eastAsia="仿宋_GB2312"/>
          <w:color w:val="auto"/>
          <w:sz w:val="28"/>
        </w:rPr>
        <w:t>宗地未设定任何土地他项权利。</w:t>
      </w:r>
    </w:p>
    <w:p>
      <w:pPr>
        <w:pStyle w:val="3"/>
        <w:numPr>
          <w:ilvl w:val="0"/>
          <w:numId w:val="3"/>
        </w:numPr>
        <w:spacing w:line="660" w:lineRule="exact"/>
        <w:jc w:val="center"/>
        <w:rPr>
          <w:rFonts w:ascii="Times New Roman" w:hAnsi="Times New Roman" w:eastAsia="仿宋_GB2312"/>
          <w:color w:val="auto"/>
        </w:rPr>
      </w:pPr>
      <w:bookmarkStart w:id="21" w:name="_Toc9987"/>
      <w:r>
        <w:rPr>
          <w:rFonts w:hint="eastAsia" w:ascii="Times New Roman" w:hAnsi="Times New Roman" w:eastAsia="仿宋_GB2312"/>
          <w:color w:val="auto"/>
        </w:rPr>
        <w:t>其他要求</w:t>
      </w:r>
      <w:bookmarkEnd w:id="21"/>
    </w:p>
    <w:p>
      <w:pPr>
        <w:pStyle w:val="9"/>
        <w:numPr>
          <w:ilvl w:val="0"/>
          <w:numId w:val="2"/>
        </w:numPr>
        <w:tabs>
          <w:tab w:val="left" w:pos="1455"/>
          <w:tab w:val="left" w:pos="1785"/>
        </w:tabs>
        <w:spacing w:after="0" w:line="660" w:lineRule="exact"/>
        <w:ind w:firstLine="537" w:firstLineChars="192"/>
        <w:rPr>
          <w:rFonts w:hint="eastAsia" w:ascii="Times New Roman" w:hAnsi="Times New Roman" w:eastAsia="仿宋_GB2312" w:cs="Times New Roman"/>
          <w:color w:val="auto"/>
          <w:kern w:val="2"/>
          <w:sz w:val="28"/>
          <w:szCs w:val="24"/>
          <w:lang w:val="en-US" w:eastAsia="zh-CN" w:bidi="ar-SA"/>
        </w:rPr>
      </w:pPr>
      <w:r>
        <w:rPr>
          <w:rFonts w:hint="eastAsia" w:ascii="Times New Roman" w:hAnsi="Times New Roman" w:eastAsia="仿宋_GB2312" w:cs="Times New Roman"/>
          <w:color w:val="auto"/>
          <w:kern w:val="2"/>
          <w:sz w:val="28"/>
          <w:szCs w:val="24"/>
          <w:lang w:val="en-US" w:eastAsia="zh-CN" w:bidi="ar-SA"/>
        </w:rPr>
        <w:t>环境保护方面要求如下：</w:t>
      </w:r>
    </w:p>
    <w:p>
      <w:pPr>
        <w:rPr>
          <w:rFonts w:hint="eastAsia" w:ascii="Times New Roman" w:hAnsi="Times New Roman" w:eastAsia="仿宋_GB2312" w:cs="Times New Roman"/>
          <w:color w:val="auto"/>
          <w:kern w:val="2"/>
          <w:sz w:val="28"/>
          <w:szCs w:val="24"/>
          <w:lang w:val="en-US" w:eastAsia="zh-CN" w:bidi="ar-SA"/>
        </w:rPr>
      </w:pPr>
      <w:r>
        <w:rPr>
          <w:rFonts w:hint="eastAsia" w:eastAsia="仿宋_GB2312" w:cs="Times New Roman"/>
          <w:color w:val="auto"/>
          <w:kern w:val="2"/>
          <w:sz w:val="28"/>
          <w:szCs w:val="24"/>
          <w:lang w:val="en-US" w:eastAsia="zh-CN" w:bidi="ar-SA"/>
        </w:rPr>
        <w:t>（一）</w:t>
      </w:r>
      <w:r>
        <w:rPr>
          <w:rFonts w:hint="eastAsia" w:ascii="Times New Roman" w:hAnsi="Times New Roman" w:eastAsia="仿宋_GB2312" w:cs="Times New Roman"/>
          <w:color w:val="auto"/>
          <w:kern w:val="2"/>
          <w:sz w:val="28"/>
          <w:szCs w:val="24"/>
          <w:lang w:val="en-US" w:eastAsia="zh-CN" w:bidi="ar-SA"/>
        </w:rPr>
        <w:t>符合环境保护法律、法规、规章、标准规定的各项要求及本市产业政策；</w:t>
      </w:r>
    </w:p>
    <w:p>
      <w:pPr>
        <w:rPr>
          <w:rFonts w:hint="eastAsia" w:ascii="Times New Roman" w:hAnsi="Times New Roman" w:eastAsia="仿宋_GB2312" w:cs="Times New Roman"/>
          <w:color w:val="auto"/>
          <w:kern w:val="2"/>
          <w:sz w:val="28"/>
          <w:szCs w:val="24"/>
          <w:lang w:val="en-US" w:eastAsia="zh-CN" w:bidi="ar-SA"/>
        </w:rPr>
      </w:pPr>
      <w:r>
        <w:rPr>
          <w:rFonts w:hint="eastAsia" w:eastAsia="仿宋_GB2312" w:cs="Times New Roman"/>
          <w:color w:val="auto"/>
          <w:kern w:val="2"/>
          <w:sz w:val="28"/>
          <w:szCs w:val="24"/>
          <w:lang w:val="en-US" w:eastAsia="zh-CN" w:bidi="ar-SA"/>
        </w:rPr>
        <w:t xml:space="preserve">（二） </w:t>
      </w:r>
      <w:r>
        <w:rPr>
          <w:rFonts w:hint="eastAsia" w:ascii="Times New Roman" w:hAnsi="Times New Roman" w:eastAsia="仿宋_GB2312" w:cs="Times New Roman"/>
          <w:color w:val="auto"/>
          <w:kern w:val="2"/>
          <w:sz w:val="28"/>
          <w:szCs w:val="24"/>
          <w:lang w:val="en-US" w:eastAsia="zh-CN" w:bidi="ar-SA"/>
        </w:rPr>
        <w:t>进一步完善该地区市政基础设施；</w:t>
      </w:r>
    </w:p>
    <w:p>
      <w:pPr>
        <w:rPr>
          <w:rFonts w:hint="eastAsia" w:ascii="Times New Roman" w:hAnsi="Times New Roman" w:eastAsia="仿宋_GB2312" w:cs="Times New Roman"/>
          <w:color w:val="auto"/>
          <w:kern w:val="2"/>
          <w:sz w:val="28"/>
          <w:szCs w:val="24"/>
          <w:lang w:val="en-US" w:eastAsia="zh-CN" w:bidi="ar-SA"/>
        </w:rPr>
      </w:pPr>
      <w:r>
        <w:rPr>
          <w:rFonts w:hint="eastAsia" w:ascii="Times New Roman" w:hAnsi="Times New Roman" w:eastAsia="仿宋_GB2312" w:cs="Times New Roman"/>
          <w:color w:val="auto"/>
          <w:kern w:val="2"/>
          <w:sz w:val="28"/>
          <w:szCs w:val="24"/>
          <w:lang w:val="en-US" w:eastAsia="zh-CN" w:bidi="ar-SA"/>
        </w:rPr>
        <w:t>（三）如需开展环境影响评价，须在开工前取得环评批复；如需进行环境影响登记表备案，须在建成并投入生产运营前完成备案。</w:t>
      </w:r>
    </w:p>
    <w:p>
      <w:pPr>
        <w:pStyle w:val="9"/>
        <w:numPr>
          <w:ilvl w:val="0"/>
          <w:numId w:val="2"/>
        </w:numPr>
        <w:tabs>
          <w:tab w:val="left" w:pos="1455"/>
          <w:tab w:val="left" w:pos="1785"/>
        </w:tabs>
        <w:spacing w:after="0" w:line="660" w:lineRule="exact"/>
        <w:ind w:firstLine="537" w:firstLineChars="192"/>
        <w:rPr>
          <w:rFonts w:hint="eastAsia" w:ascii="仿宋_GB2312" w:eastAsia="仿宋_GB2312"/>
          <w:color w:val="auto"/>
          <w:sz w:val="28"/>
          <w:szCs w:val="28"/>
          <w:lang w:eastAsia="zh-CN"/>
        </w:rPr>
      </w:pPr>
      <w:r>
        <w:rPr>
          <w:rFonts w:hint="eastAsia" w:ascii="Times New Roman" w:hAnsi="Times New Roman" w:eastAsia="仿宋_GB2312" w:cs="Times New Roman"/>
          <w:color w:val="auto"/>
          <w:kern w:val="2"/>
          <w:sz w:val="28"/>
          <w:szCs w:val="24"/>
          <w:lang w:val="en-US" w:eastAsia="zh-CN" w:bidi="ar-SA"/>
        </w:rPr>
        <w:t>竞买人需在申报年度投资计划前缴纳城市基础设施建设费，按照《大兴区征收城市基础设施建设费暂行办法》执行。</w:t>
      </w:r>
    </w:p>
    <w:p>
      <w:pPr>
        <w:pStyle w:val="9"/>
        <w:numPr>
          <w:ilvl w:val="0"/>
          <w:numId w:val="2"/>
        </w:numPr>
        <w:tabs>
          <w:tab w:val="left" w:pos="1455"/>
          <w:tab w:val="left" w:pos="1785"/>
        </w:tabs>
        <w:spacing w:after="0" w:line="660" w:lineRule="exact"/>
        <w:ind w:firstLine="537" w:firstLineChars="192"/>
        <w:rPr>
          <w:rFonts w:hint="eastAsia" w:ascii="Times New Roman" w:hAnsi="Times New Roman" w:eastAsia="仿宋_GB2312" w:cs="Times New Roman"/>
          <w:color w:val="auto"/>
          <w:kern w:val="2"/>
          <w:sz w:val="28"/>
          <w:szCs w:val="24"/>
          <w:lang w:val="en-US" w:eastAsia="zh-CN" w:bidi="ar-SA"/>
        </w:rPr>
      </w:pPr>
      <w:r>
        <w:rPr>
          <w:rFonts w:hint="eastAsia" w:ascii="Times New Roman" w:hAnsi="Times New Roman" w:eastAsia="仿宋_GB2312" w:cs="Times New Roman"/>
          <w:color w:val="auto"/>
          <w:kern w:val="2"/>
          <w:sz w:val="28"/>
          <w:szCs w:val="24"/>
          <w:lang w:val="en-US" w:eastAsia="zh-CN" w:bidi="ar-SA"/>
        </w:rPr>
        <w:t>民防建设方面的要求如下：</w:t>
      </w:r>
    </w:p>
    <w:p>
      <w:pPr>
        <w:rPr>
          <w:rFonts w:hint="eastAsia" w:ascii="Times New Roman" w:hAnsi="Times New Roman" w:eastAsia="仿宋_GB2312" w:cs="Times New Roman"/>
          <w:color w:val="auto"/>
          <w:kern w:val="2"/>
          <w:sz w:val="28"/>
          <w:szCs w:val="24"/>
          <w:lang w:val="en-US" w:eastAsia="zh-CN" w:bidi="ar-SA"/>
        </w:rPr>
      </w:pPr>
      <w:r>
        <w:rPr>
          <w:rFonts w:hint="eastAsia" w:eastAsia="仿宋_GB2312" w:cs="Times New Roman"/>
          <w:color w:val="auto"/>
          <w:kern w:val="2"/>
          <w:sz w:val="28"/>
          <w:szCs w:val="24"/>
          <w:lang w:val="en-US" w:eastAsia="zh-CN" w:bidi="ar-SA"/>
        </w:rPr>
        <w:t>（一）</w:t>
      </w:r>
      <w:r>
        <w:rPr>
          <w:rFonts w:hint="eastAsia" w:ascii="Times New Roman" w:hAnsi="Times New Roman" w:eastAsia="仿宋_GB2312" w:cs="Times New Roman"/>
          <w:color w:val="auto"/>
          <w:kern w:val="2"/>
          <w:sz w:val="28"/>
          <w:szCs w:val="24"/>
          <w:lang w:val="en-US" w:eastAsia="zh-CN" w:bidi="ar-SA"/>
        </w:rPr>
        <w:t>配建人防工程面积指标依照京民防发[2016]47号《北京市民防局关于修订&lt;结合建设项目配建人防工程面积指标计算规则（试行）&gt;并继续试行的通知》；人防工程战时功能依照京民防发[2016]83号《北京市民防局关于印发&lt;结合建设项目配建人防工程战时功能设置规则（试行）&gt;的通知》执行；</w:t>
      </w:r>
    </w:p>
    <w:p>
      <w:pPr>
        <w:pStyle w:val="9"/>
        <w:widowControl w:val="0"/>
        <w:numPr>
          <w:numId w:val="0"/>
        </w:numPr>
        <w:tabs>
          <w:tab w:val="left" w:pos="1455"/>
          <w:tab w:val="left" w:pos="1785"/>
        </w:tabs>
        <w:spacing w:after="0" w:line="660" w:lineRule="exact"/>
        <w:jc w:val="both"/>
        <w:rPr>
          <w:rFonts w:hint="eastAsia" w:ascii="仿宋_GB2312" w:eastAsia="仿宋_GB2312"/>
          <w:color w:val="auto"/>
          <w:sz w:val="28"/>
          <w:szCs w:val="28"/>
          <w:lang w:val="en-US" w:eastAsia="zh-CN"/>
        </w:rPr>
      </w:pPr>
      <w:r>
        <w:rPr>
          <w:rFonts w:hint="eastAsia" w:eastAsia="仿宋_GB2312" w:cs="Times New Roman"/>
          <w:color w:val="auto"/>
          <w:kern w:val="2"/>
          <w:sz w:val="28"/>
          <w:szCs w:val="24"/>
          <w:lang w:val="en-US" w:eastAsia="zh-CN" w:bidi="ar-SA"/>
        </w:rPr>
        <w:t xml:space="preserve"> （二）</w:t>
      </w:r>
      <w:r>
        <w:rPr>
          <w:rFonts w:hint="eastAsia" w:ascii="Times New Roman" w:hAnsi="Times New Roman" w:eastAsia="仿宋_GB2312" w:cs="Times New Roman"/>
          <w:color w:val="auto"/>
          <w:kern w:val="2"/>
          <w:sz w:val="28"/>
          <w:szCs w:val="24"/>
          <w:lang w:val="en-US" w:eastAsia="zh-CN" w:bidi="ar-SA"/>
        </w:rPr>
        <w:t>具体指标数请取得规土部门出具的规划文件后，重新征求区民防局意见。</w:t>
      </w:r>
    </w:p>
    <w:p>
      <w:pPr>
        <w:pStyle w:val="9"/>
        <w:numPr>
          <w:ilvl w:val="0"/>
          <w:numId w:val="2"/>
        </w:numPr>
        <w:tabs>
          <w:tab w:val="left" w:pos="1455"/>
          <w:tab w:val="left" w:pos="1785"/>
        </w:tabs>
        <w:spacing w:after="0" w:line="660" w:lineRule="exact"/>
        <w:ind w:firstLine="537" w:firstLineChars="192"/>
        <w:rPr>
          <w:rFonts w:hint="eastAsia" w:ascii="Times New Roman" w:hAnsi="Times New Roman" w:eastAsia="仿宋_GB2312" w:cs="Times New Roman"/>
          <w:color w:val="auto"/>
          <w:kern w:val="2"/>
          <w:sz w:val="28"/>
          <w:szCs w:val="24"/>
          <w:lang w:val="en-US" w:eastAsia="zh-CN" w:bidi="ar-SA"/>
        </w:rPr>
      </w:pPr>
      <w:r>
        <w:rPr>
          <w:rFonts w:hint="eastAsia" w:ascii="Times New Roman" w:hAnsi="Times New Roman" w:eastAsia="仿宋_GB2312" w:cs="Times New Roman"/>
          <w:color w:val="auto"/>
          <w:kern w:val="2"/>
          <w:sz w:val="28"/>
          <w:szCs w:val="24"/>
          <w:lang w:val="en-US" w:eastAsia="zh-CN" w:bidi="ar-SA"/>
        </w:rPr>
        <w:t>市政市容建设方面的要求如下：</w:t>
      </w:r>
    </w:p>
    <w:p>
      <w:pPr>
        <w:widowControl w:val="0"/>
        <w:numPr>
          <w:numId w:val="0"/>
        </w:numPr>
        <w:tabs>
          <w:tab w:val="left" w:pos="1980"/>
        </w:tabs>
        <w:wordWrap/>
        <w:adjustRightInd/>
        <w:snapToGrid/>
        <w:spacing w:line="240" w:lineRule="auto"/>
        <w:ind w:right="0"/>
        <w:jc w:val="both"/>
        <w:textAlignment w:val="auto"/>
        <w:outlineLvl w:val="9"/>
        <w:rPr>
          <w:rFonts w:hint="eastAsia" w:ascii="Times New Roman" w:hAnsi="Times New Roman" w:eastAsia="仿宋_GB2312" w:cs="Times New Roman"/>
          <w:color w:val="auto"/>
          <w:kern w:val="2"/>
          <w:sz w:val="28"/>
          <w:szCs w:val="24"/>
          <w:lang w:val="en-US" w:eastAsia="zh-CN" w:bidi="ar-SA"/>
        </w:rPr>
      </w:pPr>
      <w:r>
        <w:rPr>
          <w:rFonts w:hint="eastAsia" w:eastAsia="仿宋_GB2312" w:cs="Times New Roman"/>
          <w:color w:val="auto"/>
          <w:kern w:val="2"/>
          <w:sz w:val="28"/>
          <w:szCs w:val="24"/>
          <w:lang w:val="en-US" w:eastAsia="zh-CN" w:bidi="ar-SA"/>
        </w:rPr>
        <w:t>（一）</w:t>
      </w:r>
      <w:r>
        <w:rPr>
          <w:rFonts w:hint="eastAsia" w:ascii="Times New Roman" w:hAnsi="Times New Roman" w:eastAsia="仿宋_GB2312" w:cs="Times New Roman"/>
          <w:color w:val="auto"/>
          <w:kern w:val="2"/>
          <w:sz w:val="28"/>
          <w:szCs w:val="24"/>
          <w:lang w:val="en-US" w:eastAsia="zh-CN" w:bidi="ar-SA"/>
        </w:rPr>
        <w:t>按照《中华人民共和国道路安全法》第二十九条道路、停车场和道路配套设施的规划、设计、建设，应当符合道路交通安全、畅通的要求，道路在最初设计时应考虑路网密度、道路宽度以及道路的饱和度（几年达到道路饱和程度），避免道路重复改建等问题；</w:t>
      </w:r>
    </w:p>
    <w:p>
      <w:pPr>
        <w:widowControl w:val="0"/>
        <w:numPr>
          <w:numId w:val="0"/>
        </w:numPr>
        <w:tabs>
          <w:tab w:val="left" w:pos="1980"/>
        </w:tabs>
        <w:wordWrap/>
        <w:adjustRightInd/>
        <w:snapToGrid/>
        <w:spacing w:line="240" w:lineRule="auto"/>
        <w:ind w:right="0"/>
        <w:jc w:val="both"/>
        <w:textAlignment w:val="auto"/>
        <w:outlineLvl w:val="9"/>
        <w:rPr>
          <w:rFonts w:hint="eastAsia" w:ascii="Times New Roman" w:hAnsi="Times New Roman" w:eastAsia="仿宋_GB2312" w:cs="Times New Roman"/>
          <w:color w:val="auto"/>
          <w:kern w:val="2"/>
          <w:sz w:val="28"/>
          <w:szCs w:val="24"/>
          <w:lang w:val="en-US" w:eastAsia="zh-CN" w:bidi="ar-SA"/>
        </w:rPr>
      </w:pPr>
      <w:r>
        <w:rPr>
          <w:rFonts w:hint="eastAsia" w:eastAsia="仿宋_GB2312" w:cs="Times New Roman"/>
          <w:color w:val="auto"/>
          <w:kern w:val="2"/>
          <w:sz w:val="28"/>
          <w:szCs w:val="24"/>
          <w:lang w:val="en-US" w:eastAsia="zh-CN" w:bidi="ar-SA"/>
        </w:rPr>
        <w:t>（二）</w:t>
      </w:r>
      <w:r>
        <w:rPr>
          <w:rFonts w:hint="eastAsia" w:ascii="Times New Roman" w:hAnsi="Times New Roman" w:eastAsia="仿宋_GB2312" w:cs="Times New Roman"/>
          <w:color w:val="auto"/>
          <w:kern w:val="2"/>
          <w:sz w:val="28"/>
          <w:szCs w:val="24"/>
          <w:lang w:val="en-US" w:eastAsia="zh-CN" w:bidi="ar-SA"/>
        </w:rPr>
        <w:t>在项目方案设计时，充分考虑车辆停放问题，提高标准配套建设停车位，充分考虑未来项目发展需求配套建设智能化停车场，并考虑设计路外停车场或在道路设计时考虑路侧停车位问题，在公交线路起点和终点设置公交场站，避免出现车辆乱停乱放问题；</w:t>
      </w:r>
    </w:p>
    <w:p>
      <w:pPr>
        <w:widowControl w:val="0"/>
        <w:numPr>
          <w:numId w:val="0"/>
        </w:numPr>
        <w:tabs>
          <w:tab w:val="left" w:pos="1980"/>
        </w:tabs>
        <w:wordWrap/>
        <w:adjustRightInd/>
        <w:snapToGrid/>
        <w:spacing w:line="240" w:lineRule="auto"/>
        <w:ind w:right="0"/>
        <w:jc w:val="both"/>
        <w:textAlignment w:val="auto"/>
        <w:outlineLvl w:val="9"/>
        <w:rPr>
          <w:rFonts w:hint="eastAsia" w:ascii="Times New Roman" w:hAnsi="Times New Roman" w:eastAsia="仿宋_GB2312" w:cs="Times New Roman"/>
          <w:color w:val="auto"/>
          <w:kern w:val="2"/>
          <w:sz w:val="28"/>
          <w:szCs w:val="24"/>
          <w:lang w:val="en-US" w:eastAsia="zh-CN" w:bidi="ar-SA"/>
        </w:rPr>
      </w:pPr>
      <w:r>
        <w:rPr>
          <w:rFonts w:hint="eastAsia" w:eastAsia="仿宋_GB2312" w:cs="Times New Roman"/>
          <w:color w:val="auto"/>
          <w:kern w:val="2"/>
          <w:sz w:val="28"/>
          <w:szCs w:val="24"/>
          <w:lang w:val="en-US" w:eastAsia="zh-CN" w:bidi="ar-SA"/>
        </w:rPr>
        <w:t>（三）</w:t>
      </w:r>
      <w:r>
        <w:rPr>
          <w:rFonts w:hint="eastAsia" w:ascii="Times New Roman" w:hAnsi="Times New Roman" w:eastAsia="仿宋_GB2312" w:cs="Times New Roman"/>
          <w:color w:val="auto"/>
          <w:kern w:val="2"/>
          <w:sz w:val="28"/>
          <w:szCs w:val="24"/>
          <w:lang w:val="en-US" w:eastAsia="zh-CN" w:bidi="ar-SA"/>
        </w:rPr>
        <w:t>应根据道路交通设施设置规范等相关规定，规划设计时应考虑交通信号灯、交通标志、交通标线以及电子监控设备等设施，确保齐全有效；</w:t>
      </w:r>
    </w:p>
    <w:p>
      <w:pPr>
        <w:widowControl w:val="0"/>
        <w:numPr>
          <w:numId w:val="0"/>
        </w:numPr>
        <w:tabs>
          <w:tab w:val="left" w:pos="1980"/>
        </w:tabs>
        <w:wordWrap/>
        <w:adjustRightInd/>
        <w:snapToGrid/>
        <w:spacing w:line="240" w:lineRule="auto"/>
        <w:ind w:right="0"/>
        <w:jc w:val="both"/>
        <w:textAlignment w:val="auto"/>
        <w:outlineLvl w:val="9"/>
        <w:rPr>
          <w:rFonts w:hint="eastAsia" w:ascii="仿宋_GB2312" w:eastAsia="仿宋_GB2312"/>
          <w:color w:val="auto"/>
          <w:sz w:val="28"/>
          <w:szCs w:val="28"/>
          <w:lang w:val="en-US" w:eastAsia="zh-CN"/>
        </w:rPr>
      </w:pPr>
      <w:r>
        <w:rPr>
          <w:rFonts w:hint="eastAsia" w:eastAsia="仿宋_GB2312" w:cs="Times New Roman"/>
          <w:color w:val="auto"/>
          <w:kern w:val="2"/>
          <w:sz w:val="28"/>
          <w:szCs w:val="24"/>
          <w:lang w:val="en-US" w:eastAsia="zh-CN" w:bidi="ar-SA"/>
        </w:rPr>
        <w:t>（四）</w:t>
      </w:r>
      <w:r>
        <w:rPr>
          <w:rFonts w:hint="eastAsia" w:ascii="Times New Roman" w:hAnsi="Times New Roman" w:eastAsia="仿宋_GB2312" w:cs="Times New Roman"/>
          <w:color w:val="auto"/>
          <w:kern w:val="2"/>
          <w:sz w:val="28"/>
          <w:szCs w:val="24"/>
          <w:lang w:val="en-US" w:eastAsia="zh-CN" w:bidi="ar-SA"/>
        </w:rPr>
        <w:t>道路在规划设计时应从分考虑合理安排道路开辟道口问题，力争道路在建设时一并完成。</w:t>
      </w:r>
    </w:p>
    <w:p>
      <w:pPr>
        <w:pStyle w:val="9"/>
        <w:numPr>
          <w:ilvl w:val="0"/>
          <w:numId w:val="2"/>
        </w:numPr>
        <w:tabs>
          <w:tab w:val="left" w:pos="1455"/>
          <w:tab w:val="left" w:pos="1785"/>
        </w:tabs>
        <w:spacing w:after="0" w:line="660" w:lineRule="exact"/>
        <w:ind w:firstLine="537" w:firstLineChars="192"/>
        <w:rPr>
          <w:rFonts w:hint="eastAsia" w:ascii="Times New Roman" w:hAnsi="Times New Roman" w:eastAsia="仿宋_GB2312" w:cs="Times New Roman"/>
          <w:color w:val="auto"/>
          <w:kern w:val="2"/>
          <w:sz w:val="28"/>
          <w:szCs w:val="24"/>
          <w:lang w:val="en-US" w:eastAsia="zh-CN" w:bidi="ar-SA"/>
        </w:rPr>
      </w:pPr>
      <w:r>
        <w:rPr>
          <w:rFonts w:hint="eastAsia" w:ascii="Times New Roman" w:hAnsi="Times New Roman" w:eastAsia="仿宋_GB2312" w:cs="Times New Roman"/>
          <w:color w:val="auto"/>
          <w:kern w:val="2"/>
          <w:sz w:val="28"/>
          <w:szCs w:val="24"/>
          <w:lang w:val="en-US" w:eastAsia="zh-CN" w:bidi="ar-SA"/>
        </w:rPr>
        <w:t>涉水情况及建设要求如下：</w:t>
      </w:r>
    </w:p>
    <w:p>
      <w:pPr>
        <w:widowControl w:val="0"/>
        <w:numPr>
          <w:numId w:val="0"/>
        </w:numPr>
        <w:tabs>
          <w:tab w:val="left" w:pos="1980"/>
        </w:tabs>
        <w:wordWrap/>
        <w:adjustRightInd/>
        <w:snapToGrid/>
        <w:spacing w:line="240" w:lineRule="auto"/>
        <w:ind w:right="0"/>
        <w:jc w:val="both"/>
        <w:textAlignment w:val="auto"/>
        <w:outlineLvl w:val="9"/>
        <w:rPr>
          <w:rFonts w:hint="eastAsia" w:ascii="Times New Roman" w:hAnsi="Times New Roman" w:eastAsia="仿宋_GB2312" w:cs="Times New Roman"/>
          <w:color w:val="auto"/>
          <w:kern w:val="2"/>
          <w:sz w:val="28"/>
          <w:szCs w:val="24"/>
          <w:lang w:val="en-US" w:eastAsia="zh-CN" w:bidi="ar-SA"/>
        </w:rPr>
      </w:pPr>
      <w:r>
        <w:rPr>
          <w:rFonts w:hint="eastAsia" w:eastAsia="仿宋_GB2312" w:cs="Times New Roman"/>
          <w:color w:val="auto"/>
          <w:kern w:val="2"/>
          <w:sz w:val="28"/>
          <w:szCs w:val="24"/>
          <w:lang w:val="en-US" w:eastAsia="zh-CN" w:bidi="ar-SA"/>
        </w:rPr>
        <w:t>（一）</w:t>
      </w:r>
      <w:r>
        <w:rPr>
          <w:rFonts w:hint="eastAsia" w:ascii="Times New Roman" w:hAnsi="Times New Roman" w:eastAsia="仿宋_GB2312" w:cs="Times New Roman"/>
          <w:color w:val="auto"/>
          <w:kern w:val="2"/>
          <w:sz w:val="28"/>
          <w:szCs w:val="24"/>
          <w:lang w:val="en-US" w:eastAsia="zh-CN" w:bidi="ar-SA"/>
        </w:rPr>
        <w:t>本项目地块应进行涉水事项论证审查、竞得人应进行水影响评价审查，并在年度投资计划之前完成审批手续。区水务局根据批复中水耗指标、污水排放标准、节水标准进行监督检查；</w:t>
      </w:r>
    </w:p>
    <w:p>
      <w:pPr>
        <w:widowControl w:val="0"/>
        <w:numPr>
          <w:numId w:val="0"/>
        </w:numPr>
        <w:tabs>
          <w:tab w:val="left" w:pos="1980"/>
        </w:tabs>
        <w:wordWrap/>
        <w:adjustRightInd/>
        <w:snapToGrid/>
        <w:spacing w:line="240" w:lineRule="auto"/>
        <w:ind w:right="0"/>
        <w:jc w:val="both"/>
        <w:textAlignment w:val="auto"/>
        <w:outlineLvl w:val="9"/>
        <w:rPr>
          <w:rFonts w:hint="eastAsia" w:ascii="Times New Roman" w:hAnsi="Times New Roman" w:eastAsia="仿宋_GB2312" w:cs="Times New Roman"/>
          <w:color w:val="auto"/>
          <w:kern w:val="2"/>
          <w:sz w:val="28"/>
          <w:szCs w:val="24"/>
          <w:lang w:val="en-US" w:eastAsia="zh-CN" w:bidi="ar-SA"/>
        </w:rPr>
      </w:pPr>
      <w:r>
        <w:rPr>
          <w:rFonts w:hint="eastAsia" w:eastAsia="仿宋_GB2312" w:cs="Times New Roman"/>
          <w:color w:val="auto"/>
          <w:kern w:val="2"/>
          <w:sz w:val="28"/>
          <w:szCs w:val="24"/>
          <w:lang w:val="en-US" w:eastAsia="zh-CN" w:bidi="ar-SA"/>
        </w:rPr>
        <w:t>（二）</w:t>
      </w:r>
      <w:r>
        <w:rPr>
          <w:rFonts w:hint="eastAsia" w:ascii="Times New Roman" w:hAnsi="Times New Roman" w:eastAsia="仿宋_GB2312" w:cs="Times New Roman"/>
          <w:color w:val="auto"/>
          <w:kern w:val="2"/>
          <w:sz w:val="28"/>
          <w:szCs w:val="24"/>
          <w:lang w:val="en-US" w:eastAsia="zh-CN" w:bidi="ar-SA"/>
        </w:rPr>
        <w:t>项目区内应全部使用符合《节水型生活器具》（CJ/T164-2014）的节水型器具，并根据《北京市节约用水办法》（2012年）、《雨水控制与利用工程设计规范》（DB11/685-2013）等相关规范，绿地灌溉采用喷灌滴管等节水灌溉方式，景观环境用水和其他市政用水，应当使用雨水或者再生水，不得使用自来水。同时应配建雨水调蓄设施、下凹式绿地及透水铺装；</w:t>
      </w:r>
    </w:p>
    <w:p>
      <w:pPr>
        <w:widowControl w:val="0"/>
        <w:numPr>
          <w:numId w:val="0"/>
        </w:numPr>
        <w:tabs>
          <w:tab w:val="left" w:pos="1980"/>
        </w:tabs>
        <w:wordWrap/>
        <w:adjustRightInd/>
        <w:snapToGrid/>
        <w:spacing w:line="240" w:lineRule="auto"/>
        <w:ind w:right="0"/>
        <w:jc w:val="both"/>
        <w:textAlignment w:val="auto"/>
        <w:outlineLvl w:val="9"/>
        <w:rPr>
          <w:rFonts w:hint="eastAsia" w:ascii="Times New Roman" w:hAnsi="Times New Roman" w:eastAsia="仿宋_GB2312" w:cs="Times New Roman"/>
          <w:color w:val="auto"/>
          <w:kern w:val="2"/>
          <w:sz w:val="28"/>
          <w:szCs w:val="24"/>
          <w:lang w:val="en-US" w:eastAsia="zh-CN" w:bidi="ar-SA"/>
        </w:rPr>
      </w:pPr>
      <w:r>
        <w:rPr>
          <w:rFonts w:hint="eastAsia" w:eastAsia="仿宋_GB2312" w:cs="Times New Roman"/>
          <w:color w:val="auto"/>
          <w:kern w:val="2"/>
          <w:sz w:val="28"/>
          <w:szCs w:val="24"/>
          <w:lang w:val="en-US" w:eastAsia="zh-CN" w:bidi="ar-SA"/>
        </w:rPr>
        <w:t>（三）</w:t>
      </w:r>
      <w:r>
        <w:rPr>
          <w:rFonts w:hint="eastAsia" w:ascii="Times New Roman" w:hAnsi="Times New Roman" w:eastAsia="仿宋_GB2312" w:cs="Times New Roman"/>
          <w:color w:val="auto"/>
          <w:kern w:val="2"/>
          <w:sz w:val="28"/>
          <w:szCs w:val="24"/>
          <w:lang w:val="en-US" w:eastAsia="zh-CN" w:bidi="ar-SA"/>
        </w:rPr>
        <w:t>本项目退水排放标准应满足《水污染物综合排放标准》（DB11/307-2013）中排入公共污水处理系统的水污染物排放限值；</w:t>
      </w:r>
    </w:p>
    <w:p>
      <w:pPr>
        <w:widowControl w:val="0"/>
        <w:numPr>
          <w:numId w:val="0"/>
        </w:numPr>
        <w:tabs>
          <w:tab w:val="left" w:pos="1980"/>
        </w:tabs>
        <w:wordWrap/>
        <w:adjustRightInd/>
        <w:snapToGrid/>
        <w:spacing w:line="240" w:lineRule="auto"/>
        <w:ind w:right="0"/>
        <w:jc w:val="both"/>
        <w:textAlignment w:val="auto"/>
        <w:outlineLvl w:val="9"/>
        <w:rPr>
          <w:rFonts w:hint="eastAsia" w:ascii="Times New Roman" w:hAnsi="Times New Roman" w:eastAsia="仿宋_GB2312" w:cs="Times New Roman"/>
          <w:color w:val="auto"/>
          <w:kern w:val="2"/>
          <w:sz w:val="28"/>
          <w:szCs w:val="24"/>
          <w:lang w:val="en-US" w:eastAsia="zh-CN" w:bidi="ar-SA"/>
        </w:rPr>
      </w:pPr>
      <w:r>
        <w:rPr>
          <w:rFonts w:hint="eastAsia" w:eastAsia="仿宋_GB2312" w:cs="Times New Roman"/>
          <w:color w:val="auto"/>
          <w:kern w:val="2"/>
          <w:sz w:val="28"/>
          <w:szCs w:val="24"/>
          <w:lang w:val="en-US" w:eastAsia="zh-CN" w:bidi="ar-SA"/>
        </w:rPr>
        <w:t>（四）</w:t>
      </w:r>
      <w:r>
        <w:rPr>
          <w:rFonts w:hint="eastAsia" w:ascii="Times New Roman" w:hAnsi="Times New Roman" w:eastAsia="仿宋_GB2312" w:cs="Times New Roman"/>
          <w:color w:val="auto"/>
          <w:kern w:val="2"/>
          <w:sz w:val="28"/>
          <w:szCs w:val="24"/>
          <w:lang w:val="en-US" w:eastAsia="zh-CN" w:bidi="ar-SA"/>
        </w:rPr>
        <w:t>本项目后续涉水行政许可工作应按要求进行；</w:t>
      </w:r>
    </w:p>
    <w:p>
      <w:pPr>
        <w:widowControl w:val="0"/>
        <w:numPr>
          <w:numId w:val="0"/>
        </w:numPr>
        <w:tabs>
          <w:tab w:val="left" w:pos="1980"/>
        </w:tabs>
        <w:wordWrap/>
        <w:adjustRightInd/>
        <w:snapToGrid/>
        <w:spacing w:line="240" w:lineRule="auto"/>
        <w:ind w:right="0"/>
        <w:jc w:val="both"/>
        <w:textAlignment w:val="auto"/>
        <w:outlineLvl w:val="9"/>
        <w:rPr>
          <w:rFonts w:hint="eastAsia" w:ascii="Times New Roman" w:hAnsi="Times New Roman" w:eastAsia="仿宋_GB2312" w:cs="Times New Roman"/>
          <w:color w:val="auto"/>
          <w:kern w:val="2"/>
          <w:sz w:val="28"/>
          <w:szCs w:val="24"/>
          <w:lang w:val="en-US" w:eastAsia="zh-CN" w:bidi="ar-SA"/>
        </w:rPr>
      </w:pPr>
      <w:r>
        <w:rPr>
          <w:rFonts w:hint="eastAsia" w:eastAsia="仿宋_GB2312" w:cs="Times New Roman"/>
          <w:color w:val="auto"/>
          <w:kern w:val="2"/>
          <w:sz w:val="28"/>
          <w:szCs w:val="24"/>
          <w:lang w:val="en-US" w:eastAsia="zh-CN" w:bidi="ar-SA"/>
        </w:rPr>
        <w:t>（五）</w:t>
      </w:r>
      <w:r>
        <w:rPr>
          <w:rFonts w:hint="eastAsia" w:ascii="Times New Roman" w:hAnsi="Times New Roman" w:eastAsia="仿宋_GB2312" w:cs="Times New Roman"/>
          <w:color w:val="auto"/>
          <w:kern w:val="2"/>
          <w:sz w:val="28"/>
          <w:szCs w:val="24"/>
          <w:lang w:val="en-US" w:eastAsia="zh-CN" w:bidi="ar-SA"/>
        </w:rPr>
        <w:t>项目建设单位在建设过程中应配合市、区两级水务部门对本项目涉水方面实施情况的监督检查工作。</w:t>
      </w:r>
    </w:p>
    <w:p>
      <w:pPr>
        <w:pStyle w:val="9"/>
        <w:numPr>
          <w:ilvl w:val="0"/>
          <w:numId w:val="2"/>
        </w:numPr>
        <w:tabs>
          <w:tab w:val="left" w:pos="1455"/>
          <w:tab w:val="left" w:pos="1785"/>
        </w:tabs>
        <w:spacing w:after="0" w:line="660" w:lineRule="exact"/>
        <w:ind w:firstLine="537" w:firstLineChars="192"/>
        <w:rPr>
          <w:rFonts w:hint="eastAsia" w:ascii="Times New Roman" w:hAnsi="Times New Roman" w:eastAsia="仿宋_GB2312" w:cs="Times New Roman"/>
          <w:color w:val="auto"/>
          <w:kern w:val="2"/>
          <w:sz w:val="28"/>
          <w:szCs w:val="24"/>
          <w:lang w:val="en-US" w:eastAsia="zh-CN" w:bidi="ar-SA"/>
        </w:rPr>
      </w:pPr>
      <w:r>
        <w:rPr>
          <w:rFonts w:hint="eastAsia" w:ascii="Times New Roman" w:hAnsi="Times New Roman" w:eastAsia="仿宋_GB2312" w:cs="Times New Roman"/>
          <w:color w:val="auto"/>
          <w:kern w:val="2"/>
          <w:sz w:val="28"/>
          <w:szCs w:val="24"/>
          <w:lang w:val="en-US" w:eastAsia="zh-CN" w:bidi="ar-SA"/>
        </w:rPr>
        <w:t>产业方面的要求如下：</w:t>
      </w:r>
    </w:p>
    <w:p>
      <w:pPr>
        <w:pStyle w:val="9"/>
        <w:numPr>
          <w:numId w:val="0"/>
        </w:numPr>
        <w:tabs>
          <w:tab w:val="left" w:pos="1455"/>
          <w:tab w:val="left" w:pos="1785"/>
        </w:tabs>
        <w:spacing w:after="0" w:line="660" w:lineRule="exact"/>
        <w:rPr>
          <w:rFonts w:hint="eastAsia" w:ascii="Times New Roman" w:hAnsi="Times New Roman" w:eastAsia="仿宋_GB2312" w:cs="Times New Roman"/>
          <w:color w:val="auto"/>
          <w:kern w:val="2"/>
          <w:sz w:val="28"/>
          <w:szCs w:val="24"/>
          <w:lang w:val="en-US" w:eastAsia="zh-CN" w:bidi="ar-SA"/>
        </w:rPr>
      </w:pPr>
      <w:r>
        <w:rPr>
          <w:rFonts w:hint="eastAsia" w:eastAsia="仿宋_GB2312" w:cs="Times New Roman"/>
          <w:color w:val="auto"/>
          <w:kern w:val="2"/>
          <w:sz w:val="28"/>
          <w:szCs w:val="24"/>
          <w:lang w:val="en-US" w:eastAsia="zh-CN" w:bidi="ar-SA"/>
        </w:rPr>
        <w:t xml:space="preserve"> （一）</w:t>
      </w:r>
      <w:r>
        <w:rPr>
          <w:rFonts w:hint="eastAsia" w:ascii="Times New Roman" w:hAnsi="Times New Roman" w:eastAsia="仿宋_GB2312" w:cs="Times New Roman"/>
          <w:color w:val="auto"/>
          <w:kern w:val="2"/>
          <w:sz w:val="28"/>
          <w:szCs w:val="24"/>
          <w:lang w:val="en-US" w:eastAsia="zh-CN" w:bidi="ar-SA"/>
        </w:rPr>
        <w:t>地块所入驻的产业项目，须符合《北京市鼓励发展的高精尖产品目录（2016年版）》要求</w:t>
      </w:r>
      <w:r>
        <w:rPr>
          <w:rFonts w:hint="eastAsia" w:eastAsia="仿宋_GB2312" w:cs="Times New Roman"/>
          <w:color w:val="auto"/>
          <w:kern w:val="2"/>
          <w:sz w:val="28"/>
          <w:szCs w:val="24"/>
          <w:lang w:val="en-US" w:eastAsia="zh-CN" w:bidi="ar-SA"/>
        </w:rPr>
        <w:t>，</w:t>
      </w:r>
      <w:r>
        <w:rPr>
          <w:rFonts w:hint="eastAsia" w:ascii="Times New Roman" w:hAnsi="Times New Roman" w:eastAsia="仿宋_GB2312" w:cs="Times New Roman"/>
          <w:color w:val="auto"/>
          <w:kern w:val="2"/>
          <w:sz w:val="28"/>
          <w:szCs w:val="24"/>
          <w:lang w:val="en-US" w:eastAsia="zh-CN" w:bidi="ar-SA"/>
        </w:rPr>
        <w:t>不在《北京市新增产业的禁止和限制目录（2018年版）》中。</w:t>
      </w:r>
    </w:p>
    <w:p>
      <w:pPr>
        <w:widowControl w:val="0"/>
        <w:numPr>
          <w:numId w:val="0"/>
        </w:numPr>
        <w:tabs>
          <w:tab w:val="left" w:pos="1980"/>
        </w:tabs>
        <w:wordWrap/>
        <w:adjustRightInd/>
        <w:snapToGrid/>
        <w:spacing w:line="240" w:lineRule="auto"/>
        <w:ind w:right="0"/>
        <w:jc w:val="both"/>
        <w:textAlignment w:val="auto"/>
        <w:outlineLvl w:val="9"/>
        <w:rPr>
          <w:rFonts w:hint="eastAsia" w:ascii="Times New Roman" w:hAnsi="Times New Roman" w:eastAsia="仿宋_GB2312" w:cs="Times New Roman"/>
          <w:color w:val="auto"/>
          <w:kern w:val="2"/>
          <w:sz w:val="28"/>
          <w:szCs w:val="24"/>
          <w:lang w:val="en-US" w:eastAsia="zh-CN" w:bidi="ar-SA"/>
        </w:rPr>
      </w:pPr>
      <w:r>
        <w:rPr>
          <w:rFonts w:hint="eastAsia" w:eastAsia="仿宋_GB2312" w:cs="Times New Roman"/>
          <w:color w:val="auto"/>
          <w:kern w:val="2"/>
          <w:sz w:val="28"/>
          <w:szCs w:val="24"/>
          <w:lang w:val="en-US" w:eastAsia="zh-CN" w:bidi="ar-SA"/>
        </w:rPr>
        <w:t>（二）</w:t>
      </w:r>
      <w:r>
        <w:rPr>
          <w:rFonts w:hint="eastAsia" w:ascii="Times New Roman" w:hAnsi="Times New Roman" w:eastAsia="仿宋_GB2312" w:cs="Times New Roman"/>
          <w:color w:val="auto"/>
          <w:kern w:val="2"/>
          <w:sz w:val="28"/>
          <w:szCs w:val="24"/>
          <w:lang w:val="en-US" w:eastAsia="zh-CN" w:bidi="ar-SA"/>
        </w:rPr>
        <w:t>地块所入驻的产业项目，须符合大兴区“高质量生产性服务业和高品质生活性服务业”产业定位。</w:t>
      </w:r>
    </w:p>
    <w:p>
      <w:pPr>
        <w:widowControl w:val="0"/>
        <w:numPr>
          <w:numId w:val="0"/>
        </w:numPr>
        <w:tabs>
          <w:tab w:val="left" w:pos="1980"/>
        </w:tabs>
        <w:wordWrap/>
        <w:adjustRightInd/>
        <w:snapToGrid/>
        <w:spacing w:line="240" w:lineRule="auto"/>
        <w:ind w:right="0"/>
        <w:jc w:val="both"/>
        <w:textAlignment w:val="auto"/>
        <w:outlineLvl w:val="9"/>
        <w:rPr>
          <w:rFonts w:hint="eastAsia" w:ascii="Times New Roman" w:hAnsi="Times New Roman" w:eastAsia="仿宋_GB2312" w:cs="Times New Roman"/>
          <w:color w:val="auto"/>
          <w:kern w:val="2"/>
          <w:sz w:val="28"/>
          <w:szCs w:val="24"/>
          <w:lang w:val="en-US" w:eastAsia="zh-CN" w:bidi="ar-SA"/>
        </w:rPr>
      </w:pPr>
      <w:r>
        <w:rPr>
          <w:rFonts w:hint="eastAsia" w:eastAsia="仿宋_GB2312" w:cs="Times New Roman"/>
          <w:color w:val="auto"/>
          <w:kern w:val="2"/>
          <w:sz w:val="28"/>
          <w:szCs w:val="24"/>
          <w:lang w:val="en-US" w:eastAsia="zh-CN" w:bidi="ar-SA"/>
        </w:rPr>
        <w:t>（三）</w:t>
      </w:r>
      <w:r>
        <w:rPr>
          <w:rFonts w:hint="eastAsia" w:ascii="Times New Roman" w:hAnsi="Times New Roman" w:eastAsia="仿宋_GB2312" w:cs="Times New Roman"/>
          <w:color w:val="auto"/>
          <w:kern w:val="2"/>
          <w:sz w:val="28"/>
          <w:szCs w:val="24"/>
          <w:lang w:val="en-US" w:eastAsia="zh-CN" w:bidi="ar-SA"/>
        </w:rPr>
        <w:t>为亦庄经济开发区落实北京市科技创新“三城一区”建设起支撑、配套作用的重大科技成果转化类项目优先入驻。</w:t>
      </w:r>
    </w:p>
    <w:p>
      <w:pPr>
        <w:pStyle w:val="9"/>
        <w:numPr>
          <w:numId w:val="0"/>
        </w:numPr>
        <w:tabs>
          <w:tab w:val="left" w:pos="1455"/>
          <w:tab w:val="left" w:pos="1785"/>
        </w:tabs>
        <w:spacing w:after="0" w:line="640" w:lineRule="exact"/>
        <w:rPr>
          <w:rFonts w:hint="eastAsia" w:ascii="Times New Roman" w:hAnsi="Times New Roman" w:eastAsia="仿宋_GB2312" w:cs="Times New Roman"/>
          <w:color w:val="auto"/>
          <w:kern w:val="2"/>
          <w:sz w:val="28"/>
          <w:szCs w:val="24"/>
          <w:lang w:val="en-US" w:eastAsia="zh-CN" w:bidi="ar-SA"/>
        </w:rPr>
      </w:pPr>
      <w:r>
        <w:rPr>
          <w:rFonts w:hint="eastAsia" w:eastAsia="仿宋_GB2312" w:cs="Times New Roman"/>
          <w:color w:val="auto"/>
          <w:kern w:val="2"/>
          <w:sz w:val="28"/>
          <w:szCs w:val="24"/>
          <w:lang w:val="en-US" w:eastAsia="zh-CN" w:bidi="ar-SA"/>
        </w:rPr>
        <w:t>（四）</w:t>
      </w:r>
      <w:r>
        <w:rPr>
          <w:rFonts w:hint="eastAsia" w:ascii="Times New Roman" w:hAnsi="Times New Roman" w:eastAsia="仿宋_GB2312" w:cs="Times New Roman"/>
          <w:color w:val="auto"/>
          <w:kern w:val="2"/>
          <w:sz w:val="28"/>
          <w:szCs w:val="24"/>
          <w:lang w:val="en-US" w:eastAsia="zh-CN" w:bidi="ar-SA"/>
        </w:rPr>
        <w:t>符合《北京市人民政府关于加快科技创新构建高精尖经济结构用地政策的意见(试行)》(京政发〔2017〕39号)相关要求。</w:t>
      </w:r>
    </w:p>
    <w:p>
      <w:pPr>
        <w:pStyle w:val="9"/>
        <w:numPr>
          <w:ilvl w:val="0"/>
          <w:numId w:val="2"/>
        </w:numPr>
        <w:tabs>
          <w:tab w:val="left" w:pos="1455"/>
          <w:tab w:val="left" w:pos="1785"/>
        </w:tabs>
        <w:spacing w:after="0" w:line="660" w:lineRule="exact"/>
        <w:ind w:firstLine="537" w:firstLineChars="192"/>
        <w:rPr>
          <w:rFonts w:hint="eastAsia" w:ascii="Times New Roman" w:hAnsi="Times New Roman" w:eastAsia="仿宋_GB2312" w:cs="Times New Roman"/>
          <w:color w:val="auto"/>
          <w:kern w:val="2"/>
          <w:sz w:val="28"/>
          <w:szCs w:val="24"/>
          <w:lang w:val="en-US" w:eastAsia="zh-CN" w:bidi="ar-SA"/>
        </w:rPr>
      </w:pPr>
      <w:r>
        <w:rPr>
          <w:rFonts w:hint="eastAsia" w:ascii="Times New Roman" w:hAnsi="Times New Roman" w:eastAsia="仿宋_GB2312" w:cs="Times New Roman"/>
          <w:color w:val="auto"/>
          <w:kern w:val="2"/>
          <w:sz w:val="28"/>
          <w:szCs w:val="24"/>
          <w:lang w:val="en-US" w:eastAsia="zh-CN" w:bidi="ar-SA"/>
        </w:rPr>
        <w:t>建设方面的要求如下：商业类房屋严禁“商改住”。</w:t>
      </w:r>
    </w:p>
    <w:p>
      <w:pPr>
        <w:pStyle w:val="9"/>
        <w:numPr>
          <w:ilvl w:val="0"/>
          <w:numId w:val="2"/>
        </w:numPr>
        <w:tabs>
          <w:tab w:val="left" w:pos="1455"/>
          <w:tab w:val="left" w:pos="1785"/>
        </w:tabs>
        <w:spacing w:after="0" w:line="660" w:lineRule="exact"/>
        <w:ind w:firstLine="537" w:firstLineChars="192"/>
        <w:rPr>
          <w:rFonts w:hint="eastAsia" w:ascii="仿宋" w:hAnsi="仿宋" w:eastAsia="仿宋" w:cs="仿宋"/>
          <w:color w:val="auto"/>
          <w:sz w:val="24"/>
        </w:rPr>
      </w:pPr>
      <w:r>
        <w:rPr>
          <w:rFonts w:hint="eastAsia" w:ascii="Times New Roman" w:hAnsi="Times New Roman" w:eastAsia="仿宋_GB2312" w:cs="Times New Roman"/>
          <w:color w:val="auto"/>
          <w:kern w:val="2"/>
          <w:sz w:val="28"/>
          <w:szCs w:val="24"/>
          <w:lang w:val="en-US" w:eastAsia="zh-CN" w:bidi="ar-SA"/>
        </w:rPr>
        <w:t>园林方面要求如下：</w:t>
      </w:r>
    </w:p>
    <w:p>
      <w:pPr>
        <w:numPr>
          <w:numId w:val="0"/>
        </w:numPr>
        <w:rPr>
          <w:rFonts w:hint="eastAsia" w:ascii="Times New Roman" w:hAnsi="Times New Roman" w:eastAsia="仿宋_GB2312" w:cs="Times New Roman"/>
          <w:color w:val="auto"/>
          <w:kern w:val="2"/>
          <w:sz w:val="28"/>
          <w:szCs w:val="24"/>
          <w:lang w:val="en-US" w:eastAsia="zh-CN" w:bidi="ar-SA"/>
        </w:rPr>
      </w:pPr>
      <w:r>
        <w:rPr>
          <w:rFonts w:hint="eastAsia" w:eastAsia="仿宋_GB2312" w:cs="Times New Roman"/>
          <w:color w:val="auto"/>
          <w:kern w:val="2"/>
          <w:sz w:val="28"/>
          <w:szCs w:val="24"/>
          <w:lang w:val="en-US" w:eastAsia="zh-CN" w:bidi="ar-SA"/>
        </w:rPr>
        <w:t>（一）</w:t>
      </w:r>
      <w:r>
        <w:rPr>
          <w:rFonts w:hint="eastAsia" w:ascii="Times New Roman" w:hAnsi="Times New Roman" w:eastAsia="仿宋_GB2312" w:cs="Times New Roman"/>
          <w:color w:val="auto"/>
          <w:kern w:val="2"/>
          <w:sz w:val="28"/>
          <w:szCs w:val="24"/>
          <w:lang w:val="en-US" w:eastAsia="zh-CN" w:bidi="ar-SA"/>
        </w:rPr>
        <w:t>按照《中华人民共和国森林法》及实施条例的相关规定：进行勘查、开采矿藏和各项建设工程，应当不占或者少占林地；必须占用或者征用林地的，</w:t>
      </w:r>
      <w:r>
        <w:rPr>
          <w:rFonts w:hint="eastAsia" w:eastAsia="仿宋_GB2312" w:cs="Times New Roman"/>
          <w:color w:val="auto"/>
          <w:kern w:val="2"/>
          <w:sz w:val="28"/>
          <w:szCs w:val="24"/>
          <w:lang w:val="en-US" w:eastAsia="zh-CN" w:bidi="ar-SA"/>
        </w:rPr>
        <w:t>竞得人</w:t>
      </w:r>
      <w:r>
        <w:rPr>
          <w:rFonts w:hint="eastAsia" w:ascii="Times New Roman" w:hAnsi="Times New Roman" w:eastAsia="仿宋_GB2312" w:cs="Times New Roman"/>
          <w:color w:val="auto"/>
          <w:kern w:val="2"/>
          <w:sz w:val="28"/>
          <w:szCs w:val="24"/>
          <w:lang w:val="en-US" w:eastAsia="zh-CN" w:bidi="ar-SA"/>
        </w:rPr>
        <w:t>应当向县级以上人民政府林业主管部门提出申请，经审核同意后，按照国家规定的标准预交缴纳森林植被恢复费，领取《使用林地审核同意书》。用地单位凭《使用林地审核同意书》依法办理建设用地审批手续。据此，竞得人需要与有资质的设计单位联系，委托其做该项目使用林地可行性报告或者现状调查表。</w:t>
      </w:r>
    </w:p>
    <w:p>
      <w:pPr>
        <w:numPr>
          <w:numId w:val="0"/>
        </w:numPr>
        <w:rPr>
          <w:rFonts w:hint="eastAsia" w:ascii="Times New Roman" w:hAnsi="Times New Roman" w:eastAsia="仿宋_GB2312" w:cs="Times New Roman"/>
          <w:color w:val="auto"/>
          <w:kern w:val="2"/>
          <w:sz w:val="28"/>
          <w:szCs w:val="24"/>
          <w:lang w:val="en-US" w:eastAsia="zh-CN" w:bidi="ar-SA"/>
        </w:rPr>
      </w:pPr>
      <w:r>
        <w:rPr>
          <w:rFonts w:hint="eastAsia" w:ascii="Times New Roman" w:hAnsi="Times New Roman" w:eastAsia="仿宋_GB2312" w:cs="Times New Roman"/>
          <w:color w:val="auto"/>
          <w:kern w:val="2"/>
          <w:sz w:val="28"/>
          <w:szCs w:val="24"/>
          <w:lang w:val="en-US" w:eastAsia="zh-CN" w:bidi="ar-SA"/>
        </w:rPr>
        <w:t xml:space="preserve"> </w:t>
      </w:r>
      <w:r>
        <w:rPr>
          <w:rFonts w:hint="eastAsia" w:eastAsia="仿宋_GB2312" w:cs="Times New Roman"/>
          <w:color w:val="auto"/>
          <w:kern w:val="2"/>
          <w:sz w:val="28"/>
          <w:szCs w:val="24"/>
          <w:lang w:val="en-US" w:eastAsia="zh-CN" w:bidi="ar-SA"/>
        </w:rPr>
        <w:t>（二）</w:t>
      </w:r>
      <w:r>
        <w:rPr>
          <w:rFonts w:hint="eastAsia" w:ascii="Times New Roman" w:hAnsi="Times New Roman" w:eastAsia="仿宋_GB2312" w:cs="Times New Roman"/>
          <w:color w:val="auto"/>
          <w:kern w:val="2"/>
          <w:sz w:val="28"/>
          <w:szCs w:val="24"/>
          <w:lang w:val="en-US" w:eastAsia="zh-CN" w:bidi="ar-SA"/>
        </w:rPr>
        <w:t>按照国务院“十三五”期间年森林采伐限额要求，工程建设办理了《使用林地审核同意书》的，林木采伐不纳入限额管理。工程建设需提前办理使用林地许可手续。该工程施工前，请依法办理林木伐移许可证。</w:t>
      </w:r>
    </w:p>
    <w:p>
      <w:pPr>
        <w:numPr>
          <w:numId w:val="0"/>
        </w:numPr>
        <w:rPr>
          <w:rFonts w:hint="eastAsia" w:ascii="Times New Roman" w:hAnsi="Times New Roman" w:eastAsia="仿宋_GB2312" w:cs="Times New Roman"/>
          <w:color w:val="auto"/>
          <w:kern w:val="2"/>
          <w:sz w:val="28"/>
          <w:szCs w:val="24"/>
          <w:lang w:val="en-US" w:eastAsia="zh-CN" w:bidi="ar-SA"/>
        </w:rPr>
      </w:pPr>
      <w:r>
        <w:rPr>
          <w:rFonts w:hint="eastAsia" w:ascii="Times New Roman" w:hAnsi="Times New Roman" w:eastAsia="仿宋_GB2312" w:cs="Times New Roman"/>
          <w:color w:val="auto"/>
          <w:kern w:val="2"/>
          <w:sz w:val="28"/>
          <w:szCs w:val="24"/>
          <w:lang w:val="en-US" w:eastAsia="zh-CN" w:bidi="ar-SA"/>
        </w:rPr>
        <w:t xml:space="preserve"> </w:t>
      </w:r>
      <w:r>
        <w:rPr>
          <w:rFonts w:hint="eastAsia" w:eastAsia="仿宋_GB2312" w:cs="Times New Roman"/>
          <w:color w:val="auto"/>
          <w:kern w:val="2"/>
          <w:sz w:val="28"/>
          <w:szCs w:val="24"/>
          <w:lang w:val="en-US" w:eastAsia="zh-CN" w:bidi="ar-SA"/>
        </w:rPr>
        <w:t>（三）</w:t>
      </w:r>
      <w:r>
        <w:rPr>
          <w:rFonts w:hint="eastAsia" w:ascii="Times New Roman" w:hAnsi="Times New Roman" w:eastAsia="仿宋_GB2312" w:cs="Times New Roman"/>
          <w:color w:val="auto"/>
          <w:kern w:val="2"/>
          <w:sz w:val="28"/>
          <w:szCs w:val="24"/>
          <w:lang w:val="en-US" w:eastAsia="zh-CN" w:bidi="ar-SA"/>
        </w:rPr>
        <w:t>具体施工中请贯彻市政府工程建设中尽量少占林地，林木少移伐，能移植的林木不要砍伐的原则。</w:t>
      </w:r>
    </w:p>
    <w:p>
      <w:pPr>
        <w:pStyle w:val="9"/>
        <w:numPr>
          <w:ilvl w:val="0"/>
          <w:numId w:val="2"/>
        </w:numPr>
        <w:tabs>
          <w:tab w:val="left" w:pos="1455"/>
          <w:tab w:val="left" w:pos="1785"/>
        </w:tabs>
        <w:spacing w:after="0" w:line="660" w:lineRule="exact"/>
        <w:ind w:firstLine="537" w:firstLineChars="192"/>
        <w:rPr>
          <w:rFonts w:hint="eastAsia" w:ascii="Times New Roman" w:hAnsi="Times New Roman" w:eastAsia="仿宋_GB2312" w:cs="Times New Roman"/>
          <w:color w:val="auto"/>
          <w:kern w:val="2"/>
          <w:sz w:val="28"/>
          <w:szCs w:val="24"/>
          <w:lang w:val="en-US" w:eastAsia="zh-CN" w:bidi="ar-SA"/>
        </w:rPr>
      </w:pPr>
    </w:p>
    <w:p>
      <w:pPr>
        <w:numPr>
          <w:numId w:val="0"/>
        </w:numPr>
        <w:tabs>
          <w:tab w:val="left" w:pos="1980"/>
        </w:tabs>
        <w:spacing w:line="240" w:lineRule="auto"/>
        <w:ind w:firstLine="480" w:firstLineChars="200"/>
        <w:jc w:val="both"/>
        <w:rPr>
          <w:rFonts w:hint="eastAsia" w:ascii="Times New Roman" w:hAnsi="Times New Roman" w:eastAsia="仿宋_GB2312" w:cs="Times New Roman"/>
          <w:color w:val="auto"/>
          <w:kern w:val="2"/>
          <w:sz w:val="28"/>
          <w:szCs w:val="24"/>
          <w:lang w:val="en-US" w:eastAsia="zh-CN" w:bidi="ar-SA"/>
        </w:rPr>
      </w:pPr>
      <w:r>
        <w:rPr>
          <w:rFonts w:hint="eastAsia" w:ascii="Times New Roman" w:hAnsi="Times New Roman" w:eastAsia="仿宋_GB2312" w:cs="Times New Roman"/>
          <w:color w:val="auto"/>
          <w:kern w:val="2"/>
          <w:sz w:val="28"/>
          <w:szCs w:val="24"/>
          <w:lang w:val="en-US" w:eastAsia="zh-CN" w:bidi="ar-SA"/>
        </w:rPr>
        <w:t>竞得人在取得该地块使用权后，需进行地质灾害危险性评估。</w:t>
      </w:r>
    </w:p>
    <w:p>
      <w:pPr>
        <w:pStyle w:val="3"/>
        <w:spacing w:line="660" w:lineRule="exact"/>
        <w:jc w:val="center"/>
        <w:rPr>
          <w:rFonts w:hint="eastAsia" w:ascii="Times New Roman" w:hAnsi="Times New Roman" w:eastAsia="仿宋_GB2312" w:cs="Times New Roman"/>
          <w:b w:val="0"/>
          <w:bCs w:val="0"/>
          <w:color w:val="auto"/>
          <w:kern w:val="2"/>
          <w:sz w:val="28"/>
          <w:szCs w:val="24"/>
          <w:lang w:val="en-US" w:eastAsia="zh-CN" w:bidi="ar-SA"/>
        </w:rPr>
      </w:pPr>
      <w:bookmarkStart w:id="22" w:name="_Toc19097"/>
      <w:r>
        <w:rPr>
          <w:rFonts w:ascii="Times New Roman" w:hAnsi="Times New Roman" w:eastAsia="仿宋_GB2312"/>
          <w:color w:val="auto"/>
        </w:rPr>
        <w:t>第</w:t>
      </w:r>
      <w:r>
        <w:rPr>
          <w:rFonts w:hint="eastAsia" w:ascii="Times New Roman" w:hAnsi="Times New Roman" w:eastAsia="仿宋_GB2312"/>
          <w:color w:val="auto"/>
        </w:rPr>
        <w:t>四</w:t>
      </w:r>
      <w:r>
        <w:rPr>
          <w:rFonts w:ascii="Times New Roman" w:hAnsi="Times New Roman" w:eastAsia="仿宋_GB2312"/>
          <w:color w:val="auto"/>
        </w:rPr>
        <w:t>章竞买人资格</w:t>
      </w:r>
      <w:bookmarkEnd w:id="22"/>
    </w:p>
    <w:p>
      <w:pPr>
        <w:pStyle w:val="9"/>
        <w:numPr>
          <w:ilvl w:val="0"/>
          <w:numId w:val="2"/>
        </w:numPr>
        <w:tabs>
          <w:tab w:val="left" w:pos="1455"/>
          <w:tab w:val="left" w:pos="1785"/>
        </w:tabs>
        <w:spacing w:after="0" w:line="660" w:lineRule="exact"/>
        <w:ind w:firstLine="537" w:firstLineChars="192"/>
        <w:rPr>
          <w:rFonts w:eastAsia="仿宋_GB2312"/>
          <w:color w:val="auto"/>
          <w:sz w:val="28"/>
        </w:rPr>
      </w:pPr>
      <w:r>
        <w:rPr>
          <w:rFonts w:eastAsia="仿宋_GB2312"/>
          <w:color w:val="auto"/>
          <w:sz w:val="28"/>
        </w:rPr>
        <w:t>中华人民共和国</w:t>
      </w:r>
      <w:r>
        <w:rPr>
          <w:rFonts w:hint="eastAsia" w:eastAsia="仿宋_GB2312"/>
          <w:color w:val="auto"/>
          <w:sz w:val="28"/>
          <w:lang w:eastAsia="zh-CN"/>
        </w:rPr>
        <w:t>境内</w:t>
      </w:r>
      <w:r>
        <w:rPr>
          <w:rFonts w:eastAsia="仿宋_GB2312"/>
          <w:color w:val="auto"/>
          <w:sz w:val="28"/>
        </w:rPr>
        <w:t>的企业、其他组织和个人</w:t>
      </w:r>
      <w:r>
        <w:rPr>
          <w:rFonts w:hint="eastAsia" w:eastAsia="仿宋_GB2312"/>
          <w:color w:val="auto"/>
          <w:sz w:val="28"/>
          <w:lang w:eastAsia="zh-CN"/>
        </w:rPr>
        <w:t>（</w:t>
      </w:r>
      <w:r>
        <w:rPr>
          <w:rFonts w:eastAsia="仿宋_GB2312"/>
          <w:color w:val="auto"/>
          <w:sz w:val="28"/>
        </w:rPr>
        <w:t>除法律另有规定外</w:t>
      </w:r>
      <w:r>
        <w:rPr>
          <w:rFonts w:hint="eastAsia" w:eastAsia="仿宋_GB2312"/>
          <w:color w:val="auto"/>
          <w:sz w:val="28"/>
          <w:lang w:eastAsia="zh-CN"/>
        </w:rPr>
        <w:t>）</w:t>
      </w:r>
      <w:r>
        <w:rPr>
          <w:rFonts w:eastAsia="仿宋_GB2312"/>
          <w:color w:val="auto"/>
          <w:sz w:val="28"/>
        </w:rPr>
        <w:t>均可参加竞买</w:t>
      </w:r>
      <w:r>
        <w:rPr>
          <w:rFonts w:hint="eastAsia" w:eastAsia="仿宋_GB2312"/>
          <w:color w:val="auto"/>
          <w:sz w:val="28"/>
        </w:rPr>
        <w:t>，不接受联合竞买</w:t>
      </w:r>
      <w:r>
        <w:rPr>
          <w:rFonts w:eastAsia="仿宋_GB2312"/>
          <w:color w:val="auto"/>
          <w:sz w:val="28"/>
        </w:rPr>
        <w:t>。</w:t>
      </w:r>
    </w:p>
    <w:p>
      <w:pPr>
        <w:pStyle w:val="9"/>
        <w:numPr>
          <w:ilvl w:val="0"/>
          <w:numId w:val="2"/>
        </w:numPr>
        <w:tabs>
          <w:tab w:val="left" w:pos="1455"/>
          <w:tab w:val="left" w:pos="1785"/>
        </w:tabs>
        <w:spacing w:after="0" w:line="660" w:lineRule="exact"/>
        <w:ind w:firstLine="537" w:firstLineChars="192"/>
        <w:rPr>
          <w:rFonts w:eastAsia="仿宋_GB2312"/>
          <w:color w:val="auto"/>
          <w:sz w:val="28"/>
        </w:rPr>
      </w:pPr>
      <w:r>
        <w:rPr>
          <w:rFonts w:eastAsia="仿宋_GB2312"/>
          <w:color w:val="auto"/>
          <w:sz w:val="28"/>
        </w:rPr>
        <w:t>存在下列情况的单位不得参加本次出让宗地的竞买：</w:t>
      </w:r>
    </w:p>
    <w:p>
      <w:pPr>
        <w:pStyle w:val="9"/>
        <w:tabs>
          <w:tab w:val="left" w:pos="1785"/>
        </w:tabs>
        <w:spacing w:after="0" w:line="660" w:lineRule="exact"/>
        <w:ind w:firstLine="565" w:firstLineChars="202"/>
        <w:rPr>
          <w:rFonts w:eastAsia="仿宋_GB2312"/>
          <w:color w:val="auto"/>
          <w:sz w:val="28"/>
        </w:rPr>
      </w:pPr>
      <w:r>
        <w:rPr>
          <w:rFonts w:hint="eastAsia" w:eastAsia="仿宋_GB2312"/>
          <w:color w:val="auto"/>
          <w:sz w:val="28"/>
        </w:rPr>
        <w:t>（一）</w:t>
      </w:r>
      <w:r>
        <w:rPr>
          <w:rFonts w:hint="default" w:ascii="Times New Roman" w:hAnsi="Times New Roman" w:eastAsia="仿宋_GB2312" w:cs="Times New Roman"/>
          <w:color w:val="auto"/>
          <w:sz w:val="28"/>
          <w:lang w:eastAsia="zh-CN"/>
        </w:rPr>
        <w:t>在国有建设土地和集体经营性建设用地竞买过程中，</w:t>
      </w:r>
      <w:r>
        <w:rPr>
          <w:rFonts w:eastAsia="仿宋_GB2312"/>
          <w:color w:val="auto"/>
          <w:sz w:val="28"/>
        </w:rPr>
        <w:t>存在逾期不签订出让合同、欠缴土地出让价款、未按期开工建设、闲置土地等行为的或土地开发规模超过实际开发能力的情况。</w:t>
      </w:r>
    </w:p>
    <w:p>
      <w:pPr>
        <w:pStyle w:val="9"/>
        <w:tabs>
          <w:tab w:val="left" w:pos="1785"/>
        </w:tabs>
        <w:spacing w:after="0" w:line="660" w:lineRule="exact"/>
        <w:ind w:firstLine="565" w:firstLineChars="202"/>
        <w:rPr>
          <w:rFonts w:eastAsia="仿宋_GB2312"/>
          <w:bCs/>
          <w:color w:val="auto"/>
          <w:sz w:val="28"/>
        </w:rPr>
      </w:pPr>
      <w:r>
        <w:rPr>
          <w:rFonts w:hint="eastAsia" w:eastAsia="仿宋_GB2312"/>
          <w:bCs/>
          <w:color w:val="auto"/>
          <w:sz w:val="28"/>
        </w:rPr>
        <w:t>（二）</w:t>
      </w:r>
      <w:r>
        <w:rPr>
          <w:rFonts w:eastAsia="仿宋_GB2312"/>
          <w:bCs/>
          <w:color w:val="auto"/>
          <w:sz w:val="28"/>
        </w:rPr>
        <w:t>未按本须知要求提出竞买申请的。</w:t>
      </w:r>
    </w:p>
    <w:p>
      <w:pPr>
        <w:pStyle w:val="9"/>
        <w:numPr>
          <w:numId w:val="0"/>
        </w:numPr>
        <w:spacing w:line="360" w:lineRule="auto"/>
        <w:ind w:leftChars="200"/>
        <w:jc w:val="both"/>
        <w:rPr>
          <w:rFonts w:hint="default" w:ascii="Times New Roman" w:hAnsi="Times New Roman" w:eastAsia="仿宋_GB2312" w:cs="Times New Roman"/>
          <w:color w:val="auto"/>
          <w:sz w:val="28"/>
        </w:rPr>
      </w:pPr>
      <w:r>
        <w:rPr>
          <w:rFonts w:hint="eastAsia" w:eastAsia="仿宋_GB2312"/>
          <w:bCs/>
          <w:color w:val="auto"/>
          <w:sz w:val="28"/>
          <w:lang w:val="en-US" w:eastAsia="zh-CN"/>
        </w:rPr>
        <w:t xml:space="preserve"> </w:t>
      </w:r>
      <w:r>
        <w:rPr>
          <w:rFonts w:hint="eastAsia" w:eastAsia="仿宋_GB2312"/>
          <w:bCs/>
          <w:color w:val="auto"/>
          <w:sz w:val="28"/>
        </w:rPr>
        <w:t>（</w:t>
      </w:r>
      <w:r>
        <w:rPr>
          <w:rFonts w:hint="eastAsia" w:eastAsia="仿宋_GB2312"/>
          <w:bCs/>
          <w:color w:val="auto"/>
          <w:sz w:val="28"/>
          <w:lang w:eastAsia="zh-CN"/>
        </w:rPr>
        <w:t>三</w:t>
      </w:r>
      <w:r>
        <w:rPr>
          <w:rFonts w:hint="eastAsia" w:eastAsia="仿宋_GB2312"/>
          <w:bCs/>
          <w:color w:val="auto"/>
          <w:sz w:val="28"/>
        </w:rPr>
        <w:t>）</w:t>
      </w:r>
      <w:r>
        <w:rPr>
          <w:rFonts w:hint="default" w:ascii="Times New Roman" w:hAnsi="Times New Roman" w:eastAsia="仿宋_GB2312" w:cs="Times New Roman"/>
          <w:color w:val="auto"/>
          <w:sz w:val="28"/>
        </w:rPr>
        <w:t>凡属</w:t>
      </w:r>
      <w:r>
        <w:rPr>
          <w:rFonts w:hint="eastAsia" w:eastAsia="仿宋_GB2312"/>
          <w:color w:val="auto"/>
          <w:sz w:val="28"/>
          <w:lang w:eastAsia="zh-CN"/>
        </w:rPr>
        <w:t>原国土资源部、自然资源部及</w:t>
      </w:r>
      <w:r>
        <w:rPr>
          <w:rFonts w:hint="default" w:ascii="Times New Roman" w:hAnsi="Times New Roman" w:eastAsia="仿宋_GB2312" w:cs="Times New Roman"/>
          <w:color w:val="auto"/>
          <w:sz w:val="28"/>
        </w:rPr>
        <w:t>北京市税务机关推送的重大税收违法案件当事人，禁止参与土地</w:t>
      </w:r>
      <w:r>
        <w:rPr>
          <w:rFonts w:hint="eastAsia" w:ascii="Times New Roman" w:hAnsi="Times New Roman" w:eastAsia="仿宋_GB2312" w:cs="Times New Roman"/>
          <w:color w:val="auto"/>
          <w:sz w:val="28"/>
          <w:lang w:eastAsia="zh-CN"/>
        </w:rPr>
        <w:t>竞买</w:t>
      </w:r>
      <w:r>
        <w:rPr>
          <w:rFonts w:hint="default" w:ascii="Times New Roman" w:hAnsi="Times New Roman" w:eastAsia="仿宋_GB2312" w:cs="Times New Roman"/>
          <w:color w:val="auto"/>
          <w:sz w:val="28"/>
        </w:rPr>
        <w:t>活动。</w:t>
      </w:r>
    </w:p>
    <w:p>
      <w:pPr>
        <w:pStyle w:val="9"/>
        <w:tabs>
          <w:tab w:val="left" w:pos="1785"/>
        </w:tabs>
        <w:spacing w:after="0" w:line="660" w:lineRule="exact"/>
        <w:ind w:firstLine="565" w:firstLineChars="202"/>
        <w:rPr>
          <w:rFonts w:eastAsia="仿宋_GB2312"/>
          <w:bCs/>
          <w:color w:val="auto"/>
          <w:sz w:val="28"/>
        </w:rPr>
      </w:pPr>
    </w:p>
    <w:p>
      <w:pPr>
        <w:pStyle w:val="3"/>
        <w:spacing w:line="240" w:lineRule="auto"/>
        <w:jc w:val="center"/>
        <w:rPr>
          <w:rFonts w:ascii="Times New Roman" w:hAnsi="Times New Roman" w:eastAsia="仿宋_GB2312"/>
          <w:color w:val="auto"/>
        </w:rPr>
      </w:pPr>
      <w:bookmarkStart w:id="23" w:name="_Toc212531027"/>
      <w:bookmarkStart w:id="24" w:name="_Toc212531163"/>
      <w:bookmarkStart w:id="25" w:name="_Toc272043501"/>
      <w:bookmarkStart w:id="26" w:name="_Toc28789"/>
      <w:r>
        <w:rPr>
          <w:rFonts w:ascii="Times New Roman" w:hAnsi="Times New Roman" w:eastAsia="仿宋_GB2312"/>
          <w:color w:val="auto"/>
        </w:rPr>
        <w:t>第</w:t>
      </w:r>
      <w:r>
        <w:rPr>
          <w:rFonts w:hint="eastAsia" w:ascii="Times New Roman" w:hAnsi="Times New Roman" w:eastAsia="仿宋_GB2312"/>
          <w:color w:val="auto"/>
        </w:rPr>
        <w:t>五</w:t>
      </w:r>
      <w:r>
        <w:rPr>
          <w:rFonts w:ascii="Times New Roman" w:hAnsi="Times New Roman" w:eastAsia="仿宋_GB2312"/>
          <w:color w:val="auto"/>
        </w:rPr>
        <w:t>章</w:t>
      </w:r>
      <w:bookmarkEnd w:id="23"/>
      <w:bookmarkEnd w:id="24"/>
      <w:bookmarkEnd w:id="25"/>
      <w:r>
        <w:rPr>
          <w:rFonts w:hint="eastAsia" w:ascii="Times New Roman" w:hAnsi="Times New Roman" w:eastAsia="仿宋_GB2312"/>
          <w:color w:val="auto"/>
        </w:rPr>
        <w:t xml:space="preserve">  付款要求及土地交付</w:t>
      </w:r>
      <w:bookmarkEnd w:id="26"/>
    </w:p>
    <w:p>
      <w:pPr>
        <w:pStyle w:val="35"/>
        <w:numPr>
          <w:ilvl w:val="0"/>
          <w:numId w:val="2"/>
        </w:numPr>
        <w:ind w:firstLineChars="0"/>
        <w:rPr>
          <w:rFonts w:ascii="Times New Roman" w:hAnsi="Times New Roman" w:eastAsia="仿宋_GB2312"/>
          <w:color w:val="auto"/>
          <w:sz w:val="28"/>
          <w:szCs w:val="24"/>
        </w:rPr>
      </w:pPr>
      <w:r>
        <w:rPr>
          <w:rFonts w:hint="eastAsia" w:ascii="Times New Roman" w:hAnsi="Times New Roman" w:eastAsia="仿宋_GB2312"/>
          <w:color w:val="auto"/>
          <w:sz w:val="28"/>
          <w:szCs w:val="24"/>
        </w:rPr>
        <w:t>竞得人需按以下期限和要求，向</w:t>
      </w:r>
      <w:r>
        <w:rPr>
          <w:rFonts w:hint="eastAsia" w:ascii="Times New Roman" w:hAnsi="Times New Roman" w:eastAsia="仿宋_GB2312"/>
          <w:color w:val="auto"/>
          <w:sz w:val="28"/>
          <w:szCs w:val="24"/>
          <w:lang w:eastAsia="zh-CN"/>
        </w:rPr>
        <w:t>北京汇瀛恒业有限公司</w:t>
      </w:r>
      <w:r>
        <w:rPr>
          <w:rFonts w:hint="eastAsia" w:ascii="Times New Roman" w:hAnsi="Times New Roman" w:eastAsia="仿宋_GB2312"/>
          <w:color w:val="auto"/>
          <w:sz w:val="28"/>
          <w:szCs w:val="24"/>
        </w:rPr>
        <w:t>交纳该宗地的保证金及地价款</w:t>
      </w:r>
      <w:r>
        <w:rPr>
          <w:rFonts w:hint="eastAsia" w:ascii="Times New Roman" w:hAnsi="Times New Roman" w:eastAsia="仿宋_GB2312"/>
          <w:color w:val="auto"/>
          <w:sz w:val="28"/>
          <w:szCs w:val="24"/>
          <w:lang w:eastAsia="zh-CN"/>
        </w:rPr>
        <w:t>，并向区财政缴纳增值收益调节金。</w:t>
      </w:r>
    </w:p>
    <w:p>
      <w:pPr>
        <w:pStyle w:val="35"/>
        <w:numPr>
          <w:ilvl w:val="1"/>
          <w:numId w:val="2"/>
        </w:numPr>
        <w:tabs>
          <w:tab w:val="left" w:pos="2205"/>
        </w:tabs>
        <w:ind w:left="-105" w:leftChars="-50" w:firstLine="700" w:firstLineChars="250"/>
        <w:rPr>
          <w:rFonts w:eastAsia="仿宋_GB2312"/>
          <w:color w:val="auto"/>
          <w:sz w:val="28"/>
        </w:rPr>
      </w:pPr>
      <w:r>
        <w:rPr>
          <w:rFonts w:hint="eastAsia" w:eastAsia="仿宋_GB2312"/>
          <w:color w:val="auto"/>
          <w:sz w:val="28"/>
        </w:rPr>
        <w:t>竞得人在竞买时交纳的竞买保证金人民币</w:t>
      </w:r>
      <w:r>
        <w:rPr>
          <w:rFonts w:hint="eastAsia" w:eastAsia="仿宋_GB2312"/>
          <w:color w:val="auto"/>
          <w:sz w:val="28"/>
          <w:lang w:val="en-US" w:eastAsia="zh-CN"/>
        </w:rPr>
        <w:t>45000</w:t>
      </w:r>
      <w:r>
        <w:rPr>
          <w:rFonts w:hint="eastAsia" w:eastAsia="仿宋_GB2312"/>
          <w:color w:val="auto"/>
          <w:sz w:val="28"/>
        </w:rPr>
        <w:t>万元将直接冲抵宗地地价款。</w:t>
      </w:r>
    </w:p>
    <w:p>
      <w:pPr>
        <w:pStyle w:val="35"/>
        <w:numPr>
          <w:ilvl w:val="1"/>
          <w:numId w:val="2"/>
        </w:numPr>
        <w:tabs>
          <w:tab w:val="left" w:pos="2205"/>
        </w:tabs>
        <w:ind w:left="-105" w:leftChars="-50" w:firstLine="700" w:firstLineChars="250"/>
        <w:rPr>
          <w:rFonts w:hint="eastAsia" w:eastAsia="仿宋_GB2312"/>
          <w:color w:val="auto"/>
          <w:sz w:val="28"/>
          <w:lang w:eastAsia="zh-CN"/>
        </w:rPr>
      </w:pPr>
      <w:r>
        <w:rPr>
          <w:rFonts w:hint="eastAsia" w:eastAsia="仿宋_GB2312"/>
          <w:color w:val="auto"/>
          <w:sz w:val="28"/>
          <w:lang w:eastAsia="zh-CN"/>
        </w:rPr>
        <w:t>根据《大兴区农村集体经营性建设用地入市土地增值收益调节金征收使用管理办法》</w:t>
      </w:r>
      <w:r>
        <w:rPr>
          <w:rFonts w:hint="eastAsia" w:eastAsia="仿宋_GB2312"/>
          <w:color w:val="auto"/>
          <w:sz w:val="28"/>
          <w:lang w:val="en-US" w:eastAsia="zh-CN"/>
        </w:rPr>
        <w:t>京兴政办发【2017】64号文件要求，竞得人在取得</w:t>
      </w:r>
      <w:r>
        <w:rPr>
          <w:rFonts w:hint="eastAsia" w:eastAsia="仿宋_GB2312"/>
          <w:color w:val="auto"/>
          <w:sz w:val="28"/>
          <w:lang w:eastAsia="zh-CN"/>
        </w:rPr>
        <w:t>《成交确认书》</w:t>
      </w:r>
      <w:r>
        <w:rPr>
          <w:rFonts w:hint="eastAsia" w:eastAsia="仿宋_GB2312"/>
          <w:color w:val="auto"/>
          <w:sz w:val="28"/>
          <w:lang w:val="en-US" w:eastAsia="zh-CN"/>
        </w:rPr>
        <w:t>后15个工作日内向区财政缴纳成交总价款的3%的增值收益调节金，并持缴纳调节金凭证办理不动产登记手续。</w:t>
      </w:r>
    </w:p>
    <w:p>
      <w:pPr>
        <w:pStyle w:val="35"/>
        <w:numPr>
          <w:ilvl w:val="1"/>
          <w:numId w:val="2"/>
        </w:numPr>
        <w:tabs>
          <w:tab w:val="left" w:pos="2205"/>
        </w:tabs>
        <w:ind w:left="-105" w:leftChars="-50" w:firstLine="700" w:firstLineChars="250"/>
        <w:rPr>
          <w:rFonts w:eastAsia="仿宋_GB2312"/>
          <w:color w:val="auto"/>
          <w:sz w:val="28"/>
        </w:rPr>
      </w:pPr>
      <w:r>
        <w:rPr>
          <w:rFonts w:hint="eastAsia" w:eastAsia="仿宋_GB2312"/>
          <w:color w:val="auto"/>
          <w:sz w:val="28"/>
        </w:rPr>
        <w:t>如因特殊原因，相关主管部门依据相关程序审批确定该宗地地上建筑面积超出误差范围内的面积按相关程序办理缴款事宜。</w:t>
      </w:r>
    </w:p>
    <w:p>
      <w:pPr>
        <w:pStyle w:val="35"/>
        <w:numPr>
          <w:ilvl w:val="0"/>
          <w:numId w:val="2"/>
        </w:numPr>
        <w:ind w:firstLineChars="0"/>
        <w:rPr>
          <w:rFonts w:ascii="Times New Roman" w:hAnsi="Times New Roman" w:eastAsia="仿宋_GB2312"/>
          <w:color w:val="auto"/>
          <w:sz w:val="28"/>
          <w:szCs w:val="24"/>
        </w:rPr>
      </w:pPr>
      <w:r>
        <w:rPr>
          <w:rFonts w:hint="eastAsia" w:ascii="Times New Roman" w:hAnsi="Times New Roman" w:eastAsia="仿宋_GB2312"/>
          <w:color w:val="auto"/>
          <w:sz w:val="28"/>
          <w:szCs w:val="24"/>
        </w:rPr>
        <w:t>关于土地出让收入的调整</w:t>
      </w:r>
    </w:p>
    <w:p>
      <w:pPr>
        <w:ind w:left="29" w:firstLine="560" w:firstLineChars="200"/>
        <w:rPr>
          <w:rFonts w:eastAsia="仿宋_GB2312"/>
          <w:color w:val="auto"/>
          <w:sz w:val="28"/>
        </w:rPr>
      </w:pPr>
      <w:r>
        <w:rPr>
          <w:rFonts w:hint="eastAsia" w:eastAsia="仿宋_GB2312"/>
          <w:color w:val="auto"/>
          <w:sz w:val="28"/>
          <w:lang w:eastAsia="zh-CN"/>
        </w:rPr>
        <w:t>北京汇瀛恒业有限公司</w:t>
      </w:r>
      <w:r>
        <w:rPr>
          <w:rFonts w:hint="eastAsia" w:eastAsia="仿宋_GB2312"/>
          <w:color w:val="auto"/>
          <w:sz w:val="28"/>
        </w:rPr>
        <w:t>将按以下标准调整该宗地的出地出让收入，并与竞得人签订《集体经营性建设用地使用权出让合同补充协议》，竞得人按补充协议规定补交土地出让收入差价部分。</w:t>
      </w:r>
    </w:p>
    <w:p>
      <w:pPr>
        <w:ind w:left="29" w:firstLine="560" w:firstLineChars="200"/>
        <w:rPr>
          <w:rFonts w:eastAsia="仿宋_GB2312"/>
          <w:color w:val="auto"/>
          <w:sz w:val="28"/>
        </w:rPr>
      </w:pPr>
      <w:r>
        <w:rPr>
          <w:rFonts w:hint="eastAsia" w:eastAsia="仿宋_GB2312"/>
          <w:color w:val="auto"/>
          <w:sz w:val="28"/>
        </w:rPr>
        <w:t>（一）如因特殊原因，经相关主管部门依据有关程序审批确定该宗地地上建筑面积＞</w:t>
      </w:r>
      <w:r>
        <w:rPr>
          <w:rFonts w:hint="eastAsia" w:eastAsia="仿宋_GB2312"/>
          <w:color w:val="auto"/>
          <w:sz w:val="28"/>
          <w:lang w:eastAsia="zh-CN"/>
        </w:rPr>
        <w:t>95934</w:t>
      </w:r>
      <w:r>
        <w:rPr>
          <w:rFonts w:hint="eastAsia" w:eastAsia="仿宋_GB2312"/>
          <w:color w:val="auto"/>
          <w:sz w:val="28"/>
        </w:rPr>
        <w:t>平方米（容积率&gt;2.</w:t>
      </w:r>
      <w:r>
        <w:rPr>
          <w:rFonts w:hint="eastAsia" w:eastAsia="仿宋_GB2312"/>
          <w:color w:val="auto"/>
          <w:sz w:val="28"/>
          <w:lang w:val="en-US" w:eastAsia="zh-CN"/>
        </w:rPr>
        <w:t>4</w:t>
      </w:r>
      <w:r>
        <w:rPr>
          <w:rFonts w:hint="eastAsia" w:eastAsia="仿宋_GB2312"/>
          <w:color w:val="auto"/>
          <w:sz w:val="28"/>
        </w:rPr>
        <w:t>），则竞得人须按以下标准补交地上土地出让收入：</w:t>
      </w:r>
    </w:p>
    <w:p>
      <w:pPr>
        <w:ind w:left="29" w:firstLine="560" w:firstLineChars="200"/>
        <w:rPr>
          <w:rFonts w:eastAsia="仿宋_GB2312"/>
          <w:color w:val="auto"/>
          <w:sz w:val="28"/>
        </w:rPr>
      </w:pPr>
      <w:r>
        <w:rPr>
          <w:rFonts w:hint="eastAsia" w:eastAsia="仿宋_GB2312"/>
          <w:color w:val="auto"/>
          <w:sz w:val="28"/>
        </w:rPr>
        <w:t>应补交的出让收入=土地成交楼面单价×(地上确定的建筑面积-</w:t>
      </w:r>
      <w:r>
        <w:rPr>
          <w:rFonts w:hint="eastAsia" w:eastAsia="仿宋_GB2312"/>
          <w:color w:val="auto"/>
          <w:sz w:val="28"/>
          <w:lang w:eastAsia="zh-CN"/>
        </w:rPr>
        <w:t>95934平方米</w:t>
      </w:r>
      <w:r>
        <w:rPr>
          <w:rFonts w:hint="eastAsia" w:eastAsia="仿宋_GB2312"/>
          <w:color w:val="auto"/>
          <w:sz w:val="28"/>
        </w:rPr>
        <w:t>)</w:t>
      </w:r>
      <w:r>
        <w:rPr>
          <w:rFonts w:hint="eastAsia" w:eastAsia="仿宋_GB2312"/>
          <w:color w:val="auto"/>
          <w:sz w:val="28"/>
          <w:lang w:eastAsia="zh-CN"/>
        </w:rPr>
        <w:t>（元）；</w:t>
      </w:r>
      <w:r>
        <w:rPr>
          <w:rFonts w:hint="eastAsia" w:eastAsia="仿宋_GB2312"/>
          <w:color w:val="auto"/>
          <w:sz w:val="28"/>
        </w:rPr>
        <w:t>其中</w:t>
      </w:r>
      <w:r>
        <w:rPr>
          <w:rFonts w:hint="eastAsia" w:eastAsia="仿宋_GB2312"/>
          <w:color w:val="auto"/>
          <w:sz w:val="28"/>
          <w:lang w:eastAsia="zh-CN"/>
        </w:rPr>
        <w:t>：</w:t>
      </w:r>
      <w:r>
        <w:rPr>
          <w:rFonts w:hint="eastAsia" w:eastAsia="仿宋_GB2312"/>
          <w:color w:val="auto"/>
          <w:sz w:val="28"/>
        </w:rPr>
        <w:t>土地成交楼面单价=成交价款÷</w:t>
      </w:r>
      <w:r>
        <w:rPr>
          <w:rFonts w:hint="eastAsia" w:eastAsia="仿宋_GB2312"/>
          <w:color w:val="auto"/>
          <w:sz w:val="28"/>
          <w:lang w:eastAsia="zh-CN"/>
        </w:rPr>
        <w:t>95934平方米</w:t>
      </w:r>
      <w:r>
        <w:rPr>
          <w:rFonts w:hint="eastAsia" w:eastAsia="仿宋_GB2312"/>
          <w:color w:val="auto"/>
          <w:sz w:val="28"/>
        </w:rPr>
        <w:t>（元/平方米）。</w:t>
      </w:r>
    </w:p>
    <w:p>
      <w:pPr>
        <w:ind w:left="29" w:firstLine="560" w:firstLineChars="200"/>
        <w:rPr>
          <w:rFonts w:eastAsia="仿宋_GB2312"/>
          <w:color w:val="auto"/>
          <w:sz w:val="28"/>
        </w:rPr>
      </w:pPr>
      <w:r>
        <w:rPr>
          <w:rFonts w:hint="eastAsia" w:eastAsia="仿宋_GB2312"/>
          <w:color w:val="auto"/>
          <w:sz w:val="28"/>
        </w:rPr>
        <w:t>（二）地下非经营性用途建筑规模免收土地出让收入；地下经营性用途建筑面积的土地出让收入按以下标准补交。</w:t>
      </w:r>
    </w:p>
    <w:p>
      <w:pPr>
        <w:ind w:left="29" w:firstLine="560" w:firstLineChars="200"/>
        <w:rPr>
          <w:rFonts w:eastAsia="仿宋_GB2312"/>
          <w:color w:val="auto"/>
          <w:sz w:val="28"/>
        </w:rPr>
      </w:pPr>
      <w:r>
        <w:rPr>
          <w:rFonts w:hint="eastAsia" w:eastAsia="仿宋_GB2312"/>
          <w:color w:val="auto"/>
          <w:sz w:val="28"/>
        </w:rPr>
        <w:t xml:space="preserve"> 地下建筑面积应补交的出让收入＝土地成交楼面单价×相应用途地下空间修正系数×25%×相应用途地下可出让建筑面积。</w:t>
      </w:r>
    </w:p>
    <w:p>
      <w:pPr>
        <w:ind w:left="29" w:firstLine="560" w:firstLineChars="200"/>
        <w:rPr>
          <w:rFonts w:eastAsia="仿宋_GB2312"/>
          <w:color w:val="auto"/>
          <w:sz w:val="28"/>
        </w:rPr>
      </w:pPr>
      <w:r>
        <w:rPr>
          <w:rFonts w:hint="eastAsia" w:eastAsia="仿宋_GB2312"/>
          <w:color w:val="auto"/>
          <w:sz w:val="28"/>
        </w:rPr>
        <w:t>该宗地土地级别参照《北京市人民政府关于更新出让国有建设用地使用权基准地价的通知》（京政发〔2014〕26号规定）执行。</w:t>
      </w:r>
    </w:p>
    <w:tbl>
      <w:tblPr>
        <w:tblStyle w:val="29"/>
        <w:tblW w:w="8250" w:type="dxa"/>
        <w:jc w:val="center"/>
        <w:tblInd w:w="-15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13"/>
        <w:gridCol w:w="1759"/>
        <w:gridCol w:w="1417"/>
        <w:gridCol w:w="1602"/>
        <w:gridCol w:w="1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jc w:val="center"/>
        </w:trPr>
        <w:tc>
          <w:tcPr>
            <w:tcW w:w="181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auto"/>
                <w:sz w:val="24"/>
              </w:rPr>
            </w:pPr>
            <w:r>
              <w:rPr>
                <w:rFonts w:hint="eastAsia" w:eastAsia="仿宋_GB2312"/>
                <w:color w:val="auto"/>
                <w:sz w:val="24"/>
              </w:rPr>
              <w:t>地下空间</w:t>
            </w:r>
          </w:p>
          <w:p>
            <w:pPr>
              <w:widowControl/>
              <w:jc w:val="center"/>
              <w:rPr>
                <w:rFonts w:eastAsia="仿宋_GB2312"/>
                <w:color w:val="auto"/>
                <w:sz w:val="24"/>
              </w:rPr>
            </w:pPr>
            <w:r>
              <w:rPr>
                <w:rFonts w:hint="eastAsia" w:eastAsia="仿宋_GB2312"/>
                <w:color w:val="auto"/>
                <w:sz w:val="24"/>
              </w:rPr>
              <w:t>用途</w:t>
            </w:r>
          </w:p>
        </w:tc>
        <w:tc>
          <w:tcPr>
            <w:tcW w:w="175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auto"/>
                <w:sz w:val="24"/>
              </w:rPr>
            </w:pPr>
            <w:r>
              <w:rPr>
                <w:rFonts w:hint="eastAsia" w:eastAsia="仿宋_GB2312"/>
                <w:color w:val="auto"/>
                <w:sz w:val="24"/>
              </w:rPr>
              <w:t>楼层</w:t>
            </w:r>
          </w:p>
        </w:tc>
        <w:tc>
          <w:tcPr>
            <w:tcW w:w="4678" w:type="dxa"/>
            <w:gridSpan w:val="3"/>
            <w:tcBorders>
              <w:top w:val="single" w:color="auto" w:sz="4" w:space="0"/>
              <w:left w:val="nil"/>
              <w:bottom w:val="single" w:color="auto" w:sz="4" w:space="0"/>
              <w:right w:val="single" w:color="auto" w:sz="4" w:space="0"/>
            </w:tcBorders>
            <w:vAlign w:val="center"/>
          </w:tcPr>
          <w:p>
            <w:pPr>
              <w:widowControl/>
              <w:jc w:val="center"/>
              <w:rPr>
                <w:rFonts w:eastAsia="仿宋_GB2312"/>
                <w:color w:val="auto"/>
                <w:sz w:val="24"/>
              </w:rPr>
            </w:pPr>
            <w:r>
              <w:rPr>
                <w:rFonts w:hint="eastAsia" w:eastAsia="仿宋_GB2312"/>
                <w:color w:val="auto"/>
                <w:sz w:val="24"/>
              </w:rPr>
              <w:t>地下空间修正系数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2" w:hRule="atLeast"/>
          <w:jc w:val="center"/>
        </w:trPr>
        <w:tc>
          <w:tcPr>
            <w:tcW w:w="18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auto"/>
                <w:sz w:val="24"/>
              </w:rPr>
            </w:pPr>
          </w:p>
        </w:tc>
        <w:tc>
          <w:tcPr>
            <w:tcW w:w="17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auto"/>
                <w:sz w:val="24"/>
              </w:rPr>
            </w:pPr>
          </w:p>
        </w:tc>
        <w:tc>
          <w:tcPr>
            <w:tcW w:w="1417" w:type="dxa"/>
            <w:tcBorders>
              <w:top w:val="nil"/>
              <w:left w:val="nil"/>
              <w:bottom w:val="single" w:color="auto" w:sz="4" w:space="0"/>
              <w:right w:val="single" w:color="auto" w:sz="4" w:space="0"/>
            </w:tcBorders>
            <w:vAlign w:val="center"/>
          </w:tcPr>
          <w:p>
            <w:pPr>
              <w:widowControl/>
              <w:jc w:val="center"/>
              <w:rPr>
                <w:rFonts w:eastAsia="仿宋_GB2312"/>
                <w:color w:val="auto"/>
                <w:sz w:val="24"/>
              </w:rPr>
            </w:pPr>
            <w:r>
              <w:rPr>
                <w:rFonts w:hint="eastAsia" w:eastAsia="仿宋_GB2312"/>
                <w:color w:val="auto"/>
                <w:sz w:val="24"/>
              </w:rPr>
              <w:t>一至二级</w:t>
            </w:r>
          </w:p>
        </w:tc>
        <w:tc>
          <w:tcPr>
            <w:tcW w:w="1602" w:type="dxa"/>
            <w:tcBorders>
              <w:top w:val="nil"/>
              <w:left w:val="nil"/>
              <w:bottom w:val="single" w:color="auto" w:sz="4" w:space="0"/>
              <w:right w:val="single" w:color="auto" w:sz="4" w:space="0"/>
            </w:tcBorders>
            <w:vAlign w:val="center"/>
          </w:tcPr>
          <w:p>
            <w:pPr>
              <w:widowControl/>
              <w:jc w:val="center"/>
              <w:rPr>
                <w:rFonts w:eastAsia="仿宋_GB2312"/>
                <w:color w:val="auto"/>
                <w:sz w:val="24"/>
              </w:rPr>
            </w:pPr>
            <w:r>
              <w:rPr>
                <w:rFonts w:hint="eastAsia" w:eastAsia="仿宋_GB2312"/>
                <w:color w:val="auto"/>
                <w:sz w:val="24"/>
              </w:rPr>
              <w:t>三至七级</w:t>
            </w:r>
          </w:p>
        </w:tc>
        <w:tc>
          <w:tcPr>
            <w:tcW w:w="1659" w:type="dxa"/>
            <w:tcBorders>
              <w:top w:val="nil"/>
              <w:left w:val="nil"/>
              <w:bottom w:val="single" w:color="auto" w:sz="4" w:space="0"/>
              <w:right w:val="single" w:color="auto" w:sz="4" w:space="0"/>
            </w:tcBorders>
            <w:vAlign w:val="center"/>
          </w:tcPr>
          <w:p>
            <w:pPr>
              <w:widowControl/>
              <w:jc w:val="center"/>
              <w:rPr>
                <w:rFonts w:eastAsia="仿宋_GB2312"/>
                <w:color w:val="auto"/>
                <w:sz w:val="24"/>
              </w:rPr>
            </w:pPr>
            <w:r>
              <w:rPr>
                <w:rFonts w:hint="eastAsia" w:eastAsia="仿宋_GB2312"/>
                <w:color w:val="auto"/>
                <w:sz w:val="24"/>
              </w:rPr>
              <w:t>八至十二级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5" w:hRule="atLeast"/>
          <w:jc w:val="center"/>
        </w:trPr>
        <w:tc>
          <w:tcPr>
            <w:tcW w:w="1813"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auto"/>
                <w:sz w:val="24"/>
              </w:rPr>
            </w:pPr>
            <w:r>
              <w:rPr>
                <w:rFonts w:hint="eastAsia" w:eastAsia="仿宋_GB2312"/>
                <w:color w:val="auto"/>
                <w:sz w:val="24"/>
              </w:rPr>
              <w:t>地下商业</w:t>
            </w:r>
          </w:p>
        </w:tc>
        <w:tc>
          <w:tcPr>
            <w:tcW w:w="1759" w:type="dxa"/>
            <w:tcBorders>
              <w:top w:val="nil"/>
              <w:left w:val="nil"/>
              <w:bottom w:val="single" w:color="auto" w:sz="4" w:space="0"/>
              <w:right w:val="single" w:color="auto" w:sz="4" w:space="0"/>
            </w:tcBorders>
            <w:vAlign w:val="center"/>
          </w:tcPr>
          <w:p>
            <w:pPr>
              <w:widowControl/>
              <w:jc w:val="center"/>
              <w:rPr>
                <w:rFonts w:eastAsia="仿宋_GB2312"/>
                <w:color w:val="auto"/>
                <w:sz w:val="24"/>
              </w:rPr>
            </w:pPr>
            <w:r>
              <w:rPr>
                <w:rFonts w:hint="eastAsia" w:eastAsia="仿宋_GB2312"/>
                <w:color w:val="auto"/>
                <w:sz w:val="24"/>
              </w:rPr>
              <w:t>地下第1层</w:t>
            </w:r>
          </w:p>
        </w:tc>
        <w:tc>
          <w:tcPr>
            <w:tcW w:w="1417" w:type="dxa"/>
            <w:tcBorders>
              <w:top w:val="nil"/>
              <w:left w:val="nil"/>
              <w:bottom w:val="single" w:color="auto" w:sz="4" w:space="0"/>
              <w:right w:val="single" w:color="auto" w:sz="4" w:space="0"/>
            </w:tcBorders>
            <w:vAlign w:val="center"/>
          </w:tcPr>
          <w:p>
            <w:pPr>
              <w:widowControl/>
              <w:jc w:val="center"/>
              <w:rPr>
                <w:rFonts w:eastAsia="仿宋_GB2312"/>
                <w:color w:val="auto"/>
                <w:sz w:val="24"/>
              </w:rPr>
            </w:pPr>
            <w:r>
              <w:rPr>
                <w:rFonts w:hint="eastAsia" w:eastAsia="仿宋_GB2312"/>
                <w:color w:val="auto"/>
                <w:sz w:val="24"/>
              </w:rPr>
              <w:t xml:space="preserve">0.80 </w:t>
            </w:r>
          </w:p>
        </w:tc>
        <w:tc>
          <w:tcPr>
            <w:tcW w:w="1602" w:type="dxa"/>
            <w:tcBorders>
              <w:top w:val="nil"/>
              <w:left w:val="nil"/>
              <w:bottom w:val="single" w:color="auto" w:sz="4" w:space="0"/>
              <w:right w:val="single" w:color="auto" w:sz="4" w:space="0"/>
            </w:tcBorders>
            <w:vAlign w:val="center"/>
          </w:tcPr>
          <w:p>
            <w:pPr>
              <w:widowControl/>
              <w:jc w:val="center"/>
              <w:rPr>
                <w:rFonts w:eastAsia="仿宋_GB2312"/>
                <w:color w:val="auto"/>
                <w:sz w:val="24"/>
              </w:rPr>
            </w:pPr>
            <w:r>
              <w:rPr>
                <w:rFonts w:hint="eastAsia" w:eastAsia="仿宋_GB2312"/>
                <w:color w:val="auto"/>
                <w:sz w:val="24"/>
              </w:rPr>
              <w:t xml:space="preserve">0.70 </w:t>
            </w:r>
          </w:p>
        </w:tc>
        <w:tc>
          <w:tcPr>
            <w:tcW w:w="1659" w:type="dxa"/>
            <w:tcBorders>
              <w:top w:val="nil"/>
              <w:left w:val="nil"/>
              <w:bottom w:val="single" w:color="auto" w:sz="4" w:space="0"/>
              <w:right w:val="single" w:color="auto" w:sz="4" w:space="0"/>
            </w:tcBorders>
            <w:vAlign w:val="center"/>
          </w:tcPr>
          <w:p>
            <w:pPr>
              <w:widowControl/>
              <w:jc w:val="center"/>
              <w:rPr>
                <w:rFonts w:eastAsia="仿宋_GB2312"/>
                <w:color w:val="auto"/>
                <w:sz w:val="24"/>
              </w:rPr>
            </w:pPr>
            <w:r>
              <w:rPr>
                <w:rFonts w:hint="eastAsia" w:eastAsia="仿宋_GB2312"/>
                <w:color w:val="auto"/>
                <w:sz w:val="24"/>
              </w:rPr>
              <w:t xml:space="preserve">0.60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1" w:hRule="atLeast"/>
          <w:jc w:val="center"/>
        </w:trPr>
        <w:tc>
          <w:tcPr>
            <w:tcW w:w="181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auto"/>
                <w:sz w:val="24"/>
              </w:rPr>
            </w:pPr>
          </w:p>
        </w:tc>
        <w:tc>
          <w:tcPr>
            <w:tcW w:w="1759" w:type="dxa"/>
            <w:tcBorders>
              <w:top w:val="nil"/>
              <w:left w:val="nil"/>
              <w:bottom w:val="single" w:color="auto" w:sz="4" w:space="0"/>
              <w:right w:val="single" w:color="auto" w:sz="4" w:space="0"/>
            </w:tcBorders>
            <w:vAlign w:val="center"/>
          </w:tcPr>
          <w:p>
            <w:pPr>
              <w:widowControl/>
              <w:jc w:val="center"/>
              <w:rPr>
                <w:rFonts w:eastAsia="仿宋_GB2312"/>
                <w:color w:val="auto"/>
                <w:sz w:val="24"/>
              </w:rPr>
            </w:pPr>
            <w:r>
              <w:rPr>
                <w:rFonts w:hint="eastAsia" w:eastAsia="仿宋_GB2312"/>
                <w:color w:val="auto"/>
                <w:sz w:val="24"/>
              </w:rPr>
              <w:t>地下第2层</w:t>
            </w:r>
          </w:p>
        </w:tc>
        <w:tc>
          <w:tcPr>
            <w:tcW w:w="1417" w:type="dxa"/>
            <w:tcBorders>
              <w:top w:val="nil"/>
              <w:left w:val="nil"/>
              <w:bottom w:val="single" w:color="auto" w:sz="4" w:space="0"/>
              <w:right w:val="single" w:color="auto" w:sz="4" w:space="0"/>
            </w:tcBorders>
            <w:vAlign w:val="center"/>
          </w:tcPr>
          <w:p>
            <w:pPr>
              <w:widowControl/>
              <w:jc w:val="center"/>
              <w:rPr>
                <w:rFonts w:eastAsia="仿宋_GB2312"/>
                <w:color w:val="auto"/>
                <w:sz w:val="24"/>
              </w:rPr>
            </w:pPr>
            <w:r>
              <w:rPr>
                <w:rFonts w:hint="eastAsia" w:eastAsia="仿宋_GB2312"/>
                <w:color w:val="auto"/>
                <w:sz w:val="24"/>
              </w:rPr>
              <w:t xml:space="preserve">0.50 </w:t>
            </w:r>
          </w:p>
        </w:tc>
        <w:tc>
          <w:tcPr>
            <w:tcW w:w="1602" w:type="dxa"/>
            <w:tcBorders>
              <w:top w:val="nil"/>
              <w:left w:val="nil"/>
              <w:bottom w:val="single" w:color="auto" w:sz="4" w:space="0"/>
              <w:right w:val="single" w:color="auto" w:sz="4" w:space="0"/>
            </w:tcBorders>
            <w:vAlign w:val="center"/>
          </w:tcPr>
          <w:p>
            <w:pPr>
              <w:widowControl/>
              <w:jc w:val="center"/>
              <w:rPr>
                <w:rFonts w:eastAsia="仿宋_GB2312"/>
                <w:color w:val="auto"/>
                <w:sz w:val="24"/>
              </w:rPr>
            </w:pPr>
            <w:r>
              <w:rPr>
                <w:rFonts w:hint="eastAsia" w:eastAsia="仿宋_GB2312"/>
                <w:color w:val="auto"/>
                <w:sz w:val="24"/>
              </w:rPr>
              <w:t xml:space="preserve">0.40 </w:t>
            </w:r>
          </w:p>
        </w:tc>
        <w:tc>
          <w:tcPr>
            <w:tcW w:w="1659" w:type="dxa"/>
            <w:tcBorders>
              <w:top w:val="nil"/>
              <w:left w:val="nil"/>
              <w:bottom w:val="single" w:color="auto" w:sz="4" w:space="0"/>
              <w:right w:val="single" w:color="auto" w:sz="4" w:space="0"/>
            </w:tcBorders>
            <w:vAlign w:val="center"/>
          </w:tcPr>
          <w:p>
            <w:pPr>
              <w:widowControl/>
              <w:jc w:val="center"/>
              <w:rPr>
                <w:rFonts w:eastAsia="仿宋_GB2312"/>
                <w:color w:val="auto"/>
                <w:sz w:val="24"/>
              </w:rPr>
            </w:pPr>
            <w:r>
              <w:rPr>
                <w:rFonts w:hint="eastAsia" w:eastAsia="仿宋_GB2312"/>
                <w:color w:val="auto"/>
                <w:sz w:val="24"/>
              </w:rPr>
              <w:t xml:space="preserve">0.30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jc w:val="center"/>
        </w:trPr>
        <w:tc>
          <w:tcPr>
            <w:tcW w:w="181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auto"/>
                <w:sz w:val="24"/>
              </w:rPr>
            </w:pPr>
          </w:p>
        </w:tc>
        <w:tc>
          <w:tcPr>
            <w:tcW w:w="1759" w:type="dxa"/>
            <w:tcBorders>
              <w:top w:val="nil"/>
              <w:left w:val="nil"/>
              <w:bottom w:val="single" w:color="auto" w:sz="4" w:space="0"/>
              <w:right w:val="single" w:color="auto" w:sz="4" w:space="0"/>
            </w:tcBorders>
            <w:vAlign w:val="center"/>
          </w:tcPr>
          <w:p>
            <w:pPr>
              <w:widowControl/>
              <w:jc w:val="center"/>
              <w:rPr>
                <w:rFonts w:eastAsia="仿宋_GB2312"/>
                <w:color w:val="auto"/>
                <w:sz w:val="24"/>
              </w:rPr>
            </w:pPr>
            <w:r>
              <w:rPr>
                <w:rFonts w:hint="eastAsia" w:eastAsia="仿宋_GB2312"/>
                <w:color w:val="auto"/>
                <w:sz w:val="24"/>
              </w:rPr>
              <w:t>地下第3层</w:t>
            </w:r>
          </w:p>
        </w:tc>
        <w:tc>
          <w:tcPr>
            <w:tcW w:w="1417" w:type="dxa"/>
            <w:tcBorders>
              <w:top w:val="nil"/>
              <w:left w:val="nil"/>
              <w:bottom w:val="single" w:color="auto" w:sz="4" w:space="0"/>
              <w:right w:val="single" w:color="auto" w:sz="4" w:space="0"/>
            </w:tcBorders>
            <w:vAlign w:val="center"/>
          </w:tcPr>
          <w:p>
            <w:pPr>
              <w:widowControl/>
              <w:jc w:val="center"/>
              <w:rPr>
                <w:rFonts w:eastAsia="仿宋_GB2312"/>
                <w:color w:val="auto"/>
                <w:sz w:val="24"/>
              </w:rPr>
            </w:pPr>
            <w:r>
              <w:rPr>
                <w:rFonts w:hint="eastAsia" w:eastAsia="仿宋_GB2312"/>
                <w:color w:val="auto"/>
                <w:sz w:val="24"/>
              </w:rPr>
              <w:t xml:space="preserve">0.36 </w:t>
            </w:r>
          </w:p>
        </w:tc>
        <w:tc>
          <w:tcPr>
            <w:tcW w:w="1602" w:type="dxa"/>
            <w:tcBorders>
              <w:top w:val="nil"/>
              <w:left w:val="nil"/>
              <w:bottom w:val="single" w:color="auto" w:sz="4" w:space="0"/>
              <w:right w:val="single" w:color="auto" w:sz="4" w:space="0"/>
            </w:tcBorders>
            <w:vAlign w:val="center"/>
          </w:tcPr>
          <w:p>
            <w:pPr>
              <w:widowControl/>
              <w:jc w:val="center"/>
              <w:rPr>
                <w:rFonts w:eastAsia="仿宋_GB2312"/>
                <w:color w:val="auto"/>
                <w:sz w:val="24"/>
              </w:rPr>
            </w:pPr>
            <w:r>
              <w:rPr>
                <w:rFonts w:hint="eastAsia" w:eastAsia="仿宋_GB2312"/>
                <w:color w:val="auto"/>
                <w:sz w:val="24"/>
              </w:rPr>
              <w:t xml:space="preserve">0.28 </w:t>
            </w:r>
          </w:p>
        </w:tc>
        <w:tc>
          <w:tcPr>
            <w:tcW w:w="1659" w:type="dxa"/>
            <w:tcBorders>
              <w:top w:val="nil"/>
              <w:left w:val="nil"/>
              <w:bottom w:val="single" w:color="auto" w:sz="4" w:space="0"/>
              <w:right w:val="single" w:color="auto" w:sz="4" w:space="0"/>
            </w:tcBorders>
            <w:vAlign w:val="center"/>
          </w:tcPr>
          <w:p>
            <w:pPr>
              <w:widowControl/>
              <w:jc w:val="center"/>
              <w:rPr>
                <w:rFonts w:eastAsia="仿宋_GB2312"/>
                <w:color w:val="auto"/>
                <w:sz w:val="24"/>
              </w:rPr>
            </w:pPr>
            <w:r>
              <w:rPr>
                <w:rFonts w:hint="eastAsia" w:eastAsia="仿宋_GB2312"/>
                <w:color w:val="auto"/>
                <w:sz w:val="24"/>
              </w:rPr>
              <w:t xml:space="preserve">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1" w:hRule="atLeast"/>
          <w:jc w:val="center"/>
        </w:trPr>
        <w:tc>
          <w:tcPr>
            <w:tcW w:w="18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auto"/>
                <w:sz w:val="24"/>
              </w:rPr>
            </w:pPr>
          </w:p>
        </w:tc>
        <w:tc>
          <w:tcPr>
            <w:tcW w:w="175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auto"/>
                <w:sz w:val="24"/>
              </w:rPr>
            </w:pPr>
            <w:r>
              <w:rPr>
                <w:rFonts w:hint="eastAsia" w:eastAsia="仿宋_GB2312"/>
                <w:color w:val="auto"/>
                <w:sz w:val="24"/>
              </w:rPr>
              <w:t>地下第4层及以下各层</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auto"/>
                <w:sz w:val="24"/>
              </w:rPr>
            </w:pPr>
            <w:r>
              <w:rPr>
                <w:rFonts w:hint="eastAsia" w:eastAsia="仿宋_GB2312"/>
                <w:color w:val="auto"/>
                <w:sz w:val="24"/>
              </w:rPr>
              <w:t xml:space="preserve">0.30 </w:t>
            </w:r>
          </w:p>
        </w:tc>
        <w:tc>
          <w:tcPr>
            <w:tcW w:w="1602"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auto"/>
                <w:sz w:val="24"/>
              </w:rPr>
            </w:pPr>
            <w:r>
              <w:rPr>
                <w:rFonts w:hint="eastAsia" w:eastAsia="仿宋_GB2312"/>
                <w:color w:val="auto"/>
                <w:sz w:val="24"/>
              </w:rPr>
              <w:t xml:space="preserve">0.25 </w:t>
            </w:r>
          </w:p>
        </w:tc>
        <w:tc>
          <w:tcPr>
            <w:tcW w:w="165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auto"/>
                <w:sz w:val="24"/>
              </w:rPr>
            </w:pPr>
            <w:r>
              <w:rPr>
                <w:rFonts w:hint="eastAsia" w:eastAsia="仿宋_GB2312"/>
                <w:color w:val="auto"/>
                <w:sz w:val="24"/>
              </w:rPr>
              <w:t xml:space="preserve">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1" w:hRule="atLeast"/>
          <w:jc w:val="center"/>
        </w:trPr>
        <w:tc>
          <w:tcPr>
            <w:tcW w:w="1813" w:type="dxa"/>
            <w:tcBorders>
              <w:top w:val="nil"/>
              <w:left w:val="single" w:color="auto" w:sz="4" w:space="0"/>
              <w:bottom w:val="single" w:color="auto" w:sz="4" w:space="0"/>
              <w:right w:val="single" w:color="auto" w:sz="4" w:space="0"/>
            </w:tcBorders>
            <w:vAlign w:val="center"/>
          </w:tcPr>
          <w:p>
            <w:pPr>
              <w:widowControl/>
              <w:jc w:val="center"/>
              <w:rPr>
                <w:rFonts w:eastAsia="仿宋_GB2312"/>
                <w:color w:val="auto"/>
                <w:sz w:val="24"/>
              </w:rPr>
            </w:pPr>
            <w:r>
              <w:rPr>
                <w:rFonts w:hint="eastAsia" w:eastAsia="仿宋_GB2312"/>
                <w:color w:val="auto"/>
                <w:sz w:val="24"/>
              </w:rPr>
              <w:t>地下办公</w:t>
            </w:r>
          </w:p>
        </w:tc>
        <w:tc>
          <w:tcPr>
            <w:tcW w:w="1759" w:type="dxa"/>
            <w:tcBorders>
              <w:top w:val="nil"/>
              <w:left w:val="nil"/>
              <w:bottom w:val="single" w:color="auto" w:sz="4" w:space="0"/>
              <w:right w:val="single" w:color="auto" w:sz="4" w:space="0"/>
            </w:tcBorders>
            <w:vAlign w:val="center"/>
          </w:tcPr>
          <w:p>
            <w:pPr>
              <w:widowControl/>
              <w:jc w:val="center"/>
              <w:rPr>
                <w:rFonts w:eastAsia="仿宋_GB2312"/>
                <w:color w:val="auto"/>
                <w:sz w:val="24"/>
              </w:rPr>
            </w:pPr>
            <w:r>
              <w:rPr>
                <w:rFonts w:hint="eastAsia" w:eastAsia="仿宋_GB2312"/>
                <w:color w:val="auto"/>
                <w:sz w:val="24"/>
              </w:rPr>
              <w:t>-</w:t>
            </w:r>
          </w:p>
        </w:tc>
        <w:tc>
          <w:tcPr>
            <w:tcW w:w="1417" w:type="dxa"/>
            <w:tcBorders>
              <w:top w:val="nil"/>
              <w:left w:val="nil"/>
              <w:bottom w:val="single" w:color="auto" w:sz="4" w:space="0"/>
              <w:right w:val="single" w:color="auto" w:sz="4" w:space="0"/>
            </w:tcBorders>
            <w:vAlign w:val="center"/>
          </w:tcPr>
          <w:p>
            <w:pPr>
              <w:widowControl/>
              <w:jc w:val="center"/>
              <w:rPr>
                <w:rFonts w:eastAsia="仿宋_GB2312"/>
                <w:color w:val="auto"/>
                <w:sz w:val="24"/>
              </w:rPr>
            </w:pPr>
            <w:r>
              <w:rPr>
                <w:rFonts w:hint="eastAsia" w:eastAsia="仿宋_GB2312"/>
                <w:color w:val="auto"/>
                <w:sz w:val="24"/>
              </w:rPr>
              <w:t xml:space="preserve">0.30 </w:t>
            </w:r>
          </w:p>
        </w:tc>
        <w:tc>
          <w:tcPr>
            <w:tcW w:w="1602" w:type="dxa"/>
            <w:tcBorders>
              <w:top w:val="nil"/>
              <w:left w:val="nil"/>
              <w:bottom w:val="single" w:color="auto" w:sz="4" w:space="0"/>
              <w:right w:val="single" w:color="auto" w:sz="4" w:space="0"/>
            </w:tcBorders>
            <w:vAlign w:val="center"/>
          </w:tcPr>
          <w:p>
            <w:pPr>
              <w:widowControl/>
              <w:jc w:val="center"/>
              <w:rPr>
                <w:rFonts w:eastAsia="仿宋_GB2312"/>
                <w:color w:val="auto"/>
                <w:sz w:val="24"/>
              </w:rPr>
            </w:pPr>
            <w:r>
              <w:rPr>
                <w:rFonts w:hint="eastAsia" w:eastAsia="仿宋_GB2312"/>
                <w:color w:val="auto"/>
                <w:sz w:val="24"/>
              </w:rPr>
              <w:t xml:space="preserve">0.25 </w:t>
            </w:r>
          </w:p>
        </w:tc>
        <w:tc>
          <w:tcPr>
            <w:tcW w:w="1659" w:type="dxa"/>
            <w:tcBorders>
              <w:top w:val="nil"/>
              <w:left w:val="nil"/>
              <w:bottom w:val="single" w:color="auto" w:sz="4" w:space="0"/>
              <w:right w:val="single" w:color="auto" w:sz="4" w:space="0"/>
            </w:tcBorders>
            <w:vAlign w:val="center"/>
          </w:tcPr>
          <w:p>
            <w:pPr>
              <w:widowControl/>
              <w:jc w:val="center"/>
              <w:rPr>
                <w:rFonts w:eastAsia="仿宋_GB2312"/>
                <w:color w:val="auto"/>
                <w:sz w:val="24"/>
              </w:rPr>
            </w:pPr>
            <w:r>
              <w:rPr>
                <w:rFonts w:hint="eastAsia" w:eastAsia="仿宋_GB2312"/>
                <w:color w:val="auto"/>
                <w:sz w:val="24"/>
              </w:rPr>
              <w:t xml:space="preserve">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3" w:hRule="atLeast"/>
          <w:jc w:val="center"/>
        </w:trPr>
        <w:tc>
          <w:tcPr>
            <w:tcW w:w="1813" w:type="dxa"/>
            <w:tcBorders>
              <w:top w:val="nil"/>
              <w:left w:val="single" w:color="auto" w:sz="4" w:space="0"/>
              <w:bottom w:val="single" w:color="auto" w:sz="4" w:space="0"/>
              <w:right w:val="single" w:color="auto" w:sz="4" w:space="0"/>
            </w:tcBorders>
            <w:vAlign w:val="center"/>
          </w:tcPr>
          <w:p>
            <w:pPr>
              <w:widowControl/>
              <w:jc w:val="center"/>
              <w:rPr>
                <w:rFonts w:eastAsia="仿宋_GB2312"/>
                <w:color w:val="auto"/>
                <w:sz w:val="24"/>
              </w:rPr>
            </w:pPr>
            <w:r>
              <w:rPr>
                <w:rFonts w:hint="eastAsia" w:eastAsia="仿宋_GB2312"/>
                <w:color w:val="auto"/>
                <w:sz w:val="24"/>
              </w:rPr>
              <w:t>地下仓储</w:t>
            </w:r>
          </w:p>
        </w:tc>
        <w:tc>
          <w:tcPr>
            <w:tcW w:w="1759" w:type="dxa"/>
            <w:tcBorders>
              <w:top w:val="nil"/>
              <w:left w:val="nil"/>
              <w:bottom w:val="single" w:color="auto" w:sz="4" w:space="0"/>
              <w:right w:val="single" w:color="auto" w:sz="4" w:space="0"/>
            </w:tcBorders>
            <w:vAlign w:val="center"/>
          </w:tcPr>
          <w:p>
            <w:pPr>
              <w:widowControl/>
              <w:jc w:val="center"/>
              <w:rPr>
                <w:rFonts w:eastAsia="仿宋_GB2312"/>
                <w:color w:val="auto"/>
                <w:sz w:val="24"/>
              </w:rPr>
            </w:pPr>
            <w:r>
              <w:rPr>
                <w:rFonts w:hint="eastAsia" w:eastAsia="仿宋_GB2312"/>
                <w:color w:val="auto"/>
                <w:sz w:val="24"/>
              </w:rPr>
              <w:t>-</w:t>
            </w:r>
          </w:p>
        </w:tc>
        <w:tc>
          <w:tcPr>
            <w:tcW w:w="1417" w:type="dxa"/>
            <w:tcBorders>
              <w:top w:val="nil"/>
              <w:left w:val="nil"/>
              <w:bottom w:val="single" w:color="auto" w:sz="4" w:space="0"/>
              <w:right w:val="single" w:color="auto" w:sz="4" w:space="0"/>
            </w:tcBorders>
            <w:vAlign w:val="center"/>
          </w:tcPr>
          <w:p>
            <w:pPr>
              <w:widowControl/>
              <w:jc w:val="center"/>
              <w:rPr>
                <w:rFonts w:eastAsia="仿宋_GB2312"/>
                <w:color w:val="auto"/>
                <w:sz w:val="24"/>
              </w:rPr>
            </w:pPr>
            <w:r>
              <w:rPr>
                <w:rFonts w:hint="eastAsia" w:eastAsia="仿宋_GB2312"/>
                <w:color w:val="auto"/>
                <w:sz w:val="24"/>
              </w:rPr>
              <w:t xml:space="preserve">0.30 </w:t>
            </w:r>
          </w:p>
        </w:tc>
        <w:tc>
          <w:tcPr>
            <w:tcW w:w="1602" w:type="dxa"/>
            <w:tcBorders>
              <w:top w:val="nil"/>
              <w:left w:val="nil"/>
              <w:bottom w:val="single" w:color="auto" w:sz="4" w:space="0"/>
              <w:right w:val="single" w:color="auto" w:sz="4" w:space="0"/>
            </w:tcBorders>
            <w:vAlign w:val="center"/>
          </w:tcPr>
          <w:p>
            <w:pPr>
              <w:widowControl/>
              <w:jc w:val="center"/>
              <w:rPr>
                <w:rFonts w:eastAsia="仿宋_GB2312"/>
                <w:color w:val="auto"/>
                <w:sz w:val="24"/>
              </w:rPr>
            </w:pPr>
            <w:r>
              <w:rPr>
                <w:rFonts w:hint="eastAsia" w:eastAsia="仿宋_GB2312"/>
                <w:color w:val="auto"/>
                <w:sz w:val="24"/>
              </w:rPr>
              <w:t xml:space="preserve">0.25 </w:t>
            </w:r>
          </w:p>
        </w:tc>
        <w:tc>
          <w:tcPr>
            <w:tcW w:w="1659" w:type="dxa"/>
            <w:tcBorders>
              <w:top w:val="nil"/>
              <w:left w:val="nil"/>
              <w:bottom w:val="single" w:color="auto" w:sz="4" w:space="0"/>
              <w:right w:val="single" w:color="auto" w:sz="4" w:space="0"/>
            </w:tcBorders>
            <w:vAlign w:val="center"/>
          </w:tcPr>
          <w:p>
            <w:pPr>
              <w:widowControl/>
              <w:jc w:val="center"/>
              <w:rPr>
                <w:rFonts w:eastAsia="仿宋_GB2312"/>
                <w:color w:val="auto"/>
                <w:sz w:val="24"/>
              </w:rPr>
            </w:pPr>
            <w:r>
              <w:rPr>
                <w:rFonts w:hint="eastAsia" w:eastAsia="仿宋_GB2312"/>
                <w:color w:val="auto"/>
                <w:sz w:val="24"/>
              </w:rPr>
              <w:t xml:space="preserve">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1813" w:type="dxa"/>
            <w:tcBorders>
              <w:top w:val="nil"/>
              <w:left w:val="single" w:color="auto" w:sz="4" w:space="0"/>
              <w:bottom w:val="single" w:color="auto" w:sz="4" w:space="0"/>
              <w:right w:val="single" w:color="auto" w:sz="4" w:space="0"/>
            </w:tcBorders>
            <w:vAlign w:val="center"/>
          </w:tcPr>
          <w:p>
            <w:pPr>
              <w:widowControl/>
              <w:jc w:val="center"/>
              <w:rPr>
                <w:rFonts w:eastAsia="仿宋_GB2312"/>
                <w:color w:val="auto"/>
                <w:sz w:val="24"/>
              </w:rPr>
            </w:pPr>
            <w:r>
              <w:rPr>
                <w:rFonts w:hint="eastAsia" w:eastAsia="仿宋_GB2312"/>
                <w:color w:val="auto"/>
                <w:sz w:val="24"/>
              </w:rPr>
              <w:t>地下车库</w:t>
            </w:r>
          </w:p>
        </w:tc>
        <w:tc>
          <w:tcPr>
            <w:tcW w:w="1759" w:type="dxa"/>
            <w:tcBorders>
              <w:top w:val="nil"/>
              <w:left w:val="nil"/>
              <w:bottom w:val="single" w:color="auto" w:sz="4" w:space="0"/>
              <w:right w:val="single" w:color="auto" w:sz="4" w:space="0"/>
            </w:tcBorders>
            <w:vAlign w:val="center"/>
          </w:tcPr>
          <w:p>
            <w:pPr>
              <w:widowControl/>
              <w:jc w:val="center"/>
              <w:rPr>
                <w:rFonts w:eastAsia="仿宋_GB2312"/>
                <w:color w:val="auto"/>
                <w:sz w:val="24"/>
              </w:rPr>
            </w:pPr>
            <w:r>
              <w:rPr>
                <w:rFonts w:hint="eastAsia" w:eastAsia="仿宋_GB2312"/>
                <w:color w:val="auto"/>
                <w:sz w:val="24"/>
              </w:rPr>
              <w:t>-</w:t>
            </w:r>
          </w:p>
        </w:tc>
        <w:tc>
          <w:tcPr>
            <w:tcW w:w="1417" w:type="dxa"/>
            <w:tcBorders>
              <w:top w:val="nil"/>
              <w:left w:val="nil"/>
              <w:bottom w:val="single" w:color="auto" w:sz="4" w:space="0"/>
              <w:right w:val="single" w:color="auto" w:sz="4" w:space="0"/>
            </w:tcBorders>
            <w:vAlign w:val="center"/>
          </w:tcPr>
          <w:p>
            <w:pPr>
              <w:widowControl/>
              <w:jc w:val="center"/>
              <w:rPr>
                <w:rFonts w:eastAsia="仿宋_GB2312"/>
                <w:color w:val="auto"/>
                <w:sz w:val="24"/>
              </w:rPr>
            </w:pPr>
            <w:r>
              <w:rPr>
                <w:rFonts w:hint="eastAsia" w:eastAsia="仿宋_GB2312"/>
                <w:color w:val="auto"/>
                <w:sz w:val="24"/>
              </w:rPr>
              <w:t xml:space="preserve">0.25 </w:t>
            </w:r>
          </w:p>
        </w:tc>
        <w:tc>
          <w:tcPr>
            <w:tcW w:w="1602" w:type="dxa"/>
            <w:tcBorders>
              <w:top w:val="nil"/>
              <w:left w:val="nil"/>
              <w:bottom w:val="single" w:color="auto" w:sz="4" w:space="0"/>
              <w:right w:val="single" w:color="auto" w:sz="4" w:space="0"/>
            </w:tcBorders>
            <w:vAlign w:val="center"/>
          </w:tcPr>
          <w:p>
            <w:pPr>
              <w:widowControl/>
              <w:jc w:val="center"/>
              <w:rPr>
                <w:rFonts w:eastAsia="仿宋_GB2312"/>
                <w:color w:val="auto"/>
                <w:sz w:val="24"/>
              </w:rPr>
            </w:pPr>
            <w:r>
              <w:rPr>
                <w:rFonts w:hint="eastAsia" w:eastAsia="仿宋_GB2312"/>
                <w:color w:val="auto"/>
                <w:sz w:val="24"/>
              </w:rPr>
              <w:t xml:space="preserve">0.20 </w:t>
            </w:r>
          </w:p>
        </w:tc>
        <w:tc>
          <w:tcPr>
            <w:tcW w:w="1659" w:type="dxa"/>
            <w:tcBorders>
              <w:top w:val="nil"/>
              <w:left w:val="nil"/>
              <w:bottom w:val="single" w:color="auto" w:sz="4" w:space="0"/>
              <w:right w:val="single" w:color="auto" w:sz="4" w:space="0"/>
            </w:tcBorders>
            <w:vAlign w:val="center"/>
          </w:tcPr>
          <w:p>
            <w:pPr>
              <w:widowControl/>
              <w:jc w:val="center"/>
              <w:rPr>
                <w:rFonts w:eastAsia="仿宋_GB2312"/>
                <w:color w:val="auto"/>
                <w:sz w:val="24"/>
              </w:rPr>
            </w:pPr>
            <w:r>
              <w:rPr>
                <w:rFonts w:hint="eastAsia" w:eastAsia="仿宋_GB2312"/>
                <w:color w:val="auto"/>
                <w:sz w:val="24"/>
              </w:rPr>
              <w:t xml:space="preserve">0.15 </w:t>
            </w:r>
          </w:p>
        </w:tc>
      </w:tr>
    </w:tbl>
    <w:p>
      <w:pPr>
        <w:pStyle w:val="9"/>
        <w:numPr>
          <w:ilvl w:val="0"/>
          <w:numId w:val="2"/>
        </w:numPr>
        <w:tabs>
          <w:tab w:val="left" w:pos="1455"/>
          <w:tab w:val="left" w:pos="1785"/>
        </w:tabs>
        <w:spacing w:after="0" w:line="640" w:lineRule="exact"/>
        <w:ind w:firstLine="630" w:firstLineChars="225"/>
        <w:rPr>
          <w:rFonts w:eastAsia="仿宋_GB2312"/>
          <w:color w:val="auto"/>
          <w:sz w:val="28"/>
        </w:rPr>
      </w:pPr>
      <w:r>
        <w:rPr>
          <w:rFonts w:hint="eastAsia" w:eastAsia="仿宋_GB2312"/>
          <w:color w:val="auto"/>
          <w:sz w:val="28"/>
        </w:rPr>
        <w:t xml:space="preserve">  付款进度及方式</w:t>
      </w:r>
    </w:p>
    <w:p>
      <w:pPr>
        <w:pStyle w:val="35"/>
        <w:numPr>
          <w:numId w:val="0"/>
        </w:numPr>
        <w:tabs>
          <w:tab w:val="left" w:pos="2205"/>
        </w:tabs>
        <w:ind w:leftChars="200"/>
        <w:rPr>
          <w:rFonts w:eastAsia="仿宋_GB2312"/>
          <w:color w:val="auto"/>
          <w:sz w:val="28"/>
        </w:rPr>
      </w:pPr>
      <w:r>
        <w:rPr>
          <w:rFonts w:hint="eastAsia" w:ascii="仿宋_GB2312" w:eastAsia="仿宋_GB2312"/>
          <w:color w:val="auto"/>
          <w:sz w:val="32"/>
          <w:szCs w:val="32"/>
          <w:lang w:eastAsia="zh-CN"/>
        </w:rPr>
        <w:t>（一）竞得</w:t>
      </w:r>
      <w:r>
        <w:rPr>
          <w:rFonts w:hint="eastAsia" w:ascii="仿宋_GB2312" w:eastAsia="仿宋_GB2312"/>
          <w:color w:val="auto"/>
          <w:sz w:val="32"/>
          <w:szCs w:val="32"/>
        </w:rPr>
        <w:t>人在签订《集体经营性建设用地使用权出让合同》后25个工作日内，一次性通过监管账户向</w:t>
      </w:r>
      <w:r>
        <w:rPr>
          <w:rFonts w:hint="eastAsia" w:ascii="仿宋_GB2312" w:eastAsia="仿宋_GB2312"/>
          <w:color w:val="auto"/>
          <w:sz w:val="32"/>
          <w:szCs w:val="32"/>
          <w:lang w:val="en-US" w:eastAsia="zh-CN"/>
        </w:rPr>
        <w:t>北京汇瀛恒业有限</w:t>
      </w:r>
      <w:r>
        <w:rPr>
          <w:rFonts w:hint="eastAsia" w:ascii="仿宋_GB2312" w:eastAsia="仿宋_GB2312"/>
          <w:color w:val="auto"/>
          <w:sz w:val="32"/>
          <w:szCs w:val="32"/>
        </w:rPr>
        <w:t>公司支付集体经营性建设用地使用权出让价款</w:t>
      </w:r>
      <w:r>
        <w:rPr>
          <w:rFonts w:hint="default" w:ascii="Times New Roman" w:hAnsi="Times New Roman" w:eastAsia="仿宋_GB2312" w:cs="Times New Roman"/>
          <w:color w:val="auto"/>
          <w:sz w:val="28"/>
          <w:szCs w:val="28"/>
          <w:lang w:eastAsia="zh-CN"/>
        </w:rPr>
        <w:t>。</w:t>
      </w:r>
    </w:p>
    <w:p>
      <w:pPr>
        <w:pStyle w:val="9"/>
        <w:numPr>
          <w:ilvl w:val="0"/>
          <w:numId w:val="2"/>
        </w:numPr>
        <w:tabs>
          <w:tab w:val="left" w:pos="1455"/>
          <w:tab w:val="left" w:pos="1785"/>
        </w:tabs>
        <w:spacing w:after="0" w:line="640" w:lineRule="exact"/>
        <w:ind w:firstLine="630" w:firstLineChars="225"/>
        <w:rPr>
          <w:rFonts w:eastAsia="仿宋_GB2312"/>
          <w:color w:val="auto"/>
          <w:sz w:val="28"/>
        </w:rPr>
      </w:pPr>
      <w:r>
        <w:rPr>
          <w:rFonts w:hint="eastAsia" w:eastAsia="仿宋_GB2312"/>
          <w:color w:val="auto"/>
          <w:sz w:val="28"/>
        </w:rPr>
        <w:t xml:space="preserve">  土地交接标准</w:t>
      </w:r>
    </w:p>
    <w:p>
      <w:pPr>
        <w:pStyle w:val="9"/>
        <w:tabs>
          <w:tab w:val="left" w:pos="1455"/>
          <w:tab w:val="left" w:pos="1785"/>
        </w:tabs>
        <w:spacing w:after="0" w:line="640" w:lineRule="exact"/>
        <w:rPr>
          <w:rFonts w:eastAsia="仿宋_GB2312"/>
          <w:color w:val="auto"/>
          <w:sz w:val="28"/>
        </w:rPr>
      </w:pPr>
      <w:r>
        <w:rPr>
          <w:rFonts w:hint="eastAsia" w:eastAsia="仿宋_GB2312"/>
          <w:color w:val="auto"/>
          <w:sz w:val="28"/>
          <w:lang w:val="en-US" w:eastAsia="zh-CN"/>
        </w:rPr>
        <w:t xml:space="preserve"> 　　</w:t>
      </w:r>
      <w:r>
        <w:rPr>
          <w:rFonts w:hint="eastAsia" w:eastAsia="仿宋_GB2312"/>
          <w:color w:val="auto"/>
          <w:sz w:val="28"/>
          <w:lang w:eastAsia="zh-CN"/>
        </w:rPr>
        <w:t>北京汇瀛恒业有限公司</w:t>
      </w:r>
      <w:r>
        <w:rPr>
          <w:rFonts w:hint="eastAsia" w:eastAsia="仿宋_GB2312"/>
          <w:color w:val="auto"/>
          <w:sz w:val="28"/>
        </w:rPr>
        <w:t>承诺按以下要求，向竞得人供地：</w:t>
      </w:r>
    </w:p>
    <w:p>
      <w:pPr>
        <w:ind w:firstLine="640"/>
        <w:rPr>
          <w:rFonts w:ascii="仿宋_GB2312" w:eastAsia="仿宋_GB2312"/>
          <w:color w:val="auto"/>
          <w:sz w:val="28"/>
          <w:szCs w:val="28"/>
        </w:rPr>
      </w:pPr>
      <w:r>
        <w:rPr>
          <w:rFonts w:hint="eastAsia" w:ascii="Times New Roman" w:hAnsi="Times New Roman" w:eastAsia="仿宋_GB2312" w:cs="Times New Roman"/>
          <w:color w:val="auto"/>
          <w:kern w:val="2"/>
          <w:sz w:val="28"/>
          <w:szCs w:val="24"/>
          <w:lang w:val="en-US" w:eastAsia="zh-CN" w:bidi="ar-SA"/>
        </w:rPr>
        <w:t>竞得人按合同约定支付全部地价款后可向北京汇瀛恒业有限公司提出接收土地申请，由北京汇瀛恒业有限公司以临时“三通一平”（“三通”指通临路、具备临水、临电的接入条件。“一平”指除最终可保留及涉及二级开发单位继续使用的地上物外，无其他施工障碍物的场地自然平整）条件交接宗地。竣工验收前达到“六通一平”（“六通”是指通路、通上水(自来水、中水)、通下水(雨水、污水)、通电(仅管沟)、通讯(电信、有线电视）、通燃气的条件。“一平”指除最终可保留及涉及二级开发单位继续使用的地上物外，无其他施工障碍物的场地自然平整)条件的宗地。北京汇瀛恒业有限公司将协助竞得人完成各种市政设施的接用工作，接用及报装费用由竞得人承担。（最终以市政竣工验收报告为准）。</w:t>
      </w:r>
    </w:p>
    <w:p>
      <w:pPr>
        <w:pStyle w:val="9"/>
        <w:tabs>
          <w:tab w:val="left" w:pos="1455"/>
          <w:tab w:val="left" w:pos="1785"/>
        </w:tabs>
        <w:spacing w:after="0" w:line="640" w:lineRule="exact"/>
        <w:ind w:left="-105" w:leftChars="-50" w:firstLine="560" w:firstLineChars="200"/>
        <w:rPr>
          <w:rFonts w:hint="eastAsia" w:ascii="Times New Roman" w:hAnsi="Times New Roman" w:eastAsia="仿宋_GB2312" w:cs="Times New Roman"/>
          <w:color w:val="auto"/>
          <w:kern w:val="2"/>
          <w:sz w:val="28"/>
          <w:szCs w:val="24"/>
          <w:lang w:val="en-US" w:eastAsia="zh-CN" w:bidi="ar-SA"/>
        </w:rPr>
      </w:pPr>
      <w:r>
        <w:rPr>
          <w:rFonts w:hint="eastAsia" w:ascii="Times New Roman" w:hAnsi="Times New Roman" w:eastAsia="仿宋_GB2312" w:cs="Times New Roman"/>
          <w:color w:val="auto"/>
          <w:kern w:val="2"/>
          <w:sz w:val="28"/>
          <w:szCs w:val="24"/>
          <w:lang w:val="en-US" w:eastAsia="zh-CN" w:bidi="ar-SA"/>
        </w:rPr>
        <w:t>宗地交接之日起，10个工作日内，竞得人须到大兴分中心备案宗地交接单。</w:t>
      </w:r>
    </w:p>
    <w:p>
      <w:pPr>
        <w:pStyle w:val="3"/>
        <w:spacing w:line="240" w:lineRule="auto"/>
        <w:jc w:val="center"/>
        <w:rPr>
          <w:rFonts w:eastAsia="仿宋_GB2312"/>
          <w:color w:val="auto"/>
          <w:sz w:val="28"/>
        </w:rPr>
      </w:pPr>
      <w:bookmarkStart w:id="27" w:name="_Toc30390"/>
      <w:r>
        <w:rPr>
          <w:rFonts w:ascii="Times New Roman" w:hAnsi="Times New Roman" w:eastAsia="仿宋_GB2312"/>
          <w:color w:val="auto"/>
        </w:rPr>
        <w:t>第</w:t>
      </w:r>
      <w:r>
        <w:rPr>
          <w:rFonts w:hint="eastAsia" w:ascii="Times New Roman" w:hAnsi="Times New Roman" w:eastAsia="仿宋_GB2312"/>
          <w:color w:val="auto"/>
        </w:rPr>
        <w:t>六</w:t>
      </w:r>
      <w:r>
        <w:rPr>
          <w:rFonts w:ascii="Times New Roman" w:hAnsi="Times New Roman" w:eastAsia="仿宋_GB2312"/>
          <w:color w:val="auto"/>
        </w:rPr>
        <w:t>章</w:t>
      </w:r>
      <w:r>
        <w:rPr>
          <w:rFonts w:hint="eastAsia" w:ascii="Times New Roman" w:hAnsi="Times New Roman" w:eastAsia="仿宋_GB2312"/>
          <w:color w:val="auto"/>
          <w:lang w:val="en-US" w:eastAsia="zh-CN"/>
        </w:rPr>
        <w:t xml:space="preserve"> </w:t>
      </w:r>
      <w:r>
        <w:rPr>
          <w:rFonts w:ascii="Times New Roman" w:hAnsi="Times New Roman" w:eastAsia="仿宋_GB2312"/>
          <w:color w:val="auto"/>
        </w:rPr>
        <w:t>挂牌竞价程序</w:t>
      </w:r>
      <w:bookmarkEnd w:id="27"/>
    </w:p>
    <w:p>
      <w:pPr>
        <w:pStyle w:val="9"/>
        <w:numPr>
          <w:ilvl w:val="0"/>
          <w:numId w:val="2"/>
        </w:numPr>
        <w:tabs>
          <w:tab w:val="left" w:pos="1455"/>
          <w:tab w:val="left" w:pos="1785"/>
        </w:tabs>
        <w:spacing w:after="0" w:line="640" w:lineRule="exact"/>
        <w:ind w:firstLine="630" w:firstLineChars="225"/>
        <w:rPr>
          <w:rFonts w:eastAsia="仿宋_GB2312"/>
          <w:color w:val="auto"/>
          <w:sz w:val="28"/>
        </w:rPr>
      </w:pPr>
      <w:r>
        <w:rPr>
          <w:rFonts w:eastAsia="仿宋_GB2312"/>
          <w:color w:val="auto"/>
          <w:sz w:val="28"/>
        </w:rPr>
        <w:t>本次挂牌按下列程序进行：</w:t>
      </w:r>
    </w:p>
    <w:p>
      <w:pPr>
        <w:ind w:left="-139" w:leftChars="-66" w:firstLine="640" w:firstLineChars="200"/>
        <w:rPr>
          <w:rFonts w:eastAsia="仿宋_GB2312"/>
          <w:color w:val="auto"/>
          <w:sz w:val="28"/>
        </w:rPr>
      </w:pPr>
      <w:r>
        <w:rPr>
          <w:rFonts w:eastAsia="仿宋_GB2312"/>
          <w:color w:val="auto"/>
          <w:sz w:val="28"/>
        </w:rPr>
        <w:t>1、</w:t>
      </w:r>
      <w:r>
        <w:rPr>
          <w:rFonts w:hint="eastAsia" w:eastAsia="仿宋_GB2312"/>
          <w:color w:val="auto"/>
          <w:sz w:val="28"/>
        </w:rPr>
        <w:t>201</w:t>
      </w:r>
      <w:r>
        <w:rPr>
          <w:rFonts w:hint="eastAsia" w:eastAsia="仿宋_GB2312"/>
          <w:color w:val="auto"/>
          <w:sz w:val="28"/>
          <w:lang w:val="en-US" w:eastAsia="zh-CN"/>
        </w:rPr>
        <w:t>8</w:t>
      </w:r>
      <w:r>
        <w:rPr>
          <w:rFonts w:hint="eastAsia" w:eastAsia="仿宋_GB2312"/>
          <w:color w:val="auto"/>
          <w:sz w:val="28"/>
        </w:rPr>
        <w:t>年</w:t>
      </w:r>
      <w:r>
        <w:rPr>
          <w:rFonts w:hint="eastAsia" w:eastAsia="仿宋_GB2312"/>
          <w:color w:val="auto"/>
          <w:sz w:val="28"/>
          <w:lang w:val="en-US" w:eastAsia="zh-CN"/>
        </w:rPr>
        <w:t>10</w:t>
      </w:r>
      <w:r>
        <w:rPr>
          <w:rFonts w:hint="eastAsia" w:eastAsia="仿宋_GB2312"/>
          <w:color w:val="auto"/>
          <w:sz w:val="28"/>
        </w:rPr>
        <w:t>月</w:t>
      </w:r>
      <w:r>
        <w:rPr>
          <w:rFonts w:hint="eastAsia" w:eastAsia="仿宋_GB2312"/>
          <w:color w:val="auto"/>
          <w:sz w:val="28"/>
          <w:lang w:val="en-US" w:eastAsia="zh-CN"/>
        </w:rPr>
        <w:t>23</w:t>
      </w:r>
      <w:r>
        <w:rPr>
          <w:rFonts w:hint="eastAsia" w:eastAsia="仿宋_GB2312"/>
          <w:color w:val="auto"/>
          <w:sz w:val="28"/>
        </w:rPr>
        <w:t>日</w:t>
      </w:r>
      <w:r>
        <w:rPr>
          <w:rFonts w:eastAsia="仿宋_GB2312"/>
          <w:color w:val="auto"/>
          <w:sz w:val="28"/>
        </w:rPr>
        <w:t>起发布挂牌公告，</w:t>
      </w:r>
      <w:r>
        <w:rPr>
          <w:rFonts w:hint="eastAsia" w:eastAsia="仿宋_GB2312"/>
          <w:color w:val="auto"/>
          <w:sz w:val="28"/>
          <w:lang w:eastAsia="zh-CN"/>
        </w:rPr>
        <w:t>挂牌公告文件由竞买人在北京市规划和国土资源管理委员会官方网站自行下载</w:t>
      </w:r>
      <w:r>
        <w:rPr>
          <w:rFonts w:hint="eastAsia" w:eastAsia="仿宋_GB2312"/>
          <w:color w:val="auto"/>
          <w:sz w:val="28"/>
          <w:lang w:val="en-US" w:eastAsia="zh-CN"/>
        </w:rPr>
        <w:t>;</w:t>
      </w:r>
    </w:p>
    <w:p>
      <w:pPr>
        <w:ind w:firstLine="627" w:firstLineChars="224"/>
        <w:rPr>
          <w:rFonts w:eastAsia="仿宋_GB2312"/>
          <w:color w:val="auto"/>
          <w:sz w:val="28"/>
        </w:rPr>
      </w:pPr>
      <w:r>
        <w:rPr>
          <w:rFonts w:eastAsia="仿宋_GB2312"/>
          <w:color w:val="auto"/>
          <w:sz w:val="28"/>
        </w:rPr>
        <w:t>2、</w:t>
      </w:r>
      <w:r>
        <w:rPr>
          <w:rFonts w:hint="eastAsia" w:eastAsia="仿宋_GB2312"/>
          <w:color w:val="auto"/>
          <w:sz w:val="28"/>
        </w:rPr>
        <w:t>201</w:t>
      </w:r>
      <w:r>
        <w:rPr>
          <w:rFonts w:hint="eastAsia" w:eastAsia="仿宋_GB2312"/>
          <w:color w:val="auto"/>
          <w:sz w:val="28"/>
          <w:lang w:val="en-US" w:eastAsia="zh-CN"/>
        </w:rPr>
        <w:t>8</w:t>
      </w:r>
      <w:r>
        <w:rPr>
          <w:rFonts w:hint="eastAsia" w:eastAsia="仿宋_GB2312"/>
          <w:color w:val="auto"/>
          <w:sz w:val="28"/>
        </w:rPr>
        <w:t>年</w:t>
      </w:r>
      <w:r>
        <w:rPr>
          <w:rFonts w:hint="eastAsia" w:eastAsia="仿宋_GB2312"/>
          <w:color w:val="auto"/>
          <w:sz w:val="28"/>
          <w:lang w:val="en-US" w:eastAsia="zh-CN"/>
        </w:rPr>
        <w:t>11</w:t>
      </w:r>
      <w:r>
        <w:rPr>
          <w:rFonts w:hint="eastAsia" w:eastAsia="仿宋_GB2312"/>
          <w:color w:val="auto"/>
          <w:sz w:val="28"/>
        </w:rPr>
        <w:t>月</w:t>
      </w:r>
      <w:r>
        <w:rPr>
          <w:rFonts w:hint="eastAsia" w:eastAsia="仿宋_GB2312"/>
          <w:color w:val="auto"/>
          <w:sz w:val="28"/>
          <w:lang w:val="en-US" w:eastAsia="zh-CN"/>
        </w:rPr>
        <w:t>12</w:t>
      </w:r>
      <w:r>
        <w:rPr>
          <w:rFonts w:hint="eastAsia" w:eastAsia="仿宋_GB2312"/>
          <w:color w:val="auto"/>
          <w:sz w:val="28"/>
        </w:rPr>
        <w:t>日</w:t>
      </w:r>
      <w:r>
        <w:rPr>
          <w:rFonts w:eastAsia="仿宋_GB2312"/>
          <w:color w:val="auto"/>
          <w:sz w:val="28"/>
        </w:rPr>
        <w:t>9：00时起，</w:t>
      </w:r>
      <w:r>
        <w:rPr>
          <w:rFonts w:hint="eastAsia" w:eastAsia="仿宋_GB2312"/>
          <w:color w:val="auto"/>
          <w:sz w:val="28"/>
        </w:rPr>
        <w:t>大兴分中心开始接受竞价</w:t>
      </w:r>
      <w:r>
        <w:rPr>
          <w:rFonts w:eastAsia="仿宋_GB2312"/>
          <w:color w:val="auto"/>
          <w:sz w:val="28"/>
        </w:rPr>
        <w:t>；</w:t>
      </w:r>
    </w:p>
    <w:p>
      <w:pPr>
        <w:spacing w:beforeLines="30" w:afterLines="30"/>
        <w:ind w:firstLine="627" w:firstLineChars="224"/>
        <w:rPr>
          <w:rFonts w:eastAsia="仿宋_GB2312"/>
          <w:color w:val="auto"/>
          <w:sz w:val="28"/>
        </w:rPr>
      </w:pPr>
      <w:r>
        <w:rPr>
          <w:rFonts w:eastAsia="仿宋_GB2312"/>
          <w:color w:val="auto"/>
          <w:sz w:val="28"/>
        </w:rPr>
        <w:t>3、拟参加挂牌竞买人提出挂牌竞买申请；</w:t>
      </w:r>
    </w:p>
    <w:p>
      <w:pPr>
        <w:spacing w:beforeLines="30" w:afterLines="30"/>
        <w:ind w:firstLine="627" w:firstLineChars="224"/>
        <w:rPr>
          <w:rFonts w:eastAsia="仿宋_GB2312"/>
          <w:color w:val="auto"/>
          <w:sz w:val="28"/>
        </w:rPr>
      </w:pPr>
      <w:r>
        <w:rPr>
          <w:rFonts w:eastAsia="仿宋_GB2312"/>
          <w:color w:val="auto"/>
          <w:sz w:val="28"/>
        </w:rPr>
        <w:t>4、符合条件的竞买人填报竞买报价单报价；</w:t>
      </w:r>
    </w:p>
    <w:p>
      <w:pPr>
        <w:spacing w:beforeLines="30" w:afterLines="30"/>
        <w:ind w:firstLine="627" w:firstLineChars="224"/>
        <w:rPr>
          <w:rFonts w:eastAsia="仿宋_GB2312"/>
          <w:color w:val="auto"/>
          <w:sz w:val="28"/>
        </w:rPr>
      </w:pPr>
      <w:r>
        <w:rPr>
          <w:rFonts w:eastAsia="仿宋_GB2312"/>
          <w:color w:val="auto"/>
          <w:sz w:val="28"/>
        </w:rPr>
        <w:t>5、确认报价后，及时更新挂牌报价；</w:t>
      </w:r>
    </w:p>
    <w:p>
      <w:pPr>
        <w:spacing w:beforeLines="30" w:afterLines="30"/>
        <w:ind w:firstLine="627" w:firstLineChars="224"/>
        <w:rPr>
          <w:rFonts w:eastAsia="仿宋_GB2312"/>
          <w:color w:val="auto"/>
          <w:sz w:val="28"/>
        </w:rPr>
      </w:pPr>
      <w:r>
        <w:rPr>
          <w:rFonts w:eastAsia="仿宋_GB2312"/>
          <w:color w:val="auto"/>
          <w:sz w:val="28"/>
        </w:rPr>
        <w:t>6、继续接受新的报价；</w:t>
      </w:r>
    </w:p>
    <w:p>
      <w:pPr>
        <w:spacing w:beforeLines="30" w:afterLines="30"/>
        <w:ind w:firstLine="627" w:firstLineChars="224"/>
        <w:rPr>
          <w:rFonts w:eastAsia="仿宋_GB2312"/>
          <w:color w:val="auto"/>
          <w:sz w:val="28"/>
        </w:rPr>
      </w:pPr>
      <w:r>
        <w:rPr>
          <w:rFonts w:hint="eastAsia" w:eastAsia="仿宋_GB2312"/>
          <w:color w:val="auto"/>
          <w:sz w:val="28"/>
        </w:rPr>
        <w:t>7</w:t>
      </w:r>
      <w:r>
        <w:rPr>
          <w:rFonts w:eastAsia="仿宋_GB2312"/>
          <w:color w:val="auto"/>
          <w:sz w:val="28"/>
        </w:rPr>
        <w:t>、确定挂牌出让宗地竞得人；</w:t>
      </w:r>
    </w:p>
    <w:p>
      <w:pPr>
        <w:spacing w:beforeLines="30" w:afterLines="30"/>
        <w:ind w:firstLine="627" w:firstLineChars="224"/>
        <w:rPr>
          <w:rFonts w:eastAsia="仿宋_GB2312"/>
          <w:color w:val="auto"/>
          <w:sz w:val="28"/>
        </w:rPr>
      </w:pPr>
      <w:r>
        <w:rPr>
          <w:rFonts w:hint="eastAsia" w:eastAsia="仿宋_GB2312"/>
          <w:color w:val="auto"/>
          <w:sz w:val="28"/>
        </w:rPr>
        <w:t>8</w:t>
      </w:r>
      <w:r>
        <w:rPr>
          <w:rFonts w:eastAsia="仿宋_GB2312"/>
          <w:color w:val="auto"/>
          <w:sz w:val="28"/>
        </w:rPr>
        <w:t>、发出《成交确认书》；</w:t>
      </w:r>
    </w:p>
    <w:p>
      <w:pPr>
        <w:spacing w:beforeLines="30" w:afterLines="30"/>
        <w:ind w:firstLine="627" w:firstLineChars="224"/>
        <w:rPr>
          <w:rFonts w:eastAsia="仿宋_GB2312"/>
          <w:color w:val="auto"/>
          <w:sz w:val="28"/>
        </w:rPr>
      </w:pPr>
      <w:r>
        <w:rPr>
          <w:rFonts w:hint="eastAsia" w:eastAsia="仿宋_GB2312"/>
          <w:color w:val="auto"/>
          <w:sz w:val="28"/>
        </w:rPr>
        <w:t>9</w:t>
      </w:r>
      <w:r>
        <w:rPr>
          <w:rFonts w:eastAsia="仿宋_GB2312"/>
          <w:color w:val="auto"/>
          <w:sz w:val="28"/>
        </w:rPr>
        <w:t>、竞得人与</w:t>
      </w:r>
      <w:r>
        <w:rPr>
          <w:rFonts w:hint="eastAsia" w:eastAsia="仿宋_GB2312"/>
          <w:color w:val="auto"/>
          <w:sz w:val="28"/>
          <w:lang w:eastAsia="zh-CN"/>
        </w:rPr>
        <w:t>北京汇瀛恒业有限公司</w:t>
      </w:r>
      <w:r>
        <w:rPr>
          <w:rFonts w:eastAsia="仿宋_GB2312"/>
          <w:color w:val="auto"/>
          <w:sz w:val="28"/>
        </w:rPr>
        <w:t>签订《集体经营性建设用地使用权出让合同》。</w:t>
      </w:r>
    </w:p>
    <w:p>
      <w:pPr>
        <w:pStyle w:val="9"/>
        <w:tabs>
          <w:tab w:val="left" w:pos="840"/>
          <w:tab w:val="left" w:pos="945"/>
          <w:tab w:val="left" w:pos="1620"/>
        </w:tabs>
        <w:spacing w:line="360" w:lineRule="auto"/>
        <w:ind w:firstLine="560" w:firstLineChars="200"/>
        <w:jc w:val="both"/>
        <w:rPr>
          <w:rFonts w:hint="default" w:ascii="Times New Roman" w:hAnsi="Times New Roman" w:eastAsia="仿宋_GB2312" w:cs="Times New Roman"/>
          <w:color w:val="auto"/>
          <w:sz w:val="28"/>
          <w:szCs w:val="28"/>
          <w:lang w:val="en-US" w:eastAsia="zh-CN"/>
        </w:rPr>
      </w:pPr>
      <w:r>
        <w:rPr>
          <w:rFonts w:hint="eastAsia" w:eastAsia="仿宋_GB2312" w:cs="Times New Roman"/>
          <w:color w:val="auto"/>
          <w:sz w:val="28"/>
          <w:szCs w:val="28"/>
          <w:lang w:val="en-US" w:eastAsia="zh-CN"/>
        </w:rPr>
        <w:t>10、竞得</w:t>
      </w:r>
      <w:r>
        <w:rPr>
          <w:rFonts w:hint="default" w:ascii="Times New Roman" w:hAnsi="Times New Roman" w:eastAsia="仿宋_GB2312" w:cs="Times New Roman"/>
          <w:color w:val="auto"/>
          <w:sz w:val="28"/>
          <w:szCs w:val="28"/>
          <w:lang w:val="en-US" w:eastAsia="zh-CN"/>
        </w:rPr>
        <w:t>人将</w:t>
      </w:r>
      <w:r>
        <w:rPr>
          <w:rFonts w:hint="default" w:ascii="Times New Roman" w:hAnsi="Times New Roman" w:eastAsia="仿宋_GB2312" w:cs="Times New Roman"/>
          <w:color w:val="auto"/>
          <w:sz w:val="28"/>
        </w:rPr>
        <w:t>《集体经营性建设用地使用权出让合同》</w:t>
      </w:r>
      <w:r>
        <w:rPr>
          <w:rFonts w:hint="default" w:ascii="Times New Roman" w:hAnsi="Times New Roman" w:eastAsia="仿宋_GB2312" w:cs="Times New Roman"/>
          <w:color w:val="auto"/>
          <w:sz w:val="28"/>
          <w:lang w:eastAsia="zh-CN"/>
        </w:rPr>
        <w:t>备案至北京市</w:t>
      </w:r>
      <w:r>
        <w:rPr>
          <w:rFonts w:hint="eastAsia" w:eastAsia="仿宋_GB2312" w:cs="Times New Roman"/>
          <w:color w:val="auto"/>
          <w:sz w:val="28"/>
          <w:lang w:eastAsia="zh-CN"/>
        </w:rPr>
        <w:t>规划和国土资源管理委员会</w:t>
      </w:r>
      <w:r>
        <w:rPr>
          <w:rFonts w:hint="default" w:ascii="Times New Roman" w:hAnsi="Times New Roman" w:eastAsia="仿宋_GB2312" w:cs="Times New Roman"/>
          <w:color w:val="auto"/>
          <w:sz w:val="28"/>
          <w:lang w:eastAsia="zh-CN"/>
        </w:rPr>
        <w:t>大兴分局</w:t>
      </w:r>
      <w:r>
        <w:rPr>
          <w:rFonts w:hint="eastAsia" w:eastAsia="仿宋_GB2312" w:cs="Times New Roman"/>
          <w:color w:val="auto"/>
          <w:sz w:val="28"/>
          <w:lang w:eastAsia="zh-CN"/>
        </w:rPr>
        <w:t>规划实施与土地利用科</w:t>
      </w:r>
      <w:r>
        <w:rPr>
          <w:rFonts w:hint="default" w:ascii="Times New Roman" w:hAnsi="Times New Roman" w:eastAsia="仿宋_GB2312" w:cs="Times New Roman"/>
          <w:color w:val="auto"/>
          <w:sz w:val="28"/>
          <w:lang w:eastAsia="zh-CN"/>
        </w:rPr>
        <w:t>。</w:t>
      </w:r>
    </w:p>
    <w:p>
      <w:pPr>
        <w:pStyle w:val="3"/>
        <w:spacing w:line="240" w:lineRule="auto"/>
        <w:jc w:val="center"/>
        <w:rPr>
          <w:rFonts w:ascii="Times New Roman" w:hAnsi="Times New Roman" w:eastAsia="仿宋_GB2312"/>
          <w:color w:val="auto"/>
        </w:rPr>
      </w:pPr>
      <w:bookmarkStart w:id="28" w:name="_Toc212531164"/>
      <w:bookmarkStart w:id="29" w:name="_Toc272043502"/>
      <w:bookmarkStart w:id="30" w:name="_Toc212531028"/>
      <w:bookmarkStart w:id="31" w:name="_Toc16230"/>
      <w:r>
        <w:rPr>
          <w:rFonts w:ascii="Times New Roman" w:hAnsi="Times New Roman" w:eastAsia="仿宋_GB2312"/>
          <w:color w:val="auto"/>
        </w:rPr>
        <w:t>第</w:t>
      </w:r>
      <w:r>
        <w:rPr>
          <w:rFonts w:hint="eastAsia" w:ascii="Times New Roman" w:hAnsi="Times New Roman" w:eastAsia="仿宋_GB2312"/>
          <w:color w:val="auto"/>
        </w:rPr>
        <w:t>七</w:t>
      </w:r>
      <w:r>
        <w:rPr>
          <w:rFonts w:ascii="Times New Roman" w:hAnsi="Times New Roman" w:eastAsia="仿宋_GB2312"/>
          <w:color w:val="auto"/>
        </w:rPr>
        <w:t>章</w:t>
      </w:r>
      <w:r>
        <w:rPr>
          <w:rFonts w:hint="eastAsia" w:ascii="Times New Roman" w:hAnsi="Times New Roman" w:eastAsia="仿宋_GB2312"/>
          <w:color w:val="auto"/>
          <w:lang w:val="en-US" w:eastAsia="zh-CN"/>
        </w:rPr>
        <w:t xml:space="preserve"> </w:t>
      </w:r>
      <w:r>
        <w:rPr>
          <w:rFonts w:ascii="Times New Roman" w:hAnsi="Times New Roman" w:eastAsia="仿宋_GB2312"/>
          <w:color w:val="auto"/>
        </w:rPr>
        <w:t>竞买申请期限及内容</w:t>
      </w:r>
      <w:bookmarkEnd w:id="28"/>
      <w:bookmarkEnd w:id="29"/>
      <w:bookmarkEnd w:id="30"/>
      <w:bookmarkEnd w:id="31"/>
    </w:p>
    <w:p>
      <w:pPr>
        <w:pStyle w:val="9"/>
        <w:numPr>
          <w:ilvl w:val="0"/>
          <w:numId w:val="2"/>
        </w:numPr>
        <w:tabs>
          <w:tab w:val="left" w:pos="1455"/>
          <w:tab w:val="left" w:pos="1785"/>
        </w:tabs>
        <w:spacing w:after="0" w:line="640" w:lineRule="exact"/>
        <w:ind w:firstLine="630" w:firstLineChars="225"/>
        <w:rPr>
          <w:rFonts w:eastAsia="仿宋_GB2312"/>
          <w:color w:val="auto"/>
          <w:sz w:val="28"/>
        </w:rPr>
      </w:pPr>
      <w:r>
        <w:rPr>
          <w:rFonts w:eastAsia="仿宋_GB2312"/>
          <w:color w:val="auto"/>
          <w:sz w:val="28"/>
        </w:rPr>
        <w:t>参加挂牌竞买人须全面审阅挂牌文件，对挂牌文件有疑问的，可以在挂牌期限内向</w:t>
      </w:r>
      <w:r>
        <w:rPr>
          <w:rFonts w:hint="eastAsia" w:eastAsia="仿宋_GB2312"/>
          <w:color w:val="auto"/>
          <w:sz w:val="28"/>
        </w:rPr>
        <w:t>大兴分中心</w:t>
      </w:r>
      <w:r>
        <w:rPr>
          <w:rFonts w:hint="eastAsia" w:eastAsia="仿宋_GB2312"/>
          <w:color w:val="auto"/>
          <w:sz w:val="28"/>
          <w:lang w:eastAsia="zh-CN"/>
        </w:rPr>
        <w:t>及出让方</w:t>
      </w:r>
      <w:r>
        <w:rPr>
          <w:rFonts w:eastAsia="仿宋_GB2312"/>
          <w:color w:val="auto"/>
          <w:sz w:val="28"/>
        </w:rPr>
        <w:t>咨询。竞买人对土地现状有异议的，应在申请竞买前提出</w:t>
      </w:r>
      <w:r>
        <w:rPr>
          <w:rFonts w:hint="eastAsia" w:eastAsia="仿宋_GB2312"/>
          <w:color w:val="auto"/>
          <w:sz w:val="28"/>
        </w:rPr>
        <w:t>，或咨询出让方</w:t>
      </w:r>
      <w:r>
        <w:rPr>
          <w:rFonts w:eastAsia="仿宋_GB2312"/>
          <w:color w:val="auto"/>
          <w:sz w:val="28"/>
        </w:rPr>
        <w:t>。竞买申请人向</w:t>
      </w:r>
      <w:r>
        <w:rPr>
          <w:rFonts w:hint="eastAsia" w:eastAsia="仿宋_GB2312"/>
          <w:color w:val="auto"/>
          <w:sz w:val="28"/>
        </w:rPr>
        <w:t>大兴分中心</w:t>
      </w:r>
      <w:r>
        <w:rPr>
          <w:rFonts w:eastAsia="仿宋_GB2312"/>
          <w:color w:val="auto"/>
          <w:sz w:val="28"/>
        </w:rPr>
        <w:t>提出竞买申请，并递交竞买申请文件后，视为对土地条件及挂牌文件无异议。</w:t>
      </w:r>
    </w:p>
    <w:p>
      <w:pPr>
        <w:pStyle w:val="9"/>
        <w:numPr>
          <w:ilvl w:val="0"/>
          <w:numId w:val="2"/>
        </w:numPr>
        <w:tabs>
          <w:tab w:val="left" w:pos="1455"/>
          <w:tab w:val="left" w:pos="1785"/>
        </w:tabs>
        <w:spacing w:after="0" w:line="640" w:lineRule="exact"/>
        <w:ind w:firstLine="630" w:firstLineChars="225"/>
        <w:rPr>
          <w:rFonts w:eastAsia="仿宋_GB2312"/>
          <w:color w:val="auto"/>
          <w:sz w:val="28"/>
        </w:rPr>
      </w:pPr>
      <w:r>
        <w:rPr>
          <w:rFonts w:eastAsia="仿宋_GB2312"/>
          <w:color w:val="auto"/>
          <w:sz w:val="28"/>
        </w:rPr>
        <w:t>本次挂牌出让宗地的竞买申请期限是</w:t>
      </w:r>
    </w:p>
    <w:p>
      <w:pPr>
        <w:ind w:left="-139" w:leftChars="-66" w:firstLine="640" w:firstLineChars="200"/>
        <w:rPr>
          <w:rFonts w:eastAsia="仿宋_GB2312"/>
          <w:color w:val="auto"/>
          <w:sz w:val="28"/>
        </w:rPr>
      </w:pPr>
      <w:r>
        <w:rPr>
          <w:rFonts w:hint="eastAsia" w:eastAsia="仿宋_GB2312"/>
          <w:color w:val="auto"/>
          <w:sz w:val="28"/>
          <w:lang w:eastAsia="zh-CN"/>
        </w:rPr>
        <w:t>　</w:t>
      </w:r>
      <w:r>
        <w:rPr>
          <w:rFonts w:eastAsia="仿宋_GB2312"/>
          <w:color w:val="auto"/>
          <w:sz w:val="28"/>
        </w:rPr>
        <w:t>开始时间：</w:t>
      </w:r>
      <w:r>
        <w:rPr>
          <w:rFonts w:hint="eastAsia" w:eastAsia="仿宋_GB2312"/>
          <w:color w:val="auto"/>
          <w:sz w:val="28"/>
        </w:rPr>
        <w:t>201</w:t>
      </w:r>
      <w:r>
        <w:rPr>
          <w:rFonts w:hint="eastAsia" w:eastAsia="仿宋_GB2312"/>
          <w:color w:val="auto"/>
          <w:sz w:val="28"/>
          <w:lang w:val="en-US" w:eastAsia="zh-CN"/>
        </w:rPr>
        <w:t>8</w:t>
      </w:r>
      <w:r>
        <w:rPr>
          <w:rFonts w:hint="eastAsia" w:eastAsia="仿宋_GB2312"/>
          <w:color w:val="auto"/>
          <w:sz w:val="28"/>
        </w:rPr>
        <w:t>年</w:t>
      </w:r>
      <w:r>
        <w:rPr>
          <w:rFonts w:hint="eastAsia" w:eastAsia="仿宋_GB2312"/>
          <w:color w:val="auto"/>
          <w:sz w:val="28"/>
          <w:lang w:val="en-US" w:eastAsia="zh-CN"/>
        </w:rPr>
        <w:t>11</w:t>
      </w:r>
      <w:r>
        <w:rPr>
          <w:rFonts w:hint="eastAsia" w:eastAsia="仿宋_GB2312"/>
          <w:color w:val="auto"/>
          <w:sz w:val="28"/>
        </w:rPr>
        <w:t>月</w:t>
      </w:r>
      <w:r>
        <w:rPr>
          <w:rFonts w:hint="eastAsia" w:eastAsia="仿宋_GB2312"/>
          <w:color w:val="auto"/>
          <w:sz w:val="28"/>
          <w:lang w:val="en-US" w:eastAsia="zh-CN"/>
        </w:rPr>
        <w:t>12</w:t>
      </w:r>
      <w:r>
        <w:rPr>
          <w:rFonts w:hint="eastAsia" w:eastAsia="仿宋_GB2312"/>
          <w:color w:val="auto"/>
          <w:sz w:val="28"/>
        </w:rPr>
        <w:t>日</w:t>
      </w:r>
      <w:r>
        <w:rPr>
          <w:rFonts w:eastAsia="仿宋_GB2312"/>
          <w:color w:val="auto"/>
          <w:sz w:val="28"/>
        </w:rPr>
        <w:t>9：00时</w:t>
      </w:r>
      <w:r>
        <w:rPr>
          <w:rFonts w:hint="eastAsia" w:eastAsia="仿宋_GB2312"/>
          <w:color w:val="auto"/>
          <w:sz w:val="28"/>
          <w:lang w:val="en-US" w:eastAsia="zh-CN"/>
        </w:rPr>
        <w:t xml:space="preserve">收到第一份有效竞买报价单当日起，至延后的第10个工作日17:00止。 </w:t>
      </w:r>
    </w:p>
    <w:p>
      <w:pPr>
        <w:ind w:firstLine="630" w:firstLineChars="225"/>
        <w:rPr>
          <w:rFonts w:hint="eastAsia" w:ascii="Times New Roman" w:hAnsi="Times New Roman" w:eastAsia="仿宋_GB2312" w:cs="Times New Roman"/>
          <w:color w:val="auto"/>
          <w:kern w:val="2"/>
          <w:sz w:val="28"/>
          <w:szCs w:val="24"/>
          <w:lang w:val="en-US" w:eastAsia="zh-CN" w:bidi="ar-SA"/>
        </w:rPr>
      </w:pPr>
      <w:r>
        <w:rPr>
          <w:rFonts w:hint="eastAsia" w:ascii="Times New Roman" w:hAnsi="Times New Roman" w:eastAsia="仿宋_GB2312" w:cs="Times New Roman"/>
          <w:color w:val="auto"/>
          <w:kern w:val="2"/>
          <w:sz w:val="28"/>
          <w:szCs w:val="24"/>
          <w:lang w:val="en-US" w:eastAsia="zh-CN" w:bidi="ar-SA"/>
        </w:rPr>
        <w:t>大兴分中心在上述时间段内的对外办公时间可接受竞买申请，在本条规定时间以外的任何竞价申请将被拒绝接受。</w:t>
      </w:r>
    </w:p>
    <w:p>
      <w:pPr>
        <w:pStyle w:val="9"/>
        <w:numPr>
          <w:ilvl w:val="0"/>
          <w:numId w:val="2"/>
        </w:numPr>
        <w:tabs>
          <w:tab w:val="left" w:pos="1455"/>
          <w:tab w:val="left" w:pos="1785"/>
        </w:tabs>
        <w:spacing w:after="0" w:line="640" w:lineRule="exact"/>
        <w:ind w:firstLine="630" w:firstLineChars="225"/>
        <w:rPr>
          <w:rFonts w:eastAsia="仿宋_GB2312"/>
          <w:color w:val="auto"/>
          <w:sz w:val="28"/>
        </w:rPr>
      </w:pPr>
      <w:r>
        <w:rPr>
          <w:rFonts w:hint="eastAsia" w:eastAsia="仿宋_GB2312"/>
          <w:color w:val="auto"/>
          <w:sz w:val="28"/>
        </w:rPr>
        <w:t>有意参加本次出让宗地挂牌竞买报价的，须在本须知规定的竞价申请期限内，提交以下竞买资料（一式两份），除注明外均为原件，须以中文书写，并加盖竞买单位公章（多页材料应加盖骑缝章）。</w:t>
      </w:r>
    </w:p>
    <w:p>
      <w:pPr>
        <w:numPr>
          <w:ilvl w:val="0"/>
          <w:numId w:val="4"/>
        </w:numPr>
        <w:ind w:firstLine="560" w:firstLineChars="200"/>
        <w:rPr>
          <w:rFonts w:eastAsia="仿宋_GB2312"/>
          <w:color w:val="auto"/>
          <w:sz w:val="28"/>
        </w:rPr>
      </w:pPr>
      <w:r>
        <w:rPr>
          <w:rFonts w:eastAsia="仿宋_GB2312"/>
          <w:color w:val="auto"/>
          <w:sz w:val="28"/>
        </w:rPr>
        <w:t>竞买申请书；</w:t>
      </w:r>
    </w:p>
    <w:p>
      <w:pPr>
        <w:numPr>
          <w:ilvl w:val="0"/>
          <w:numId w:val="4"/>
        </w:numPr>
        <w:ind w:firstLine="560" w:firstLineChars="200"/>
        <w:rPr>
          <w:rFonts w:eastAsia="仿宋_GB2312"/>
          <w:color w:val="auto"/>
          <w:sz w:val="28"/>
        </w:rPr>
      </w:pPr>
      <w:r>
        <w:rPr>
          <w:rFonts w:eastAsia="仿宋_GB2312"/>
          <w:color w:val="auto"/>
          <w:sz w:val="28"/>
        </w:rPr>
        <w:t>营业执照副本</w:t>
      </w:r>
      <w:r>
        <w:rPr>
          <w:rFonts w:hint="default" w:ascii="Times New Roman" w:hAnsi="Times New Roman" w:eastAsia="仿宋_GB2312" w:cs="Times New Roman"/>
          <w:color w:val="auto"/>
          <w:sz w:val="28"/>
        </w:rPr>
        <w:t>或其他主体资格证明复印件</w:t>
      </w:r>
      <w:r>
        <w:rPr>
          <w:rFonts w:eastAsia="仿宋_GB2312"/>
          <w:color w:val="auto"/>
          <w:sz w:val="28"/>
        </w:rPr>
        <w:t>（验原件留复印件），若外地企业</w:t>
      </w:r>
      <w:r>
        <w:rPr>
          <w:rFonts w:hint="default" w:ascii="Times New Roman" w:hAnsi="Times New Roman" w:eastAsia="仿宋_GB2312" w:cs="Times New Roman"/>
          <w:color w:val="auto"/>
          <w:sz w:val="28"/>
        </w:rPr>
        <w:t>不能提交营业执照原件</w:t>
      </w:r>
      <w:r>
        <w:rPr>
          <w:rFonts w:hint="eastAsia" w:eastAsia="仿宋_GB2312" w:cs="Times New Roman"/>
          <w:color w:val="auto"/>
          <w:sz w:val="28"/>
          <w:lang w:eastAsia="zh-CN"/>
        </w:rPr>
        <w:t>，</w:t>
      </w:r>
      <w:r>
        <w:rPr>
          <w:rFonts w:eastAsia="仿宋_GB2312"/>
          <w:color w:val="auto"/>
          <w:sz w:val="28"/>
        </w:rPr>
        <w:t>可提供由当地工商管理部门加盖印章的复印件；</w:t>
      </w:r>
    </w:p>
    <w:p>
      <w:pPr>
        <w:tabs>
          <w:tab w:val="left" w:pos="900"/>
        </w:tabs>
        <w:ind w:firstLine="560" w:firstLineChars="200"/>
        <w:rPr>
          <w:rFonts w:eastAsia="仿宋_GB2312"/>
          <w:color w:val="auto"/>
          <w:sz w:val="28"/>
        </w:rPr>
      </w:pPr>
      <w:r>
        <w:rPr>
          <w:rFonts w:hint="eastAsia" w:eastAsia="仿宋_GB2312"/>
          <w:color w:val="auto"/>
          <w:sz w:val="28"/>
          <w:lang w:val="en-US" w:eastAsia="zh-CN"/>
        </w:rPr>
        <w:t>3</w:t>
      </w:r>
      <w:r>
        <w:rPr>
          <w:rFonts w:eastAsia="仿宋_GB2312"/>
          <w:color w:val="auto"/>
          <w:sz w:val="28"/>
        </w:rPr>
        <w:t>、</w:t>
      </w:r>
      <w:r>
        <w:rPr>
          <w:rFonts w:hint="eastAsia" w:eastAsia="仿宋_GB2312"/>
          <w:color w:val="auto"/>
          <w:sz w:val="28"/>
        </w:rPr>
        <w:t>法定代表人证明</w:t>
      </w:r>
      <w:r>
        <w:rPr>
          <w:rFonts w:hint="eastAsia" w:eastAsia="仿宋_GB2312"/>
          <w:color w:val="auto"/>
          <w:sz w:val="28"/>
          <w:lang w:eastAsia="zh-CN"/>
        </w:rPr>
        <w:t>（原件）</w:t>
      </w:r>
      <w:r>
        <w:rPr>
          <w:rFonts w:hint="eastAsia" w:eastAsia="仿宋_GB2312"/>
          <w:color w:val="auto"/>
          <w:sz w:val="28"/>
        </w:rPr>
        <w:t>及法定代表人身份证复印件（验原件留复印件。如委托代理人无法提供法定代表人身份证原件的，须提供由公证机构对法定代表人身份证原件出具的公证文件，公证文件出具时间须在本次出让宗地公告日期之后</w:t>
      </w:r>
      <w:r>
        <w:rPr>
          <w:rFonts w:hint="eastAsia" w:eastAsia="仿宋_GB2312"/>
          <w:color w:val="auto"/>
          <w:sz w:val="28"/>
          <w:lang w:eastAsia="zh-CN"/>
        </w:rPr>
        <w:t>）</w:t>
      </w:r>
      <w:r>
        <w:rPr>
          <w:rFonts w:hint="eastAsia" w:eastAsia="仿宋_GB2312"/>
          <w:color w:val="auto"/>
          <w:sz w:val="28"/>
        </w:rPr>
        <w:t>；</w:t>
      </w:r>
    </w:p>
    <w:p>
      <w:pPr>
        <w:ind w:firstLine="630" w:firstLineChars="225"/>
        <w:rPr>
          <w:rFonts w:eastAsia="仿宋_GB2312"/>
          <w:color w:val="auto"/>
          <w:sz w:val="28"/>
        </w:rPr>
      </w:pPr>
      <w:r>
        <w:rPr>
          <w:rFonts w:hint="eastAsia" w:eastAsia="仿宋_GB2312"/>
          <w:color w:val="auto"/>
          <w:sz w:val="28"/>
          <w:lang w:val="en-US" w:eastAsia="zh-CN"/>
        </w:rPr>
        <w:t>4</w:t>
      </w:r>
      <w:r>
        <w:rPr>
          <w:rFonts w:eastAsia="仿宋_GB2312"/>
          <w:color w:val="auto"/>
          <w:sz w:val="28"/>
        </w:rPr>
        <w:t>、授权委托书及委托代理人身份证复印件（</w:t>
      </w:r>
      <w:r>
        <w:rPr>
          <w:rFonts w:hint="eastAsia" w:eastAsia="仿宋_GB2312"/>
          <w:color w:val="auto"/>
          <w:sz w:val="28"/>
        </w:rPr>
        <w:t>身份证</w:t>
      </w:r>
      <w:r>
        <w:rPr>
          <w:rFonts w:eastAsia="仿宋_GB2312"/>
          <w:color w:val="auto"/>
          <w:sz w:val="28"/>
        </w:rPr>
        <w:t>验原件留复印件）；</w:t>
      </w:r>
    </w:p>
    <w:p>
      <w:pPr>
        <w:ind w:firstLine="630" w:firstLineChars="225"/>
        <w:rPr>
          <w:rFonts w:eastAsia="仿宋_GB2312"/>
          <w:color w:val="auto"/>
          <w:sz w:val="28"/>
        </w:rPr>
      </w:pPr>
      <w:r>
        <w:rPr>
          <w:rFonts w:hint="eastAsia" w:eastAsia="仿宋_GB2312"/>
          <w:color w:val="auto"/>
          <w:sz w:val="28"/>
          <w:lang w:val="en-US" w:eastAsia="zh-CN"/>
        </w:rPr>
        <w:t>5</w:t>
      </w:r>
      <w:r>
        <w:rPr>
          <w:rFonts w:eastAsia="仿宋_GB2312"/>
          <w:color w:val="auto"/>
          <w:sz w:val="28"/>
        </w:rPr>
        <w:t>、公司章程</w:t>
      </w:r>
      <w:r>
        <w:rPr>
          <w:rFonts w:hint="eastAsia" w:eastAsia="仿宋_GB2312"/>
          <w:color w:val="auto"/>
          <w:sz w:val="28"/>
          <w:lang w:eastAsia="zh-CN"/>
        </w:rPr>
        <w:t>或上级单位出具的同意竞买证明文件</w:t>
      </w:r>
      <w:r>
        <w:rPr>
          <w:rFonts w:eastAsia="仿宋_GB2312"/>
          <w:color w:val="auto"/>
          <w:sz w:val="28"/>
        </w:rPr>
        <w:t>；</w:t>
      </w:r>
    </w:p>
    <w:p>
      <w:pPr>
        <w:ind w:firstLine="630" w:firstLineChars="225"/>
        <w:rPr>
          <w:rFonts w:eastAsia="仿宋_GB2312"/>
          <w:color w:val="auto"/>
          <w:sz w:val="28"/>
        </w:rPr>
      </w:pPr>
      <w:r>
        <w:rPr>
          <w:rFonts w:hint="eastAsia" w:eastAsia="仿宋_GB2312"/>
          <w:color w:val="auto"/>
          <w:sz w:val="28"/>
          <w:lang w:val="en-US" w:eastAsia="zh-CN"/>
        </w:rPr>
        <w:t>6</w:t>
      </w:r>
      <w:r>
        <w:rPr>
          <w:rFonts w:eastAsia="仿宋_GB2312"/>
          <w:color w:val="auto"/>
          <w:sz w:val="28"/>
        </w:rPr>
        <w:t>、</w:t>
      </w:r>
      <w:r>
        <w:rPr>
          <w:rFonts w:hint="eastAsia" w:eastAsia="仿宋_GB2312"/>
          <w:color w:val="auto"/>
          <w:sz w:val="28"/>
        </w:rPr>
        <w:t>工商管理部门出具的公司股东出资比例证明或同等效力的证明文件。（中国境内上市公司须提供中国证券登记结算有限责任公司（上海分公司或深圳分公司）出具的《前10名股东名册查询证明》；在中国境外及港澳台上市的公司，参照执行，但在境外及港澳台形成的证明文件应按本须知相关要求进行公证、认证及翻译。证明文件须能证明竞买人在本次出让宗地公告日期之后的出资比例情况）</w:t>
      </w:r>
      <w:r>
        <w:rPr>
          <w:rFonts w:eastAsia="仿宋_GB2312"/>
          <w:color w:val="auto"/>
          <w:sz w:val="28"/>
        </w:rPr>
        <w:t>；</w:t>
      </w:r>
    </w:p>
    <w:p>
      <w:pPr>
        <w:ind w:firstLine="630" w:firstLineChars="225"/>
        <w:rPr>
          <w:rFonts w:eastAsia="仿宋_GB2312"/>
          <w:color w:val="auto"/>
          <w:sz w:val="28"/>
        </w:rPr>
      </w:pPr>
      <w:r>
        <w:rPr>
          <w:rFonts w:hint="eastAsia" w:eastAsia="仿宋_GB2312"/>
          <w:color w:val="auto"/>
          <w:sz w:val="28"/>
          <w:lang w:val="en-US" w:eastAsia="zh-CN"/>
        </w:rPr>
        <w:t>7</w:t>
      </w:r>
      <w:r>
        <w:rPr>
          <w:rFonts w:eastAsia="仿宋_GB2312"/>
          <w:color w:val="auto"/>
          <w:sz w:val="28"/>
        </w:rPr>
        <w:t>、竞买保证金人民</w:t>
      </w:r>
      <w:r>
        <w:rPr>
          <w:rFonts w:hint="eastAsia" w:eastAsia="仿宋_GB2312"/>
          <w:color w:val="auto"/>
          <w:sz w:val="28"/>
        </w:rPr>
        <w:t>币</w:t>
      </w:r>
      <w:r>
        <w:rPr>
          <w:rFonts w:hint="eastAsia" w:eastAsia="仿宋_GB2312"/>
          <w:color w:val="auto"/>
          <w:sz w:val="28"/>
          <w:lang w:val="en-US" w:eastAsia="zh-CN"/>
        </w:rPr>
        <w:t>45000</w:t>
      </w:r>
      <w:r>
        <w:rPr>
          <w:rFonts w:hint="eastAsia" w:eastAsia="仿宋_GB2312"/>
          <w:color w:val="auto"/>
          <w:sz w:val="28"/>
        </w:rPr>
        <w:t>万元的缴款证明</w:t>
      </w:r>
      <w:r>
        <w:rPr>
          <w:rFonts w:eastAsia="仿宋_GB2312"/>
          <w:color w:val="auto"/>
          <w:sz w:val="28"/>
        </w:rPr>
        <w:t>（验原件留复印件）；</w:t>
      </w:r>
    </w:p>
    <w:p>
      <w:pPr>
        <w:tabs>
          <w:tab w:val="left" w:pos="900"/>
        </w:tabs>
        <w:ind w:firstLine="560" w:firstLineChars="200"/>
        <w:rPr>
          <w:rFonts w:eastAsia="仿宋_GB2312"/>
          <w:color w:val="auto"/>
          <w:sz w:val="28"/>
        </w:rPr>
      </w:pPr>
      <w:r>
        <w:rPr>
          <w:rFonts w:eastAsia="仿宋_GB2312"/>
          <w:color w:val="auto"/>
          <w:sz w:val="28"/>
        </w:rPr>
        <w:t>以上资料收取后均不退还。</w:t>
      </w:r>
    </w:p>
    <w:p>
      <w:pPr>
        <w:numPr>
          <w:numId w:val="0"/>
        </w:numPr>
        <w:rPr>
          <w:rFonts w:hint="eastAsia" w:ascii="Times New Roman" w:hAnsi="Times New Roman" w:eastAsia="仿宋_GB2312" w:cs="Times New Roman"/>
          <w:color w:val="auto"/>
          <w:sz w:val="28"/>
          <w:lang w:eastAsia="zh-CN"/>
        </w:rPr>
      </w:pPr>
      <w:r>
        <w:rPr>
          <w:rFonts w:hint="eastAsia" w:eastAsia="仿宋_GB2312" w:cs="Times New Roman"/>
          <w:color w:val="auto"/>
          <w:sz w:val="28"/>
          <w:lang w:val="en-US" w:eastAsia="zh-CN"/>
        </w:rPr>
        <w:t xml:space="preserve">    8、</w:t>
      </w:r>
      <w:r>
        <w:rPr>
          <w:rFonts w:hint="eastAsia" w:ascii="Times New Roman" w:hAnsi="Times New Roman" w:eastAsia="仿宋_GB2312" w:cs="Times New Roman"/>
          <w:color w:val="auto"/>
          <w:sz w:val="28"/>
          <w:lang w:eastAsia="zh-CN"/>
        </w:rPr>
        <w:t>竞买人自行出具的股东情况说明，并承诺以自有资金支付全部地价款。</w:t>
      </w:r>
    </w:p>
    <w:p>
      <w:pPr>
        <w:numPr>
          <w:numId w:val="0"/>
        </w:numPr>
        <w:rPr>
          <w:rFonts w:hint="default" w:ascii="Times New Roman" w:hAnsi="Times New Roman" w:eastAsia="仿宋_GB2312" w:cs="Times New Roman"/>
          <w:color w:val="auto"/>
          <w:sz w:val="28"/>
        </w:rPr>
      </w:pPr>
      <w:r>
        <w:rPr>
          <w:rFonts w:hint="eastAsia" w:eastAsia="仿宋_GB2312"/>
          <w:color w:val="auto"/>
          <w:sz w:val="28"/>
          <w:lang w:val="en-US" w:eastAsia="zh-CN"/>
        </w:rPr>
        <w:t xml:space="preserve">    9</w:t>
      </w:r>
      <w:r>
        <w:rPr>
          <w:rFonts w:eastAsia="仿宋_GB2312"/>
          <w:color w:val="auto"/>
          <w:sz w:val="28"/>
        </w:rPr>
        <w:t>、竞买保证金不属于银行贷款、股东借款、转贷和募集资金的承诺书</w:t>
      </w:r>
      <w:r>
        <w:rPr>
          <w:rFonts w:hint="eastAsia" w:eastAsia="仿宋_GB2312"/>
          <w:color w:val="auto"/>
          <w:sz w:val="28"/>
          <w:lang w:eastAsia="zh-CN"/>
        </w:rPr>
        <w:t>（原件）</w:t>
      </w:r>
      <w:r>
        <w:rPr>
          <w:rFonts w:eastAsia="仿宋_GB2312"/>
          <w:color w:val="auto"/>
          <w:sz w:val="28"/>
        </w:rPr>
        <w:t>；</w:t>
      </w:r>
    </w:p>
    <w:p>
      <w:pPr>
        <w:rPr>
          <w:rFonts w:hint="default" w:ascii="Times New Roman" w:hAnsi="Times New Roman" w:eastAsia="仿宋_GB2312" w:cs="Times New Roman"/>
          <w:color w:val="auto"/>
          <w:sz w:val="28"/>
        </w:rPr>
      </w:pPr>
      <w:r>
        <w:rPr>
          <w:rFonts w:hint="eastAsia" w:eastAsia="仿宋_GB2312" w:cs="Times New Roman"/>
          <w:color w:val="auto"/>
          <w:sz w:val="28"/>
          <w:lang w:val="en-US" w:eastAsia="zh-CN"/>
        </w:rPr>
        <w:t xml:space="preserve">    10</w:t>
      </w:r>
      <w:bookmarkStart w:id="120" w:name="_GoBack"/>
      <w:bookmarkEnd w:id="120"/>
      <w:r>
        <w:rPr>
          <w:rFonts w:hint="eastAsia" w:eastAsia="仿宋_GB2312" w:cs="Times New Roman"/>
          <w:color w:val="auto"/>
          <w:sz w:val="28"/>
          <w:lang w:val="en-US" w:eastAsia="zh-CN"/>
        </w:rPr>
        <w:t>、</w:t>
      </w:r>
      <w:r>
        <w:rPr>
          <w:rFonts w:hint="default" w:ascii="Times New Roman" w:hAnsi="Times New Roman" w:eastAsia="仿宋_GB2312" w:cs="Times New Roman"/>
          <w:color w:val="auto"/>
          <w:sz w:val="28"/>
        </w:rPr>
        <w:t>《符合</w:t>
      </w:r>
      <w:r>
        <w:rPr>
          <w:rFonts w:hint="eastAsia" w:ascii="Times New Roman" w:hAnsi="Times New Roman" w:eastAsia="仿宋_GB2312" w:cs="Times New Roman"/>
          <w:color w:val="auto"/>
          <w:sz w:val="28"/>
          <w:lang w:eastAsia="zh-CN"/>
        </w:rPr>
        <w:t>竞买</w:t>
      </w:r>
      <w:r>
        <w:rPr>
          <w:rFonts w:hint="default" w:ascii="Times New Roman" w:hAnsi="Times New Roman" w:eastAsia="仿宋_GB2312" w:cs="Times New Roman"/>
          <w:color w:val="auto"/>
          <w:sz w:val="28"/>
        </w:rPr>
        <w:t>资格的声明》（原件）内容为</w:t>
      </w:r>
      <w:r>
        <w:rPr>
          <w:rFonts w:hint="eastAsia" w:ascii="Times New Roman" w:hAnsi="Times New Roman" w:eastAsia="仿宋_GB2312" w:cs="Times New Roman"/>
          <w:color w:val="auto"/>
          <w:sz w:val="28"/>
          <w:lang w:eastAsia="zh-CN"/>
        </w:rPr>
        <w:t>竞买</w:t>
      </w:r>
      <w:r>
        <w:rPr>
          <w:rFonts w:hint="default" w:ascii="Times New Roman" w:hAnsi="Times New Roman" w:eastAsia="仿宋_GB2312" w:cs="Times New Roman"/>
          <w:color w:val="auto"/>
          <w:sz w:val="28"/>
        </w:rPr>
        <w:t>人及其控股股东不存在伪造公文骗取用地和非法倒卖土地、非法转让土地使用权、因企业原因造成土地闲置一年以上、违背出让合同约定条件开发利用土地等违法违规违约行为、不属</w:t>
      </w:r>
      <w:r>
        <w:rPr>
          <w:rFonts w:hint="eastAsia" w:ascii="Times New Roman" w:hAnsi="Times New Roman" w:eastAsia="仿宋_GB2312" w:cs="Times New Roman"/>
          <w:color w:val="auto"/>
          <w:sz w:val="28"/>
          <w:lang w:eastAsia="zh-CN"/>
        </w:rPr>
        <w:t>原国土资源部、自然资源部</w:t>
      </w:r>
      <w:r>
        <w:rPr>
          <w:rFonts w:hint="default" w:ascii="Times New Roman" w:hAnsi="Times New Roman" w:eastAsia="仿宋_GB2312" w:cs="Times New Roman"/>
          <w:color w:val="auto"/>
          <w:sz w:val="28"/>
        </w:rPr>
        <w:t>和北京市税务机关推送的重大税收违法案件当事人和不存在与</w:t>
      </w:r>
      <w:r>
        <w:rPr>
          <w:rFonts w:hint="eastAsia" w:ascii="Times New Roman" w:hAnsi="Times New Roman" w:eastAsia="仿宋_GB2312" w:cs="Times New Roman"/>
          <w:color w:val="auto"/>
          <w:sz w:val="28"/>
          <w:lang w:eastAsia="zh-CN"/>
        </w:rPr>
        <w:t>原国土资源部、自然资源部</w:t>
      </w:r>
      <w:r>
        <w:rPr>
          <w:rFonts w:hint="default" w:ascii="Times New Roman" w:hAnsi="Times New Roman" w:eastAsia="仿宋_GB2312" w:cs="Times New Roman"/>
          <w:color w:val="auto"/>
          <w:sz w:val="28"/>
        </w:rPr>
        <w:t>和北京市规划和国土资源管理委员会公布的关于禁止在北京市土地交易市场参与土地竞买等情况。</w:t>
      </w:r>
    </w:p>
    <w:p>
      <w:pPr>
        <w:pStyle w:val="9"/>
        <w:tabs>
          <w:tab w:val="left" w:pos="2100"/>
        </w:tabs>
        <w:ind w:firstLine="560" w:firstLineChars="200"/>
        <w:jc w:val="both"/>
        <w:rPr>
          <w:rFonts w:eastAsia="仿宋_GB2312"/>
          <w:color w:val="auto"/>
          <w:sz w:val="28"/>
        </w:rPr>
      </w:pPr>
      <w:r>
        <w:rPr>
          <w:rFonts w:hint="default" w:ascii="Times New Roman" w:hAnsi="Times New Roman" w:eastAsia="仿宋_GB2312" w:cs="Times New Roman"/>
          <w:color w:val="auto"/>
          <w:sz w:val="28"/>
        </w:rPr>
        <w:t>以上资料，</w:t>
      </w:r>
      <w:r>
        <w:rPr>
          <w:rFonts w:hint="eastAsia" w:ascii="Times New Roman" w:hAnsi="Times New Roman" w:eastAsia="仿宋_GB2312" w:cs="Times New Roman"/>
          <w:color w:val="auto"/>
          <w:sz w:val="28"/>
          <w:lang w:eastAsia="zh-CN"/>
        </w:rPr>
        <w:t>竞买</w:t>
      </w:r>
      <w:r>
        <w:rPr>
          <w:rFonts w:hint="default" w:ascii="Times New Roman" w:hAnsi="Times New Roman" w:eastAsia="仿宋_GB2312" w:cs="Times New Roman"/>
          <w:color w:val="auto"/>
          <w:sz w:val="28"/>
        </w:rPr>
        <w:t>人需交纳</w:t>
      </w:r>
      <w:r>
        <w:rPr>
          <w:rFonts w:hint="default" w:ascii="Times New Roman" w:hAnsi="Times New Roman" w:eastAsia="仿宋_GB2312" w:cs="Times New Roman"/>
          <w:color w:val="auto"/>
          <w:sz w:val="28"/>
          <w:lang w:eastAsia="zh-CN"/>
        </w:rPr>
        <w:t>贰</w:t>
      </w:r>
      <w:r>
        <w:rPr>
          <w:rFonts w:hint="default" w:ascii="Times New Roman" w:hAnsi="Times New Roman" w:eastAsia="仿宋_GB2312" w:cs="Times New Roman"/>
          <w:color w:val="auto"/>
          <w:sz w:val="28"/>
        </w:rPr>
        <w:t>份</w:t>
      </w:r>
      <w:r>
        <w:rPr>
          <w:rFonts w:hint="eastAsia" w:eastAsia="仿宋_GB2312" w:cs="Times New Roman"/>
          <w:color w:val="auto"/>
          <w:sz w:val="28"/>
          <w:lang w:eastAsia="zh-CN"/>
        </w:rPr>
        <w:t>并</w:t>
      </w:r>
      <w:r>
        <w:rPr>
          <w:rFonts w:hint="default" w:ascii="Times New Roman" w:hAnsi="Times New Roman" w:eastAsia="仿宋_GB2312" w:cs="Times New Roman"/>
          <w:color w:val="auto"/>
          <w:sz w:val="28"/>
        </w:rPr>
        <w:t>须加盖公章。</w:t>
      </w:r>
      <w:r>
        <w:rPr>
          <w:rFonts w:hint="default" w:ascii="Times New Roman" w:hAnsi="Times New Roman" w:eastAsia="仿宋_GB2312" w:cs="Times New Roman"/>
          <w:b/>
          <w:color w:val="auto"/>
          <w:sz w:val="28"/>
        </w:rPr>
        <w:t xml:space="preserve"> </w:t>
      </w:r>
    </w:p>
    <w:p>
      <w:pPr>
        <w:pStyle w:val="9"/>
        <w:numPr>
          <w:ilvl w:val="0"/>
          <w:numId w:val="2"/>
        </w:numPr>
        <w:tabs>
          <w:tab w:val="left" w:pos="1455"/>
          <w:tab w:val="left" w:pos="1785"/>
        </w:tabs>
        <w:spacing w:after="0" w:line="640" w:lineRule="exact"/>
        <w:ind w:firstLine="630" w:firstLineChars="225"/>
        <w:rPr>
          <w:rFonts w:eastAsia="仿宋_GB2312"/>
          <w:color w:val="auto"/>
          <w:sz w:val="28"/>
        </w:rPr>
      </w:pPr>
      <w:r>
        <w:rPr>
          <w:rFonts w:hint="eastAsia" w:eastAsia="仿宋_GB2312"/>
          <w:color w:val="auto"/>
          <w:sz w:val="28"/>
        </w:rPr>
        <w:t>港澳台竞买申请材料公证及认证要求：</w:t>
      </w:r>
    </w:p>
    <w:p>
      <w:pPr>
        <w:pStyle w:val="9"/>
        <w:tabs>
          <w:tab w:val="left" w:pos="1785"/>
        </w:tabs>
        <w:spacing w:after="0"/>
        <w:rPr>
          <w:rFonts w:eastAsia="仿宋_GB2312"/>
          <w:color w:val="auto"/>
          <w:sz w:val="28"/>
        </w:rPr>
      </w:pPr>
      <w:r>
        <w:rPr>
          <w:rFonts w:hint="eastAsia" w:eastAsia="仿宋_GB2312"/>
          <w:color w:val="auto"/>
          <w:sz w:val="28"/>
          <w:lang w:val="en-US" w:eastAsia="zh-CN"/>
        </w:rPr>
        <w:t xml:space="preserve">    </w:t>
      </w:r>
      <w:r>
        <w:rPr>
          <w:rFonts w:hint="eastAsia" w:eastAsia="仿宋_GB2312"/>
          <w:color w:val="auto"/>
          <w:sz w:val="28"/>
        </w:rPr>
        <w:t>中国香港地区形成的申请材料，需经中国司法部委托的香港律师公证，同时应当由中国法律服务（香港）有限公司加盖转递专用章。中国澳门地区形成的申请材料，需经中国司法部派驻澳门的中国公证员公证，同时应当由中国法律服务（澳门）有限公司加盖转递专用章。</w:t>
      </w:r>
    </w:p>
    <w:p>
      <w:pPr>
        <w:pStyle w:val="9"/>
        <w:tabs>
          <w:tab w:val="left" w:pos="1785"/>
        </w:tabs>
        <w:spacing w:after="0"/>
        <w:rPr>
          <w:rFonts w:eastAsia="仿宋_GB2312"/>
          <w:color w:val="auto"/>
          <w:sz w:val="28"/>
        </w:rPr>
      </w:pPr>
      <w:r>
        <w:rPr>
          <w:rFonts w:hint="eastAsia" w:eastAsia="仿宋_GB2312"/>
          <w:color w:val="auto"/>
          <w:sz w:val="28"/>
          <w:lang w:val="en-US" w:eastAsia="zh-CN"/>
        </w:rPr>
        <w:t xml:space="preserve">    </w:t>
      </w:r>
      <w:r>
        <w:rPr>
          <w:rFonts w:hint="eastAsia" w:eastAsia="仿宋_GB2312"/>
          <w:color w:val="auto"/>
          <w:sz w:val="28"/>
        </w:rPr>
        <w:t>中国台湾地区申请人提交的材料，应当经当地公证机关出具公证书，经海峡交流基金会转递至北京市公证协会，由北京市公证协会加章确认。</w:t>
      </w:r>
    </w:p>
    <w:p>
      <w:pPr>
        <w:pStyle w:val="9"/>
        <w:numPr>
          <w:ilvl w:val="0"/>
          <w:numId w:val="2"/>
        </w:numPr>
        <w:tabs>
          <w:tab w:val="left" w:pos="1455"/>
          <w:tab w:val="left" w:pos="1785"/>
        </w:tabs>
        <w:spacing w:after="0" w:line="640" w:lineRule="exact"/>
        <w:ind w:firstLine="630" w:firstLineChars="225"/>
        <w:rPr>
          <w:rFonts w:hint="eastAsia" w:eastAsia="仿宋_GB2312"/>
          <w:color w:val="auto"/>
          <w:sz w:val="28"/>
        </w:rPr>
      </w:pPr>
      <w:r>
        <w:rPr>
          <w:rFonts w:hint="eastAsia" w:eastAsia="仿宋_GB2312"/>
          <w:color w:val="auto"/>
          <w:sz w:val="28"/>
        </w:rPr>
        <w:t>通过审查的竞买人，由大兴分中心发给竞买资格证明。取得竞买资格证明的竞买人，方可参加竞买报价。</w:t>
      </w:r>
    </w:p>
    <w:p>
      <w:pPr>
        <w:pStyle w:val="9"/>
        <w:numPr>
          <w:ilvl w:val="0"/>
          <w:numId w:val="2"/>
        </w:numPr>
        <w:tabs>
          <w:tab w:val="left" w:pos="1455"/>
          <w:tab w:val="left" w:pos="1785"/>
        </w:tabs>
        <w:spacing w:after="0" w:line="640" w:lineRule="exact"/>
        <w:ind w:firstLine="630" w:firstLineChars="225"/>
        <w:rPr>
          <w:rFonts w:eastAsia="仿宋_GB2312"/>
          <w:color w:val="auto"/>
          <w:sz w:val="28"/>
        </w:rPr>
      </w:pPr>
      <w:r>
        <w:rPr>
          <w:rFonts w:eastAsia="仿宋_GB2312"/>
          <w:color w:val="auto"/>
          <w:sz w:val="28"/>
        </w:rPr>
        <w:t>竞买人提交的竞买申请资料有下列情形之一者，将被视为无效申请：</w:t>
      </w:r>
    </w:p>
    <w:p>
      <w:pPr>
        <w:ind w:left="630"/>
        <w:rPr>
          <w:rFonts w:eastAsia="仿宋_GB2312"/>
          <w:color w:val="auto"/>
          <w:sz w:val="28"/>
        </w:rPr>
      </w:pPr>
      <w:r>
        <w:rPr>
          <w:rFonts w:eastAsia="仿宋_GB2312"/>
          <w:color w:val="auto"/>
          <w:sz w:val="28"/>
        </w:rPr>
        <w:t>1、竞买人不具备竞买资格的；</w:t>
      </w:r>
    </w:p>
    <w:p>
      <w:pPr>
        <w:ind w:left="630"/>
        <w:rPr>
          <w:rFonts w:eastAsia="仿宋_GB2312"/>
          <w:color w:val="auto"/>
          <w:sz w:val="28"/>
        </w:rPr>
      </w:pPr>
      <w:r>
        <w:rPr>
          <w:rFonts w:eastAsia="仿宋_GB2312"/>
          <w:color w:val="auto"/>
          <w:sz w:val="28"/>
        </w:rPr>
        <w:t>2、未加盖公章的；</w:t>
      </w:r>
    </w:p>
    <w:p>
      <w:pPr>
        <w:ind w:left="630"/>
        <w:rPr>
          <w:rFonts w:eastAsia="仿宋_GB2312"/>
          <w:color w:val="auto"/>
          <w:sz w:val="28"/>
        </w:rPr>
      </w:pPr>
      <w:r>
        <w:rPr>
          <w:rFonts w:eastAsia="仿宋_GB2312"/>
          <w:color w:val="auto"/>
          <w:sz w:val="28"/>
        </w:rPr>
        <w:t>3、未经法定代表人或委托代理人签署的；</w:t>
      </w:r>
    </w:p>
    <w:p>
      <w:pPr>
        <w:ind w:left="630"/>
        <w:rPr>
          <w:rFonts w:eastAsia="仿宋_GB2312"/>
          <w:color w:val="auto"/>
          <w:sz w:val="28"/>
        </w:rPr>
      </w:pPr>
      <w:r>
        <w:rPr>
          <w:rFonts w:eastAsia="仿宋_GB2312"/>
          <w:color w:val="auto"/>
          <w:sz w:val="28"/>
        </w:rPr>
        <w:t>4、竞买申请文件不齐备或不符合规定的；</w:t>
      </w:r>
    </w:p>
    <w:p>
      <w:pPr>
        <w:ind w:left="630"/>
        <w:rPr>
          <w:rFonts w:eastAsia="仿宋_GB2312"/>
          <w:color w:val="auto"/>
          <w:sz w:val="28"/>
        </w:rPr>
      </w:pPr>
      <w:r>
        <w:rPr>
          <w:rFonts w:eastAsia="仿宋_GB2312"/>
          <w:color w:val="auto"/>
          <w:sz w:val="28"/>
        </w:rPr>
        <w:t>5、报价字迹不清，无法辨认；</w:t>
      </w:r>
    </w:p>
    <w:p>
      <w:pPr>
        <w:ind w:left="630"/>
        <w:rPr>
          <w:rFonts w:eastAsia="仿宋_GB2312"/>
          <w:color w:val="auto"/>
          <w:sz w:val="28"/>
        </w:rPr>
      </w:pPr>
      <w:r>
        <w:rPr>
          <w:rFonts w:eastAsia="仿宋_GB2312"/>
          <w:color w:val="auto"/>
          <w:sz w:val="28"/>
        </w:rPr>
        <w:t>6、不符合法律法规和挂牌文件规定的其它情形。</w:t>
      </w:r>
    </w:p>
    <w:p>
      <w:pPr>
        <w:pStyle w:val="3"/>
        <w:spacing w:line="240" w:lineRule="auto"/>
        <w:jc w:val="center"/>
        <w:rPr>
          <w:rFonts w:ascii="Times New Roman" w:hAnsi="Times New Roman" w:eastAsia="仿宋_GB2312"/>
          <w:color w:val="auto"/>
        </w:rPr>
      </w:pPr>
      <w:bookmarkStart w:id="32" w:name="_Toc212531029"/>
      <w:bookmarkStart w:id="33" w:name="_Toc272043503"/>
      <w:bookmarkStart w:id="34" w:name="_Toc212531165"/>
      <w:bookmarkStart w:id="35" w:name="_Toc18986"/>
      <w:r>
        <w:rPr>
          <w:rFonts w:ascii="Times New Roman" w:hAnsi="Times New Roman" w:eastAsia="仿宋_GB2312"/>
          <w:color w:val="auto"/>
        </w:rPr>
        <w:t>第</w:t>
      </w:r>
      <w:r>
        <w:rPr>
          <w:rFonts w:hint="eastAsia" w:ascii="Times New Roman" w:hAnsi="Times New Roman" w:eastAsia="仿宋_GB2312"/>
          <w:color w:val="auto"/>
        </w:rPr>
        <w:t>八</w:t>
      </w:r>
      <w:r>
        <w:rPr>
          <w:rFonts w:ascii="Times New Roman" w:hAnsi="Times New Roman" w:eastAsia="仿宋_GB2312"/>
          <w:color w:val="auto"/>
        </w:rPr>
        <w:t>章</w:t>
      </w:r>
      <w:r>
        <w:rPr>
          <w:rFonts w:hint="eastAsia" w:ascii="Times New Roman" w:hAnsi="Times New Roman" w:eastAsia="仿宋_GB2312"/>
          <w:color w:val="auto"/>
          <w:lang w:val="en-US" w:eastAsia="zh-CN"/>
        </w:rPr>
        <w:t xml:space="preserve"> </w:t>
      </w:r>
      <w:r>
        <w:rPr>
          <w:rFonts w:ascii="Times New Roman" w:hAnsi="Times New Roman" w:eastAsia="仿宋_GB2312"/>
          <w:color w:val="auto"/>
        </w:rPr>
        <w:t>竞买保证金</w:t>
      </w:r>
      <w:bookmarkEnd w:id="32"/>
      <w:bookmarkEnd w:id="33"/>
      <w:bookmarkEnd w:id="34"/>
      <w:bookmarkEnd w:id="35"/>
    </w:p>
    <w:p>
      <w:pPr>
        <w:pStyle w:val="9"/>
        <w:numPr>
          <w:ilvl w:val="0"/>
          <w:numId w:val="2"/>
        </w:numPr>
        <w:tabs>
          <w:tab w:val="left" w:pos="1455"/>
          <w:tab w:val="left" w:pos="1785"/>
        </w:tabs>
        <w:spacing w:after="0" w:line="640" w:lineRule="exact"/>
        <w:ind w:firstLine="630" w:firstLineChars="225"/>
        <w:rPr>
          <w:rFonts w:eastAsia="仿宋_GB2312"/>
          <w:color w:val="auto"/>
          <w:sz w:val="28"/>
        </w:rPr>
      </w:pPr>
      <w:r>
        <w:rPr>
          <w:rFonts w:hint="eastAsia" w:eastAsia="仿宋_GB2312"/>
          <w:color w:val="auto"/>
          <w:sz w:val="28"/>
        </w:rPr>
        <w:t>竞买人</w:t>
      </w:r>
      <w:r>
        <w:rPr>
          <w:rFonts w:eastAsia="仿宋_GB2312"/>
          <w:color w:val="auto"/>
          <w:sz w:val="28"/>
        </w:rPr>
        <w:t>须在</w:t>
      </w:r>
      <w:r>
        <w:rPr>
          <w:rFonts w:hint="eastAsia" w:eastAsia="仿宋_GB2312"/>
          <w:color w:val="auto"/>
          <w:sz w:val="28"/>
        </w:rPr>
        <w:t>竞买申请截止日</w:t>
      </w:r>
      <w:r>
        <w:rPr>
          <w:rFonts w:eastAsia="仿宋_GB2312"/>
          <w:color w:val="auto"/>
          <w:sz w:val="28"/>
        </w:rPr>
        <w:t>15：</w:t>
      </w:r>
      <w:r>
        <w:rPr>
          <w:rFonts w:hint="eastAsia" w:eastAsia="仿宋_GB2312"/>
          <w:color w:val="auto"/>
          <w:sz w:val="28"/>
        </w:rPr>
        <w:t>0</w:t>
      </w:r>
      <w:r>
        <w:rPr>
          <w:rFonts w:eastAsia="仿宋_GB2312"/>
          <w:color w:val="auto"/>
          <w:sz w:val="28"/>
        </w:rPr>
        <w:t>0时前将</w:t>
      </w:r>
      <w:r>
        <w:rPr>
          <w:rFonts w:hint="eastAsia" w:eastAsia="仿宋_GB2312"/>
          <w:color w:val="auto"/>
          <w:sz w:val="28"/>
        </w:rPr>
        <w:t>竞买</w:t>
      </w:r>
      <w:r>
        <w:rPr>
          <w:rFonts w:eastAsia="仿宋_GB2312"/>
          <w:color w:val="auto"/>
          <w:sz w:val="28"/>
        </w:rPr>
        <w:t>保证金汇入以下指定银行</w:t>
      </w:r>
      <w:r>
        <w:rPr>
          <w:rFonts w:hint="eastAsia" w:eastAsia="仿宋_GB2312"/>
          <w:color w:val="auto"/>
          <w:sz w:val="28"/>
        </w:rPr>
        <w:t>账</w:t>
      </w:r>
      <w:r>
        <w:rPr>
          <w:rFonts w:eastAsia="仿宋_GB2312"/>
          <w:color w:val="auto"/>
          <w:sz w:val="28"/>
        </w:rPr>
        <w:t>号</w:t>
      </w:r>
      <w:r>
        <w:rPr>
          <w:rFonts w:hint="eastAsia" w:eastAsia="仿宋_GB2312"/>
          <w:color w:val="auto"/>
          <w:sz w:val="28"/>
        </w:rPr>
        <w:t>。</w:t>
      </w:r>
      <w:r>
        <w:rPr>
          <w:rFonts w:eastAsia="仿宋_GB2312"/>
          <w:color w:val="auto"/>
          <w:sz w:val="28"/>
        </w:rPr>
        <w:t>竞买保证金为人民币</w:t>
      </w:r>
      <w:r>
        <w:rPr>
          <w:rFonts w:hint="eastAsia" w:eastAsia="仿宋_GB2312"/>
          <w:color w:val="auto"/>
          <w:sz w:val="28"/>
          <w:lang w:val="en-US" w:eastAsia="zh-CN"/>
        </w:rPr>
        <w:t>45000</w:t>
      </w:r>
      <w:r>
        <w:rPr>
          <w:rFonts w:hint="eastAsia" w:eastAsia="仿宋_GB2312"/>
          <w:color w:val="auto"/>
          <w:sz w:val="28"/>
        </w:rPr>
        <w:t>万元。</w:t>
      </w:r>
    </w:p>
    <w:p>
      <w:pPr>
        <w:ind w:firstLine="560" w:firstLineChars="200"/>
        <w:rPr>
          <w:rFonts w:hint="eastAsia" w:eastAsia="仿宋_GB2312"/>
          <w:color w:val="auto"/>
          <w:sz w:val="28"/>
          <w:lang w:eastAsia="zh-CN"/>
        </w:rPr>
      </w:pPr>
      <w:r>
        <w:rPr>
          <w:rFonts w:hint="eastAsia" w:eastAsia="仿宋_GB2312"/>
          <w:color w:val="auto"/>
          <w:sz w:val="28"/>
        </w:rPr>
        <w:t>户名：</w:t>
      </w:r>
      <w:r>
        <w:rPr>
          <w:rFonts w:hint="eastAsia" w:eastAsia="仿宋_GB2312"/>
          <w:color w:val="auto"/>
          <w:sz w:val="28"/>
          <w:lang w:eastAsia="zh-CN"/>
        </w:rPr>
        <w:t>北京汇瀛恒业有限公司</w:t>
      </w:r>
    </w:p>
    <w:p>
      <w:pPr>
        <w:ind w:firstLine="560" w:firstLineChars="200"/>
        <w:rPr>
          <w:rFonts w:eastAsia="仿宋_GB2312"/>
          <w:color w:val="auto"/>
          <w:sz w:val="28"/>
        </w:rPr>
      </w:pPr>
      <w:r>
        <w:rPr>
          <w:rFonts w:hint="eastAsia" w:eastAsia="仿宋_GB2312"/>
          <w:color w:val="auto"/>
          <w:sz w:val="28"/>
        </w:rPr>
        <w:t>银行：</w:t>
      </w:r>
      <w:r>
        <w:rPr>
          <w:rFonts w:hint="eastAsia" w:eastAsia="仿宋_GB2312"/>
          <w:color w:val="auto"/>
          <w:sz w:val="28"/>
          <w:lang w:eastAsia="zh-CN"/>
        </w:rPr>
        <w:t>北京农村商业银</w:t>
      </w:r>
      <w:r>
        <w:rPr>
          <w:rFonts w:hint="eastAsia" w:eastAsia="仿宋_GB2312"/>
          <w:color w:val="auto"/>
          <w:sz w:val="28"/>
        </w:rPr>
        <w:t>行</w:t>
      </w:r>
      <w:r>
        <w:rPr>
          <w:rFonts w:hint="eastAsia" w:eastAsia="仿宋_GB2312"/>
          <w:color w:val="auto"/>
          <w:sz w:val="28"/>
          <w:lang w:eastAsia="zh-CN"/>
        </w:rPr>
        <w:t>股份有限公司瀛海支行</w:t>
      </w:r>
    </w:p>
    <w:p>
      <w:pPr>
        <w:ind w:firstLine="560" w:firstLineChars="200"/>
        <w:rPr>
          <w:rFonts w:hint="eastAsia" w:eastAsia="仿宋_GB2312"/>
          <w:color w:val="auto"/>
          <w:sz w:val="28"/>
        </w:rPr>
      </w:pPr>
      <w:r>
        <w:rPr>
          <w:rFonts w:hint="eastAsia" w:eastAsia="仿宋_GB2312"/>
          <w:color w:val="auto"/>
          <w:sz w:val="28"/>
        </w:rPr>
        <w:t>账号：</w:t>
      </w:r>
      <w:r>
        <w:rPr>
          <w:rFonts w:hint="eastAsia" w:eastAsia="仿宋_GB2312"/>
          <w:color w:val="auto"/>
          <w:sz w:val="28"/>
          <w:lang w:val="en-US" w:eastAsia="zh-CN"/>
        </w:rPr>
        <w:t>0920000103000016924</w:t>
      </w:r>
    </w:p>
    <w:p>
      <w:pPr>
        <w:ind w:firstLine="560" w:firstLineChars="200"/>
        <w:rPr>
          <w:rFonts w:eastAsia="仿宋_GB2312"/>
          <w:color w:val="auto"/>
          <w:sz w:val="28"/>
        </w:rPr>
      </w:pPr>
      <w:r>
        <w:rPr>
          <w:rFonts w:hint="eastAsia" w:eastAsia="仿宋_GB2312"/>
          <w:color w:val="auto"/>
          <w:sz w:val="28"/>
        </w:rPr>
        <w:t>如竞买人汇入的竞买保证金在交纳截止时间前未能到达</w:t>
      </w:r>
      <w:r>
        <w:rPr>
          <w:rFonts w:hint="eastAsia" w:eastAsia="仿宋_GB2312"/>
          <w:color w:val="auto"/>
          <w:sz w:val="28"/>
          <w:lang w:eastAsia="zh-CN"/>
        </w:rPr>
        <w:t>北京汇瀛恒业有限公司</w:t>
      </w:r>
      <w:r>
        <w:rPr>
          <w:rFonts w:hint="eastAsia" w:eastAsia="仿宋_GB2312"/>
          <w:color w:val="auto"/>
          <w:sz w:val="28"/>
        </w:rPr>
        <w:t>账户，则无竞买资格。</w:t>
      </w:r>
    </w:p>
    <w:p>
      <w:pPr>
        <w:ind w:firstLine="560" w:firstLineChars="200"/>
        <w:rPr>
          <w:rFonts w:hint="eastAsia" w:eastAsia="仿宋_GB2312"/>
          <w:color w:val="auto"/>
          <w:sz w:val="28"/>
          <w:lang w:eastAsia="zh-CN"/>
        </w:rPr>
      </w:pPr>
      <w:r>
        <w:rPr>
          <w:rFonts w:hint="eastAsia" w:eastAsia="仿宋_GB2312"/>
          <w:color w:val="auto"/>
          <w:sz w:val="28"/>
          <w:lang w:eastAsia="zh-CN"/>
        </w:rPr>
        <w:t>北京汇瀛恒业有限公司</w:t>
      </w:r>
      <w:r>
        <w:rPr>
          <w:rFonts w:hint="eastAsia" w:eastAsia="仿宋_GB2312"/>
          <w:color w:val="auto"/>
          <w:sz w:val="28"/>
        </w:rPr>
        <w:t>确认竞买保证金到账后，向交款单位开具竞买保证金到帐凭证，</w:t>
      </w:r>
      <w:r>
        <w:rPr>
          <w:rFonts w:hint="eastAsia" w:eastAsia="仿宋_GB2312"/>
          <w:color w:val="auto"/>
          <w:sz w:val="28"/>
          <w:lang w:eastAsia="zh-CN"/>
        </w:rPr>
        <w:t>竞买人持竞买保证金到帐凭证到大兴分中心市场交易部门办理竞买资格手续。交款单位须与竞买单位为同一单位，禁止由其他单位代缴竞买保证金。</w:t>
      </w:r>
    </w:p>
    <w:p>
      <w:pPr>
        <w:pStyle w:val="9"/>
        <w:numPr>
          <w:ilvl w:val="0"/>
          <w:numId w:val="2"/>
        </w:numPr>
        <w:tabs>
          <w:tab w:val="left" w:pos="1455"/>
          <w:tab w:val="left" w:pos="1785"/>
        </w:tabs>
        <w:spacing w:after="0" w:line="640" w:lineRule="exact"/>
        <w:ind w:firstLine="630" w:firstLineChars="225"/>
        <w:rPr>
          <w:rFonts w:eastAsia="仿宋_GB2312"/>
          <w:color w:val="auto"/>
          <w:sz w:val="28"/>
        </w:rPr>
      </w:pPr>
      <w:r>
        <w:rPr>
          <w:rFonts w:hint="eastAsia" w:eastAsia="仿宋_GB2312"/>
          <w:color w:val="auto"/>
          <w:sz w:val="28"/>
          <w:lang w:val="en-US" w:eastAsia="zh-CN"/>
        </w:rPr>
        <w:t xml:space="preserve"> </w:t>
      </w:r>
      <w:r>
        <w:rPr>
          <w:rFonts w:eastAsia="仿宋_GB2312"/>
          <w:color w:val="auto"/>
          <w:sz w:val="28"/>
        </w:rPr>
        <w:t>竞得人在竞买时交纳的竞买保证金人民币</w:t>
      </w:r>
      <w:r>
        <w:rPr>
          <w:rFonts w:hint="eastAsia" w:eastAsia="仿宋_GB2312"/>
          <w:color w:val="auto"/>
          <w:sz w:val="28"/>
          <w:lang w:val="en-US" w:eastAsia="zh-CN"/>
        </w:rPr>
        <w:t>45000</w:t>
      </w:r>
      <w:r>
        <w:rPr>
          <w:rFonts w:hint="eastAsia" w:eastAsia="仿宋_GB2312"/>
          <w:color w:val="auto"/>
          <w:sz w:val="28"/>
        </w:rPr>
        <w:t>万元将直接</w:t>
      </w:r>
      <w:r>
        <w:rPr>
          <w:rFonts w:eastAsia="仿宋_GB2312"/>
          <w:color w:val="auto"/>
          <w:sz w:val="28"/>
        </w:rPr>
        <w:t>冲抵</w:t>
      </w:r>
      <w:r>
        <w:rPr>
          <w:rFonts w:hint="eastAsia" w:eastAsia="仿宋_GB2312"/>
          <w:color w:val="auto"/>
          <w:sz w:val="28"/>
        </w:rPr>
        <w:t>宗地地价款</w:t>
      </w:r>
      <w:r>
        <w:rPr>
          <w:rFonts w:hint="eastAsia" w:eastAsia="仿宋_GB2312"/>
          <w:color w:val="auto"/>
          <w:sz w:val="28"/>
          <w:lang w:eastAsia="zh-CN"/>
        </w:rPr>
        <w:t>，不再退还</w:t>
      </w:r>
      <w:r>
        <w:rPr>
          <w:rFonts w:eastAsia="仿宋_GB2312"/>
          <w:color w:val="auto"/>
          <w:sz w:val="28"/>
        </w:rPr>
        <w:t>。</w:t>
      </w:r>
    </w:p>
    <w:p>
      <w:pPr>
        <w:pStyle w:val="9"/>
        <w:tabs>
          <w:tab w:val="left" w:pos="1455"/>
          <w:tab w:val="left" w:pos="1785"/>
        </w:tabs>
        <w:spacing w:after="0"/>
        <w:ind w:firstLine="560" w:firstLineChars="200"/>
        <w:rPr>
          <w:color w:val="auto"/>
          <w:sz w:val="30"/>
        </w:rPr>
      </w:pPr>
      <w:r>
        <w:rPr>
          <w:rFonts w:eastAsia="仿宋_GB2312"/>
          <w:color w:val="auto"/>
          <w:sz w:val="28"/>
        </w:rPr>
        <w:t>未竞得人的竞买保证金于本次挂牌活动结束后5个工作日内退还原竞买人，不计利息</w:t>
      </w:r>
      <w:r>
        <w:rPr>
          <w:color w:val="auto"/>
          <w:sz w:val="30"/>
        </w:rPr>
        <w:t>。</w:t>
      </w:r>
    </w:p>
    <w:p>
      <w:pPr>
        <w:pStyle w:val="9"/>
        <w:numPr>
          <w:ilvl w:val="0"/>
          <w:numId w:val="2"/>
        </w:numPr>
        <w:tabs>
          <w:tab w:val="left" w:pos="1455"/>
          <w:tab w:val="left" w:pos="1785"/>
        </w:tabs>
        <w:spacing w:after="0" w:line="640" w:lineRule="exact"/>
        <w:ind w:firstLine="630" w:firstLineChars="225"/>
        <w:rPr>
          <w:rFonts w:eastAsia="仿宋_GB2312"/>
          <w:color w:val="auto"/>
          <w:sz w:val="28"/>
        </w:rPr>
      </w:pPr>
      <w:r>
        <w:rPr>
          <w:rFonts w:eastAsia="仿宋_GB2312"/>
          <w:color w:val="auto"/>
          <w:sz w:val="28"/>
        </w:rPr>
        <w:t>如果土地出让方</w:t>
      </w:r>
      <w:r>
        <w:rPr>
          <w:rFonts w:hint="eastAsia" w:eastAsia="仿宋_GB2312"/>
          <w:color w:val="auto"/>
          <w:sz w:val="28"/>
        </w:rPr>
        <w:t>或大兴分中心</w:t>
      </w:r>
      <w:r>
        <w:rPr>
          <w:rFonts w:eastAsia="仿宋_GB2312"/>
          <w:color w:val="auto"/>
          <w:sz w:val="28"/>
        </w:rPr>
        <w:t>终止挂牌活动，</w:t>
      </w:r>
      <w:r>
        <w:rPr>
          <w:rFonts w:hint="eastAsia" w:eastAsia="仿宋_GB2312"/>
          <w:color w:val="auto"/>
          <w:sz w:val="28"/>
          <w:lang w:eastAsia="zh-CN"/>
        </w:rPr>
        <w:t>北京汇瀛恒业有限公司</w:t>
      </w:r>
      <w:r>
        <w:rPr>
          <w:rFonts w:eastAsia="仿宋_GB2312"/>
          <w:color w:val="auto"/>
          <w:sz w:val="28"/>
        </w:rPr>
        <w:t>将在宣布之日起3个工作日内退还所有竞买人的竞买保证金及相应利息。</w:t>
      </w:r>
    </w:p>
    <w:p>
      <w:pPr>
        <w:pStyle w:val="9"/>
        <w:numPr>
          <w:ilvl w:val="0"/>
          <w:numId w:val="2"/>
        </w:numPr>
        <w:tabs>
          <w:tab w:val="left" w:pos="1455"/>
          <w:tab w:val="left" w:pos="1785"/>
        </w:tabs>
        <w:spacing w:after="0" w:line="640" w:lineRule="exact"/>
        <w:ind w:firstLine="630" w:firstLineChars="225"/>
        <w:rPr>
          <w:rFonts w:eastAsia="仿宋_GB2312"/>
          <w:color w:val="auto"/>
          <w:sz w:val="28"/>
        </w:rPr>
      </w:pPr>
      <w:r>
        <w:rPr>
          <w:rFonts w:eastAsia="仿宋_GB2312"/>
          <w:color w:val="auto"/>
          <w:sz w:val="28"/>
        </w:rPr>
        <w:t>竞买人有下列行为之一的，其所交纳的竞买保证金不退还：</w:t>
      </w:r>
    </w:p>
    <w:p>
      <w:pPr>
        <w:spacing w:line="360" w:lineRule="auto"/>
        <w:ind w:firstLine="560" w:firstLineChars="200"/>
        <w:rPr>
          <w:rFonts w:hint="default" w:ascii="Times New Roman" w:hAnsi="Times New Roman" w:eastAsia="仿宋_GB2312" w:cs="Times New Roman"/>
          <w:color w:val="auto"/>
          <w:kern w:val="2"/>
          <w:sz w:val="28"/>
          <w:szCs w:val="24"/>
          <w:lang w:val="en-US" w:eastAsia="zh-CN" w:bidi="ar-SA"/>
        </w:rPr>
      </w:pPr>
      <w:bookmarkStart w:id="36" w:name="_Toc212531166"/>
      <w:bookmarkStart w:id="37" w:name="_Toc212531030"/>
      <w:bookmarkStart w:id="38" w:name="_Toc272043504"/>
      <w:r>
        <w:rPr>
          <w:rFonts w:hint="default" w:ascii="Times New Roman" w:hAnsi="Times New Roman" w:eastAsia="仿宋_GB2312" w:cs="Times New Roman"/>
          <w:color w:val="auto"/>
          <w:kern w:val="2"/>
          <w:sz w:val="28"/>
          <w:szCs w:val="24"/>
          <w:lang w:val="en-US" w:eastAsia="zh-CN" w:bidi="ar-SA"/>
        </w:rPr>
        <w:t>1、</w:t>
      </w:r>
      <w:r>
        <w:rPr>
          <w:rFonts w:hint="eastAsia" w:ascii="Times New Roman" w:hAnsi="Times New Roman" w:eastAsia="仿宋_GB2312" w:cs="Times New Roman"/>
          <w:color w:val="auto"/>
          <w:kern w:val="2"/>
          <w:sz w:val="28"/>
          <w:szCs w:val="24"/>
          <w:lang w:val="en-US" w:eastAsia="zh-CN" w:bidi="ar-SA"/>
        </w:rPr>
        <w:t>竞买</w:t>
      </w:r>
      <w:r>
        <w:rPr>
          <w:rFonts w:hint="default" w:ascii="Times New Roman" w:hAnsi="Times New Roman" w:eastAsia="仿宋_GB2312" w:cs="Times New Roman"/>
          <w:color w:val="auto"/>
          <w:kern w:val="2"/>
          <w:sz w:val="28"/>
          <w:szCs w:val="24"/>
          <w:lang w:val="en-US" w:eastAsia="zh-CN" w:bidi="ar-SA"/>
        </w:rPr>
        <w:t>人在</w:t>
      </w:r>
      <w:r>
        <w:rPr>
          <w:rFonts w:hint="eastAsia" w:eastAsia="仿宋_GB2312" w:cs="Times New Roman"/>
          <w:color w:val="auto"/>
          <w:kern w:val="2"/>
          <w:sz w:val="28"/>
          <w:szCs w:val="24"/>
          <w:lang w:val="en-US" w:eastAsia="zh-CN" w:bidi="ar-SA"/>
        </w:rPr>
        <w:t>宗地</w:t>
      </w:r>
      <w:r>
        <w:rPr>
          <w:rFonts w:hint="eastAsia" w:ascii="Times New Roman" w:hAnsi="Times New Roman" w:eastAsia="仿宋_GB2312" w:cs="Times New Roman"/>
          <w:color w:val="auto"/>
          <w:kern w:val="2"/>
          <w:sz w:val="28"/>
          <w:szCs w:val="24"/>
          <w:lang w:val="en-US" w:eastAsia="zh-CN" w:bidi="ar-SA"/>
        </w:rPr>
        <w:t>竞买</w:t>
      </w:r>
      <w:r>
        <w:rPr>
          <w:rFonts w:hint="eastAsia" w:eastAsia="仿宋_GB2312" w:cs="Times New Roman"/>
          <w:color w:val="auto"/>
          <w:kern w:val="2"/>
          <w:sz w:val="28"/>
          <w:szCs w:val="24"/>
          <w:lang w:val="en-US" w:eastAsia="zh-CN" w:bidi="ar-SA"/>
        </w:rPr>
        <w:t>期限内要求撤回其竞买报价的</w:t>
      </w:r>
      <w:r>
        <w:rPr>
          <w:rFonts w:hint="default" w:ascii="Times New Roman" w:hAnsi="Times New Roman" w:eastAsia="仿宋_GB2312" w:cs="Times New Roman"/>
          <w:color w:val="auto"/>
          <w:kern w:val="2"/>
          <w:sz w:val="28"/>
          <w:szCs w:val="24"/>
          <w:lang w:val="en-US" w:eastAsia="zh-CN" w:bidi="ar-SA"/>
        </w:rPr>
        <w:t>；</w:t>
      </w:r>
    </w:p>
    <w:p>
      <w:pPr>
        <w:spacing w:line="360" w:lineRule="auto"/>
        <w:ind w:firstLine="560" w:firstLineChars="200"/>
        <w:rPr>
          <w:rFonts w:hint="default" w:ascii="Times New Roman" w:hAnsi="Times New Roman" w:eastAsia="仿宋_GB2312" w:cs="Times New Roman"/>
          <w:color w:val="auto"/>
          <w:kern w:val="2"/>
          <w:sz w:val="28"/>
          <w:szCs w:val="24"/>
          <w:lang w:val="en-US" w:eastAsia="zh-CN" w:bidi="ar-SA"/>
        </w:rPr>
      </w:pPr>
      <w:r>
        <w:rPr>
          <w:rFonts w:hint="default" w:ascii="Times New Roman" w:hAnsi="Times New Roman" w:eastAsia="仿宋_GB2312" w:cs="Times New Roman"/>
          <w:color w:val="auto"/>
          <w:kern w:val="2"/>
          <w:sz w:val="28"/>
          <w:szCs w:val="24"/>
          <w:lang w:val="en-US" w:eastAsia="zh-CN" w:bidi="ar-SA"/>
        </w:rPr>
        <w:t>2、</w:t>
      </w:r>
      <w:r>
        <w:rPr>
          <w:rFonts w:hint="eastAsia" w:ascii="Times New Roman" w:hAnsi="Times New Roman" w:eastAsia="仿宋_GB2312" w:cs="Times New Roman"/>
          <w:color w:val="auto"/>
          <w:kern w:val="2"/>
          <w:sz w:val="28"/>
          <w:szCs w:val="24"/>
          <w:lang w:val="en-US" w:eastAsia="zh-CN" w:bidi="ar-SA"/>
        </w:rPr>
        <w:t>竞买</w:t>
      </w:r>
      <w:r>
        <w:rPr>
          <w:rFonts w:hint="default" w:ascii="Times New Roman" w:hAnsi="Times New Roman" w:eastAsia="仿宋_GB2312" w:cs="Times New Roman"/>
          <w:color w:val="auto"/>
          <w:kern w:val="2"/>
          <w:sz w:val="28"/>
          <w:szCs w:val="24"/>
          <w:lang w:val="en-US" w:eastAsia="zh-CN" w:bidi="ar-SA"/>
        </w:rPr>
        <w:t>人提供虚假文件隐瞒事实的；</w:t>
      </w:r>
    </w:p>
    <w:p>
      <w:pPr>
        <w:spacing w:line="360" w:lineRule="auto"/>
        <w:ind w:firstLine="560" w:firstLineChars="200"/>
        <w:rPr>
          <w:rFonts w:hint="default" w:ascii="Times New Roman" w:hAnsi="Times New Roman" w:eastAsia="仿宋_GB2312" w:cs="Times New Roman"/>
          <w:color w:val="auto"/>
          <w:kern w:val="2"/>
          <w:sz w:val="28"/>
          <w:szCs w:val="24"/>
          <w:lang w:val="en-US" w:eastAsia="zh-CN" w:bidi="ar-SA"/>
        </w:rPr>
      </w:pPr>
      <w:r>
        <w:rPr>
          <w:rFonts w:hint="default" w:ascii="Times New Roman" w:hAnsi="Times New Roman" w:eastAsia="仿宋_GB2312" w:cs="Times New Roman"/>
          <w:color w:val="auto"/>
          <w:kern w:val="2"/>
          <w:sz w:val="28"/>
          <w:szCs w:val="24"/>
          <w:lang w:val="en-US" w:eastAsia="zh-CN" w:bidi="ar-SA"/>
        </w:rPr>
        <w:t>3、</w:t>
      </w:r>
      <w:r>
        <w:rPr>
          <w:rFonts w:hint="eastAsia" w:ascii="Times New Roman" w:hAnsi="Times New Roman" w:eastAsia="仿宋_GB2312" w:cs="Times New Roman"/>
          <w:color w:val="auto"/>
          <w:kern w:val="2"/>
          <w:sz w:val="28"/>
          <w:szCs w:val="24"/>
          <w:lang w:val="en-US" w:eastAsia="zh-CN" w:bidi="ar-SA"/>
        </w:rPr>
        <w:t>竞买</w:t>
      </w:r>
      <w:r>
        <w:rPr>
          <w:rFonts w:hint="default" w:ascii="Times New Roman" w:hAnsi="Times New Roman" w:eastAsia="仿宋_GB2312" w:cs="Times New Roman"/>
          <w:color w:val="auto"/>
          <w:kern w:val="2"/>
          <w:sz w:val="28"/>
          <w:szCs w:val="24"/>
          <w:lang w:val="en-US" w:eastAsia="zh-CN" w:bidi="ar-SA"/>
        </w:rPr>
        <w:t>人违反</w:t>
      </w:r>
      <w:r>
        <w:rPr>
          <w:rFonts w:hint="eastAsia" w:ascii="Times New Roman" w:hAnsi="Times New Roman" w:eastAsia="仿宋_GB2312" w:cs="Times New Roman"/>
          <w:color w:val="auto"/>
          <w:kern w:val="2"/>
          <w:sz w:val="28"/>
          <w:szCs w:val="24"/>
          <w:lang w:val="en-US" w:eastAsia="zh-CN" w:bidi="ar-SA"/>
        </w:rPr>
        <w:t>竞买</w:t>
      </w:r>
      <w:r>
        <w:rPr>
          <w:rFonts w:hint="default" w:ascii="Times New Roman" w:hAnsi="Times New Roman" w:eastAsia="仿宋_GB2312" w:cs="Times New Roman"/>
          <w:color w:val="auto"/>
          <w:kern w:val="2"/>
          <w:sz w:val="28"/>
          <w:szCs w:val="24"/>
          <w:lang w:val="en-US" w:eastAsia="zh-CN" w:bidi="ar-SA"/>
        </w:rPr>
        <w:t>规定，被</w:t>
      </w:r>
      <w:r>
        <w:rPr>
          <w:rFonts w:hint="eastAsia" w:ascii="Times New Roman" w:hAnsi="Times New Roman" w:eastAsia="仿宋_GB2312" w:cs="Times New Roman"/>
          <w:color w:val="auto"/>
          <w:kern w:val="2"/>
          <w:sz w:val="28"/>
          <w:szCs w:val="24"/>
          <w:lang w:val="en-US" w:eastAsia="zh-CN" w:bidi="ar-SA"/>
        </w:rPr>
        <w:t>挂牌</w:t>
      </w:r>
      <w:r>
        <w:rPr>
          <w:rFonts w:hint="default" w:ascii="Times New Roman" w:hAnsi="Times New Roman" w:eastAsia="仿宋_GB2312" w:cs="Times New Roman"/>
          <w:color w:val="auto"/>
          <w:kern w:val="2"/>
          <w:sz w:val="28"/>
          <w:szCs w:val="24"/>
          <w:lang w:val="en-US" w:eastAsia="zh-CN" w:bidi="ar-SA"/>
        </w:rPr>
        <w:t>人视为无效</w:t>
      </w:r>
      <w:r>
        <w:rPr>
          <w:rFonts w:hint="eastAsia" w:ascii="Times New Roman" w:hAnsi="Times New Roman" w:eastAsia="仿宋_GB2312" w:cs="Times New Roman"/>
          <w:color w:val="auto"/>
          <w:kern w:val="2"/>
          <w:sz w:val="28"/>
          <w:szCs w:val="24"/>
          <w:lang w:val="en-US" w:eastAsia="zh-CN" w:bidi="ar-SA"/>
        </w:rPr>
        <w:t>竞买</w:t>
      </w:r>
      <w:r>
        <w:rPr>
          <w:rFonts w:hint="default" w:ascii="Times New Roman" w:hAnsi="Times New Roman" w:eastAsia="仿宋_GB2312" w:cs="Times New Roman"/>
          <w:color w:val="auto"/>
          <w:kern w:val="2"/>
          <w:sz w:val="28"/>
          <w:szCs w:val="24"/>
          <w:lang w:val="en-US" w:eastAsia="zh-CN" w:bidi="ar-SA"/>
        </w:rPr>
        <w:t>文件且应没收</w:t>
      </w:r>
      <w:r>
        <w:rPr>
          <w:rFonts w:hint="eastAsia" w:ascii="Times New Roman" w:hAnsi="Times New Roman" w:eastAsia="仿宋_GB2312" w:cs="Times New Roman"/>
          <w:color w:val="auto"/>
          <w:kern w:val="2"/>
          <w:sz w:val="28"/>
          <w:szCs w:val="24"/>
          <w:lang w:val="en-US" w:eastAsia="zh-CN" w:bidi="ar-SA"/>
        </w:rPr>
        <w:t>竞买</w:t>
      </w:r>
      <w:r>
        <w:rPr>
          <w:rFonts w:hint="default" w:ascii="Times New Roman" w:hAnsi="Times New Roman" w:eastAsia="仿宋_GB2312" w:cs="Times New Roman"/>
          <w:color w:val="auto"/>
          <w:kern w:val="2"/>
          <w:sz w:val="28"/>
          <w:szCs w:val="24"/>
          <w:lang w:val="en-US" w:eastAsia="zh-CN" w:bidi="ar-SA"/>
        </w:rPr>
        <w:t>保证金的；</w:t>
      </w:r>
    </w:p>
    <w:p>
      <w:pPr>
        <w:spacing w:line="360" w:lineRule="auto"/>
        <w:ind w:firstLine="560" w:firstLineChars="200"/>
        <w:rPr>
          <w:rFonts w:hint="default" w:ascii="Times New Roman" w:hAnsi="Times New Roman" w:eastAsia="仿宋_GB2312" w:cs="Times New Roman"/>
          <w:color w:val="auto"/>
          <w:kern w:val="2"/>
          <w:sz w:val="28"/>
          <w:szCs w:val="24"/>
          <w:lang w:val="en-US" w:eastAsia="zh-CN" w:bidi="ar-SA"/>
        </w:rPr>
      </w:pPr>
      <w:r>
        <w:rPr>
          <w:rFonts w:hint="default" w:ascii="Times New Roman" w:hAnsi="Times New Roman" w:eastAsia="仿宋_GB2312" w:cs="Times New Roman"/>
          <w:color w:val="auto"/>
          <w:kern w:val="2"/>
          <w:sz w:val="28"/>
          <w:szCs w:val="24"/>
          <w:lang w:val="en-US" w:eastAsia="zh-CN" w:bidi="ar-SA"/>
        </w:rPr>
        <w:t>4、被选定为</w:t>
      </w:r>
      <w:r>
        <w:rPr>
          <w:rFonts w:hint="eastAsia" w:eastAsia="仿宋_GB2312" w:cs="Times New Roman"/>
          <w:color w:val="auto"/>
          <w:kern w:val="2"/>
          <w:sz w:val="28"/>
          <w:szCs w:val="24"/>
          <w:lang w:val="en-US" w:eastAsia="zh-CN" w:bidi="ar-SA"/>
        </w:rPr>
        <w:t>竞得</w:t>
      </w:r>
      <w:r>
        <w:rPr>
          <w:rFonts w:hint="default" w:ascii="Times New Roman" w:hAnsi="Times New Roman" w:eastAsia="仿宋_GB2312" w:cs="Times New Roman"/>
          <w:color w:val="auto"/>
          <w:kern w:val="2"/>
          <w:sz w:val="28"/>
          <w:szCs w:val="24"/>
          <w:lang w:val="en-US" w:eastAsia="zh-CN" w:bidi="ar-SA"/>
        </w:rPr>
        <w:t>人的</w:t>
      </w:r>
      <w:r>
        <w:rPr>
          <w:rFonts w:hint="eastAsia" w:ascii="Times New Roman" w:hAnsi="Times New Roman" w:eastAsia="仿宋_GB2312" w:cs="Times New Roman"/>
          <w:color w:val="auto"/>
          <w:kern w:val="2"/>
          <w:sz w:val="28"/>
          <w:szCs w:val="24"/>
          <w:lang w:val="en-US" w:eastAsia="zh-CN" w:bidi="ar-SA"/>
        </w:rPr>
        <w:t>竞买</w:t>
      </w:r>
      <w:r>
        <w:rPr>
          <w:rFonts w:hint="default" w:ascii="Times New Roman" w:hAnsi="Times New Roman" w:eastAsia="仿宋_GB2312" w:cs="Times New Roman"/>
          <w:color w:val="auto"/>
          <w:kern w:val="2"/>
          <w:sz w:val="28"/>
          <w:szCs w:val="24"/>
          <w:lang w:val="en-US" w:eastAsia="zh-CN" w:bidi="ar-SA"/>
        </w:rPr>
        <w:t>人有下列情况之一的：</w:t>
      </w:r>
    </w:p>
    <w:p>
      <w:pPr>
        <w:numPr>
          <w:ilvl w:val="3"/>
          <w:numId w:val="5"/>
        </w:numPr>
        <w:tabs>
          <w:tab w:val="left" w:pos="0"/>
          <w:tab w:val="left" w:pos="1260"/>
          <w:tab w:val="clear" w:pos="3389"/>
        </w:tabs>
        <w:spacing w:line="360" w:lineRule="auto"/>
        <w:ind w:left="0" w:firstLine="420"/>
        <w:rPr>
          <w:rFonts w:hint="default" w:ascii="Times New Roman" w:hAnsi="Times New Roman" w:eastAsia="仿宋_GB2312" w:cs="Times New Roman"/>
          <w:color w:val="auto"/>
          <w:kern w:val="2"/>
          <w:sz w:val="28"/>
          <w:szCs w:val="24"/>
          <w:lang w:val="en-US" w:eastAsia="zh-CN" w:bidi="ar-SA"/>
        </w:rPr>
      </w:pPr>
      <w:r>
        <w:rPr>
          <w:rFonts w:hint="default" w:ascii="Times New Roman" w:hAnsi="Times New Roman" w:eastAsia="仿宋_GB2312" w:cs="Times New Roman"/>
          <w:color w:val="auto"/>
          <w:kern w:val="2"/>
          <w:sz w:val="28"/>
          <w:szCs w:val="24"/>
          <w:lang w:val="en-US" w:eastAsia="zh-CN" w:bidi="ar-SA"/>
        </w:rPr>
        <w:t>采取行贿、恶意串通等非法手段</w:t>
      </w:r>
      <w:r>
        <w:rPr>
          <w:rFonts w:hint="eastAsia" w:eastAsia="仿宋_GB2312" w:cs="Times New Roman"/>
          <w:color w:val="auto"/>
          <w:kern w:val="2"/>
          <w:sz w:val="28"/>
          <w:szCs w:val="24"/>
          <w:lang w:val="en-US" w:eastAsia="zh-CN" w:bidi="ar-SA"/>
        </w:rPr>
        <w:t>竞得该宗地</w:t>
      </w:r>
      <w:r>
        <w:rPr>
          <w:rFonts w:hint="default" w:ascii="Times New Roman" w:hAnsi="Times New Roman" w:eastAsia="仿宋_GB2312" w:cs="Times New Roman"/>
          <w:color w:val="auto"/>
          <w:kern w:val="2"/>
          <w:sz w:val="28"/>
          <w:szCs w:val="24"/>
          <w:lang w:val="en-US" w:eastAsia="zh-CN" w:bidi="ar-SA"/>
        </w:rPr>
        <w:t>；</w:t>
      </w:r>
    </w:p>
    <w:p>
      <w:pPr>
        <w:numPr>
          <w:ilvl w:val="3"/>
          <w:numId w:val="5"/>
        </w:numPr>
        <w:tabs>
          <w:tab w:val="left" w:pos="0"/>
          <w:tab w:val="left" w:pos="1260"/>
          <w:tab w:val="left" w:pos="2520"/>
          <w:tab w:val="clear" w:pos="3389"/>
        </w:tabs>
        <w:spacing w:line="360" w:lineRule="auto"/>
        <w:ind w:left="0" w:firstLine="420"/>
        <w:rPr>
          <w:rFonts w:hint="default" w:ascii="Times New Roman" w:hAnsi="Times New Roman" w:eastAsia="仿宋_GB2312" w:cs="Times New Roman"/>
          <w:color w:val="auto"/>
          <w:kern w:val="2"/>
          <w:sz w:val="28"/>
          <w:szCs w:val="24"/>
          <w:lang w:val="en-US" w:eastAsia="zh-CN" w:bidi="ar-SA"/>
        </w:rPr>
      </w:pPr>
      <w:r>
        <w:rPr>
          <w:rFonts w:hint="default" w:ascii="Times New Roman" w:hAnsi="Times New Roman" w:eastAsia="仿宋_GB2312" w:cs="Times New Roman"/>
          <w:color w:val="auto"/>
          <w:kern w:val="2"/>
          <w:sz w:val="28"/>
          <w:szCs w:val="24"/>
          <w:lang w:val="en-US" w:eastAsia="zh-CN" w:bidi="ar-SA"/>
        </w:rPr>
        <w:t>拒绝与</w:t>
      </w:r>
      <w:r>
        <w:rPr>
          <w:rFonts w:hint="eastAsia" w:ascii="Times New Roman" w:hAnsi="Times New Roman" w:eastAsia="仿宋_GB2312" w:cs="Times New Roman"/>
          <w:color w:val="auto"/>
          <w:kern w:val="2"/>
          <w:sz w:val="28"/>
          <w:szCs w:val="24"/>
          <w:lang w:val="en-US" w:eastAsia="zh-CN" w:bidi="ar-SA"/>
        </w:rPr>
        <w:t>北京汇瀛恒业有限公司</w:t>
      </w:r>
      <w:r>
        <w:rPr>
          <w:rFonts w:hint="default" w:ascii="Times New Roman" w:hAnsi="Times New Roman" w:eastAsia="仿宋_GB2312" w:cs="Times New Roman"/>
          <w:color w:val="auto"/>
          <w:kern w:val="2"/>
          <w:sz w:val="28"/>
          <w:szCs w:val="24"/>
          <w:lang w:val="en-US" w:eastAsia="zh-CN" w:bidi="ar-SA"/>
        </w:rPr>
        <w:t>签订《集体经营性建设用地使用权出让合同》；</w:t>
      </w:r>
    </w:p>
    <w:p>
      <w:pPr>
        <w:numPr>
          <w:ilvl w:val="3"/>
          <w:numId w:val="5"/>
        </w:numPr>
        <w:tabs>
          <w:tab w:val="left" w:pos="0"/>
          <w:tab w:val="left" w:pos="1260"/>
          <w:tab w:val="left" w:pos="2520"/>
          <w:tab w:val="clear" w:pos="3389"/>
        </w:tabs>
        <w:spacing w:line="360" w:lineRule="auto"/>
        <w:ind w:left="0" w:firstLine="420"/>
        <w:rPr>
          <w:rFonts w:hint="default" w:ascii="Times New Roman" w:hAnsi="Times New Roman" w:eastAsia="仿宋_GB2312" w:cs="Times New Roman"/>
          <w:color w:val="auto"/>
          <w:kern w:val="2"/>
          <w:sz w:val="28"/>
          <w:szCs w:val="24"/>
          <w:lang w:val="en-US" w:eastAsia="zh-CN" w:bidi="ar-SA"/>
        </w:rPr>
      </w:pPr>
      <w:r>
        <w:rPr>
          <w:rFonts w:hint="default" w:ascii="Times New Roman" w:hAnsi="Times New Roman" w:eastAsia="仿宋_GB2312" w:cs="Times New Roman"/>
          <w:color w:val="auto"/>
          <w:kern w:val="2"/>
          <w:sz w:val="28"/>
          <w:szCs w:val="24"/>
          <w:lang w:val="en-US" w:eastAsia="zh-CN" w:bidi="ar-SA"/>
        </w:rPr>
        <w:t>在任何重要方面未遵守其</w:t>
      </w:r>
      <w:r>
        <w:rPr>
          <w:rFonts w:hint="eastAsia" w:ascii="Times New Roman" w:hAnsi="Times New Roman" w:eastAsia="仿宋_GB2312" w:cs="Times New Roman"/>
          <w:color w:val="auto"/>
          <w:kern w:val="2"/>
          <w:sz w:val="28"/>
          <w:szCs w:val="24"/>
          <w:lang w:val="en-US" w:eastAsia="zh-CN" w:bidi="ar-SA"/>
        </w:rPr>
        <w:t>竞买</w:t>
      </w:r>
      <w:r>
        <w:rPr>
          <w:rFonts w:hint="default" w:ascii="Times New Roman" w:hAnsi="Times New Roman" w:eastAsia="仿宋_GB2312" w:cs="Times New Roman"/>
          <w:color w:val="auto"/>
          <w:kern w:val="2"/>
          <w:sz w:val="28"/>
          <w:szCs w:val="24"/>
          <w:lang w:val="en-US" w:eastAsia="zh-CN" w:bidi="ar-SA"/>
        </w:rPr>
        <w:t>文件的条款；</w:t>
      </w:r>
    </w:p>
    <w:p>
      <w:pPr>
        <w:numPr>
          <w:ilvl w:val="3"/>
          <w:numId w:val="5"/>
        </w:numPr>
        <w:tabs>
          <w:tab w:val="left" w:pos="0"/>
          <w:tab w:val="left" w:pos="1260"/>
          <w:tab w:val="left" w:pos="2520"/>
          <w:tab w:val="clear" w:pos="3389"/>
        </w:tabs>
        <w:spacing w:line="360" w:lineRule="auto"/>
        <w:ind w:left="0" w:firstLine="420"/>
        <w:rPr>
          <w:rFonts w:hint="default" w:ascii="Times New Roman" w:hAnsi="Times New Roman" w:eastAsia="仿宋_GB2312" w:cs="Times New Roman"/>
          <w:color w:val="auto"/>
          <w:kern w:val="2"/>
          <w:sz w:val="28"/>
          <w:szCs w:val="24"/>
          <w:lang w:val="en-US" w:eastAsia="zh-CN" w:bidi="ar-SA"/>
        </w:rPr>
      </w:pPr>
      <w:r>
        <w:rPr>
          <w:rFonts w:hint="default" w:ascii="Times New Roman" w:hAnsi="Times New Roman" w:eastAsia="仿宋_GB2312" w:cs="Times New Roman"/>
          <w:color w:val="auto"/>
          <w:kern w:val="2"/>
          <w:sz w:val="28"/>
          <w:szCs w:val="24"/>
          <w:lang w:val="en-US" w:eastAsia="zh-CN" w:bidi="ar-SA"/>
        </w:rPr>
        <w:t>未按照已签署的有关合同、协议履行，但纯系不可抗力事件造成不能履行合同、协议的除外。</w:t>
      </w:r>
    </w:p>
    <w:p>
      <w:pPr>
        <w:pStyle w:val="3"/>
        <w:spacing w:line="240" w:lineRule="auto"/>
        <w:jc w:val="center"/>
        <w:rPr>
          <w:rFonts w:ascii="Times New Roman" w:hAnsi="Times New Roman" w:eastAsia="仿宋_GB2312"/>
          <w:color w:val="auto"/>
        </w:rPr>
      </w:pPr>
      <w:bookmarkStart w:id="39" w:name="_Toc21971"/>
      <w:r>
        <w:rPr>
          <w:rFonts w:ascii="Times New Roman" w:hAnsi="Times New Roman" w:eastAsia="仿宋_GB2312"/>
          <w:color w:val="auto"/>
        </w:rPr>
        <w:t>第</w:t>
      </w:r>
      <w:r>
        <w:rPr>
          <w:rFonts w:hint="eastAsia" w:ascii="Times New Roman" w:hAnsi="Times New Roman" w:eastAsia="仿宋_GB2312"/>
          <w:color w:val="auto"/>
        </w:rPr>
        <w:t>九</w:t>
      </w:r>
      <w:r>
        <w:rPr>
          <w:rFonts w:ascii="Times New Roman" w:hAnsi="Times New Roman" w:eastAsia="仿宋_GB2312"/>
          <w:color w:val="auto"/>
        </w:rPr>
        <w:t>章报价期限</w:t>
      </w:r>
      <w:bookmarkEnd w:id="36"/>
      <w:bookmarkEnd w:id="37"/>
      <w:r>
        <w:rPr>
          <w:rFonts w:ascii="Times New Roman" w:hAnsi="Times New Roman" w:eastAsia="仿宋_GB2312"/>
          <w:color w:val="auto"/>
        </w:rPr>
        <w:t>和竞买规则</w:t>
      </w:r>
      <w:bookmarkEnd w:id="38"/>
      <w:bookmarkEnd w:id="39"/>
    </w:p>
    <w:p>
      <w:pPr>
        <w:pStyle w:val="9"/>
        <w:numPr>
          <w:ilvl w:val="0"/>
          <w:numId w:val="2"/>
        </w:numPr>
        <w:tabs>
          <w:tab w:val="left" w:pos="1455"/>
          <w:tab w:val="left" w:pos="1785"/>
        </w:tabs>
        <w:spacing w:after="0" w:line="640" w:lineRule="exact"/>
        <w:ind w:firstLine="630" w:firstLineChars="225"/>
        <w:rPr>
          <w:rFonts w:eastAsia="仿宋_GB2312"/>
          <w:color w:val="auto"/>
          <w:sz w:val="28"/>
        </w:rPr>
      </w:pPr>
      <w:r>
        <w:rPr>
          <w:rFonts w:eastAsia="仿宋_GB2312"/>
          <w:color w:val="auto"/>
          <w:sz w:val="28"/>
        </w:rPr>
        <w:t>本次出让宗地的竞买报价期限</w:t>
      </w:r>
    </w:p>
    <w:p>
      <w:pPr>
        <w:ind w:firstLine="560" w:firstLineChars="200"/>
        <w:rPr>
          <w:rFonts w:eastAsia="仿宋_GB2312"/>
          <w:color w:val="auto"/>
          <w:sz w:val="28"/>
        </w:rPr>
      </w:pPr>
      <w:r>
        <w:rPr>
          <w:rFonts w:eastAsia="仿宋_GB2312"/>
          <w:color w:val="auto"/>
          <w:sz w:val="28"/>
        </w:rPr>
        <w:t>开始时间：</w:t>
      </w:r>
      <w:r>
        <w:rPr>
          <w:rFonts w:hint="eastAsia" w:eastAsia="仿宋_GB2312"/>
          <w:color w:val="auto"/>
          <w:sz w:val="28"/>
        </w:rPr>
        <w:t>201</w:t>
      </w:r>
      <w:r>
        <w:rPr>
          <w:rFonts w:hint="eastAsia" w:eastAsia="仿宋_GB2312"/>
          <w:color w:val="auto"/>
          <w:sz w:val="28"/>
          <w:lang w:val="en-US" w:eastAsia="zh-CN"/>
        </w:rPr>
        <w:t>8</w:t>
      </w:r>
      <w:r>
        <w:rPr>
          <w:rFonts w:hint="eastAsia" w:eastAsia="仿宋_GB2312"/>
          <w:color w:val="auto"/>
          <w:sz w:val="28"/>
        </w:rPr>
        <w:t>年</w:t>
      </w:r>
      <w:r>
        <w:rPr>
          <w:rFonts w:hint="eastAsia" w:eastAsia="仿宋_GB2312"/>
          <w:color w:val="auto"/>
          <w:sz w:val="28"/>
          <w:lang w:val="en-US" w:eastAsia="zh-CN"/>
        </w:rPr>
        <w:t>11</w:t>
      </w:r>
      <w:r>
        <w:rPr>
          <w:rFonts w:hint="eastAsia" w:eastAsia="仿宋_GB2312"/>
          <w:color w:val="auto"/>
          <w:sz w:val="28"/>
        </w:rPr>
        <w:t>月</w:t>
      </w:r>
      <w:r>
        <w:rPr>
          <w:rFonts w:hint="eastAsia" w:eastAsia="仿宋_GB2312"/>
          <w:color w:val="auto"/>
          <w:sz w:val="28"/>
          <w:lang w:val="en-US" w:eastAsia="zh-CN"/>
        </w:rPr>
        <w:t>12</w:t>
      </w:r>
      <w:r>
        <w:rPr>
          <w:rFonts w:hint="eastAsia" w:eastAsia="仿宋_GB2312"/>
          <w:color w:val="auto"/>
          <w:sz w:val="28"/>
        </w:rPr>
        <w:t>日</w:t>
      </w:r>
      <w:r>
        <w:rPr>
          <w:rFonts w:eastAsia="仿宋_GB2312"/>
          <w:color w:val="auto"/>
          <w:sz w:val="28"/>
        </w:rPr>
        <w:t>9：00时起；</w:t>
      </w:r>
    </w:p>
    <w:p>
      <w:pPr>
        <w:ind w:firstLine="560" w:firstLineChars="200"/>
        <w:rPr>
          <w:rFonts w:eastAsia="仿宋_GB2312"/>
          <w:color w:val="auto"/>
          <w:sz w:val="28"/>
        </w:rPr>
      </w:pPr>
      <w:r>
        <w:rPr>
          <w:rFonts w:eastAsia="仿宋_GB2312"/>
          <w:color w:val="auto"/>
          <w:sz w:val="28"/>
        </w:rPr>
        <w:t>截止时间：</w:t>
      </w:r>
      <w:r>
        <w:rPr>
          <w:rFonts w:hint="eastAsia" w:eastAsia="仿宋_GB2312"/>
          <w:color w:val="auto"/>
          <w:sz w:val="28"/>
        </w:rPr>
        <w:t>201</w:t>
      </w:r>
      <w:r>
        <w:rPr>
          <w:rFonts w:hint="eastAsia" w:eastAsia="仿宋_GB2312"/>
          <w:color w:val="auto"/>
          <w:sz w:val="28"/>
          <w:lang w:val="en-US" w:eastAsia="zh-CN"/>
        </w:rPr>
        <w:t>8</w:t>
      </w:r>
      <w:r>
        <w:rPr>
          <w:rFonts w:hint="eastAsia" w:eastAsia="仿宋_GB2312"/>
          <w:color w:val="auto"/>
          <w:sz w:val="28"/>
        </w:rPr>
        <w:t>年</w:t>
      </w:r>
      <w:r>
        <w:rPr>
          <w:rFonts w:hint="eastAsia" w:eastAsia="仿宋_GB2312"/>
          <w:color w:val="auto"/>
          <w:sz w:val="28"/>
          <w:lang w:val="en-US" w:eastAsia="zh-CN"/>
        </w:rPr>
        <w:t>11</w:t>
      </w:r>
      <w:r>
        <w:rPr>
          <w:rFonts w:hint="eastAsia" w:eastAsia="仿宋_GB2312"/>
          <w:color w:val="auto"/>
          <w:sz w:val="28"/>
        </w:rPr>
        <w:t>月</w:t>
      </w:r>
      <w:r>
        <w:rPr>
          <w:rFonts w:hint="eastAsia" w:eastAsia="仿宋_GB2312"/>
          <w:color w:val="auto"/>
          <w:sz w:val="28"/>
          <w:lang w:val="en-US" w:eastAsia="zh-CN"/>
        </w:rPr>
        <w:t>12</w:t>
      </w:r>
      <w:r>
        <w:rPr>
          <w:rFonts w:hint="eastAsia" w:eastAsia="仿宋_GB2312"/>
          <w:color w:val="auto"/>
          <w:sz w:val="28"/>
        </w:rPr>
        <w:t>日</w:t>
      </w:r>
      <w:r>
        <w:rPr>
          <w:rFonts w:eastAsia="仿宋_GB2312"/>
          <w:color w:val="auto"/>
          <w:sz w:val="28"/>
        </w:rPr>
        <w:t>9：00时</w:t>
      </w:r>
      <w:r>
        <w:rPr>
          <w:rFonts w:hint="eastAsia" w:eastAsia="仿宋_GB2312"/>
          <w:color w:val="auto"/>
          <w:sz w:val="28"/>
          <w:lang w:val="en-US" w:eastAsia="zh-CN"/>
        </w:rPr>
        <w:t>收到第一份有效竞买报价单当日起，至延后的第11个工作日</w:t>
      </w:r>
      <w:r>
        <w:rPr>
          <w:rFonts w:hint="eastAsia" w:eastAsia="仿宋_GB2312"/>
          <w:color w:val="auto"/>
          <w:sz w:val="28"/>
        </w:rPr>
        <w:t>15：00时止</w:t>
      </w:r>
      <w:r>
        <w:rPr>
          <w:rFonts w:eastAsia="仿宋_GB2312"/>
          <w:color w:val="auto"/>
          <w:sz w:val="28"/>
        </w:rPr>
        <w:t>。</w:t>
      </w:r>
    </w:p>
    <w:p>
      <w:pPr>
        <w:ind w:firstLine="630" w:firstLineChars="225"/>
        <w:rPr>
          <w:rFonts w:eastAsia="仿宋_GB2312"/>
          <w:color w:val="auto"/>
          <w:sz w:val="28"/>
        </w:rPr>
      </w:pPr>
      <w:r>
        <w:rPr>
          <w:rFonts w:eastAsia="仿宋_GB2312"/>
          <w:color w:val="auto"/>
          <w:sz w:val="28"/>
        </w:rPr>
        <w:t>在上述时间段内的对外办公时间</w:t>
      </w:r>
      <w:r>
        <w:rPr>
          <w:rFonts w:hint="eastAsia" w:eastAsia="仿宋_GB2312"/>
          <w:color w:val="auto"/>
          <w:sz w:val="28"/>
        </w:rPr>
        <w:t>，大兴分中心可</w:t>
      </w:r>
      <w:r>
        <w:rPr>
          <w:rFonts w:eastAsia="仿宋_GB2312"/>
          <w:color w:val="auto"/>
          <w:sz w:val="28"/>
        </w:rPr>
        <w:t>接受竞买报价，在本条规定时间以外的任何竞价报价将被拒绝接受。</w:t>
      </w:r>
    </w:p>
    <w:p>
      <w:pPr>
        <w:pStyle w:val="9"/>
        <w:numPr>
          <w:ilvl w:val="0"/>
          <w:numId w:val="2"/>
        </w:numPr>
        <w:tabs>
          <w:tab w:val="left" w:pos="1455"/>
          <w:tab w:val="left" w:pos="1785"/>
        </w:tabs>
        <w:spacing w:after="0" w:line="640" w:lineRule="exact"/>
        <w:ind w:firstLine="630" w:firstLineChars="225"/>
        <w:rPr>
          <w:rFonts w:eastAsia="仿宋_GB2312"/>
          <w:color w:val="auto"/>
          <w:sz w:val="28"/>
        </w:rPr>
      </w:pPr>
      <w:r>
        <w:rPr>
          <w:rFonts w:eastAsia="仿宋_GB2312"/>
          <w:color w:val="auto"/>
          <w:sz w:val="28"/>
        </w:rPr>
        <w:t>本次出让宗地的挂牌出让起始价为人民币</w:t>
      </w:r>
      <w:r>
        <w:rPr>
          <w:rFonts w:hint="eastAsia" w:ascii="仿宋_GB2312" w:eastAsia="仿宋_GB2312"/>
          <w:color w:val="auto"/>
          <w:sz w:val="32"/>
          <w:szCs w:val="32"/>
          <w:lang w:val="en-US" w:eastAsia="zh-CN"/>
        </w:rPr>
        <w:t>143901</w:t>
      </w:r>
      <w:r>
        <w:rPr>
          <w:rFonts w:hint="eastAsia" w:eastAsia="仿宋_GB2312"/>
          <w:color w:val="auto"/>
          <w:sz w:val="28"/>
        </w:rPr>
        <w:t>万元</w:t>
      </w:r>
      <w:r>
        <w:rPr>
          <w:rFonts w:eastAsia="仿宋_GB2312"/>
          <w:color w:val="auto"/>
          <w:sz w:val="28"/>
        </w:rPr>
        <w:t>。</w:t>
      </w:r>
    </w:p>
    <w:p>
      <w:pPr>
        <w:pStyle w:val="9"/>
        <w:numPr>
          <w:ilvl w:val="0"/>
          <w:numId w:val="2"/>
        </w:numPr>
        <w:tabs>
          <w:tab w:val="left" w:pos="1455"/>
          <w:tab w:val="left" w:pos="1785"/>
        </w:tabs>
        <w:spacing w:after="0" w:line="640" w:lineRule="exact"/>
        <w:ind w:firstLine="630" w:firstLineChars="225"/>
        <w:rPr>
          <w:rFonts w:eastAsia="仿宋_GB2312"/>
          <w:color w:val="auto"/>
          <w:sz w:val="28"/>
        </w:rPr>
      </w:pPr>
      <w:r>
        <w:rPr>
          <w:rFonts w:eastAsia="仿宋_GB2312"/>
          <w:color w:val="auto"/>
          <w:sz w:val="28"/>
        </w:rPr>
        <w:t>本次挂牌竞价不允许竞买人自主报价。竞价阶梯为人民币</w:t>
      </w:r>
      <w:r>
        <w:rPr>
          <w:rFonts w:hint="eastAsia" w:eastAsia="仿宋_GB2312"/>
          <w:color w:val="auto"/>
          <w:sz w:val="28"/>
          <w:lang w:val="en-US" w:eastAsia="zh-CN"/>
        </w:rPr>
        <w:t>800</w:t>
      </w:r>
      <w:r>
        <w:rPr>
          <w:rFonts w:eastAsia="仿宋_GB2312"/>
          <w:color w:val="auto"/>
          <w:sz w:val="28"/>
        </w:rPr>
        <w:t>万元整，即后一次报价在前一次报价的基础上仅允许增加一个竞价阶梯。</w:t>
      </w:r>
    </w:p>
    <w:p>
      <w:pPr>
        <w:ind w:firstLine="630" w:firstLineChars="225"/>
        <w:rPr>
          <w:rFonts w:eastAsia="仿宋_GB2312"/>
          <w:color w:val="auto"/>
          <w:sz w:val="28"/>
          <w:shd w:val="pct10" w:color="auto" w:fill="FFFFFF"/>
        </w:rPr>
      </w:pPr>
      <w:r>
        <w:rPr>
          <w:rFonts w:hint="eastAsia" w:eastAsia="仿宋_GB2312"/>
          <w:color w:val="auto"/>
          <w:sz w:val="28"/>
        </w:rPr>
        <w:t>大兴分中心</w:t>
      </w:r>
      <w:r>
        <w:rPr>
          <w:rFonts w:eastAsia="仿宋_GB2312"/>
          <w:color w:val="auto"/>
          <w:sz w:val="28"/>
        </w:rPr>
        <w:t>在挂牌竞价期间可根据竞买人竞价情况调整递增幅度，并同时将幅度公示。</w:t>
      </w:r>
    </w:p>
    <w:p>
      <w:pPr>
        <w:pStyle w:val="9"/>
        <w:numPr>
          <w:ilvl w:val="0"/>
          <w:numId w:val="2"/>
        </w:numPr>
        <w:tabs>
          <w:tab w:val="left" w:pos="1455"/>
          <w:tab w:val="left" w:pos="1785"/>
        </w:tabs>
        <w:spacing w:after="0" w:line="640" w:lineRule="exact"/>
        <w:ind w:firstLine="630" w:firstLineChars="225"/>
        <w:rPr>
          <w:rFonts w:eastAsia="仿宋_GB2312"/>
          <w:color w:val="auto"/>
          <w:sz w:val="28"/>
        </w:rPr>
      </w:pPr>
      <w:r>
        <w:rPr>
          <w:rFonts w:eastAsia="仿宋_GB2312"/>
          <w:color w:val="auto"/>
          <w:sz w:val="28"/>
        </w:rPr>
        <w:t>获得竞买资格的竞买人，在挂牌竞价期内可以多次报价，每次报价时须提交竞买报价单并出示竞买资格证明。竞买人递交的竞买报价单须按照规定的格式以中文书写并加盖公章。</w:t>
      </w:r>
    </w:p>
    <w:p>
      <w:pPr>
        <w:pStyle w:val="9"/>
        <w:numPr>
          <w:ilvl w:val="0"/>
          <w:numId w:val="2"/>
        </w:numPr>
        <w:tabs>
          <w:tab w:val="left" w:pos="1455"/>
          <w:tab w:val="left" w:pos="1785"/>
        </w:tabs>
        <w:spacing w:after="0" w:line="640" w:lineRule="exact"/>
        <w:ind w:firstLine="630" w:firstLineChars="225"/>
        <w:rPr>
          <w:rFonts w:eastAsia="仿宋_GB2312"/>
          <w:color w:val="auto"/>
          <w:sz w:val="28"/>
        </w:rPr>
      </w:pPr>
      <w:r>
        <w:rPr>
          <w:rFonts w:eastAsia="仿宋_GB2312"/>
          <w:color w:val="auto"/>
          <w:sz w:val="28"/>
        </w:rPr>
        <w:t>在该宗地的挂牌竞价期内，</w:t>
      </w:r>
      <w:r>
        <w:rPr>
          <w:rFonts w:hint="eastAsia" w:eastAsia="仿宋_GB2312"/>
          <w:color w:val="auto"/>
          <w:sz w:val="28"/>
        </w:rPr>
        <w:t>大兴分中心</w:t>
      </w:r>
      <w:r>
        <w:rPr>
          <w:rFonts w:eastAsia="仿宋_GB2312"/>
          <w:color w:val="auto"/>
          <w:sz w:val="28"/>
        </w:rPr>
        <w:t>将及时在北京市土地交易市场大兴分市场按以下规则公布该宗地的最新竞买价格。</w:t>
      </w:r>
    </w:p>
    <w:p>
      <w:pPr>
        <w:ind w:firstLine="560" w:firstLineChars="200"/>
        <w:rPr>
          <w:rFonts w:eastAsia="仿宋_GB2312"/>
          <w:color w:val="auto"/>
          <w:sz w:val="28"/>
        </w:rPr>
      </w:pPr>
      <w:r>
        <w:rPr>
          <w:rFonts w:hint="eastAsia" w:eastAsia="仿宋_GB2312"/>
          <w:color w:val="auto"/>
          <w:sz w:val="28"/>
        </w:rPr>
        <w:t>（一）大兴分中心</w:t>
      </w:r>
      <w:r>
        <w:rPr>
          <w:rFonts w:eastAsia="仿宋_GB2312"/>
          <w:color w:val="auto"/>
          <w:sz w:val="28"/>
        </w:rPr>
        <w:t>将按报价先后及报价高低确定有效报价人及其报价。</w:t>
      </w:r>
    </w:p>
    <w:p>
      <w:pPr>
        <w:ind w:firstLine="560" w:firstLineChars="200"/>
        <w:rPr>
          <w:rFonts w:eastAsia="仿宋_GB2312"/>
          <w:color w:val="auto"/>
          <w:sz w:val="28"/>
        </w:rPr>
      </w:pPr>
      <w:r>
        <w:rPr>
          <w:rFonts w:hint="eastAsia" w:eastAsia="仿宋_GB2312"/>
          <w:color w:val="auto"/>
          <w:sz w:val="28"/>
        </w:rPr>
        <w:t>（二）</w:t>
      </w:r>
      <w:r>
        <w:rPr>
          <w:rFonts w:eastAsia="仿宋_GB2312"/>
          <w:color w:val="auto"/>
          <w:sz w:val="28"/>
        </w:rPr>
        <w:t>如发生同时有多家竞买人报价，并且报价相同且有效的，则先获得竞买资格的被确定为报价人，并公布其报价。其它报价人视同为已报过价，可以参加最后的现场竞价。</w:t>
      </w:r>
    </w:p>
    <w:p>
      <w:pPr>
        <w:ind w:firstLine="560" w:firstLineChars="200"/>
        <w:rPr>
          <w:rFonts w:eastAsia="仿宋_GB2312"/>
          <w:color w:val="auto"/>
          <w:sz w:val="28"/>
        </w:rPr>
      </w:pPr>
      <w:r>
        <w:rPr>
          <w:rFonts w:hint="eastAsia" w:eastAsia="仿宋_GB2312"/>
          <w:color w:val="auto"/>
          <w:sz w:val="28"/>
        </w:rPr>
        <w:t>（三）大兴分中心</w:t>
      </w:r>
      <w:r>
        <w:rPr>
          <w:rFonts w:eastAsia="仿宋_GB2312"/>
          <w:color w:val="auto"/>
          <w:sz w:val="28"/>
        </w:rPr>
        <w:t>及时公布最高报价，但不承担因延误通知带来的责任。竞买人可</w:t>
      </w:r>
      <w:r>
        <w:rPr>
          <w:rFonts w:hint="eastAsia" w:eastAsia="仿宋_GB2312"/>
          <w:color w:val="auto"/>
          <w:sz w:val="28"/>
        </w:rPr>
        <w:t>通过网站（</w:t>
      </w:r>
      <w:r>
        <w:rPr>
          <w:rFonts w:hint="eastAsia" w:eastAsia="仿宋_GB2312"/>
          <w:color w:val="auto"/>
          <w:sz w:val="28"/>
          <w:szCs w:val="28"/>
          <w:lang w:eastAsia="zh-CN"/>
        </w:rPr>
        <w:t>http://ghgtw.beijing.gov.cn/</w:t>
      </w:r>
      <w:r>
        <w:rPr>
          <w:rFonts w:hint="eastAsia" w:eastAsia="仿宋_GB2312"/>
          <w:color w:val="auto"/>
          <w:sz w:val="28"/>
        </w:rPr>
        <w:t>）或</w:t>
      </w:r>
      <w:r>
        <w:rPr>
          <w:rFonts w:eastAsia="仿宋_GB2312"/>
          <w:color w:val="auto"/>
          <w:sz w:val="28"/>
        </w:rPr>
        <w:t>打电话查询最新报价。</w:t>
      </w:r>
    </w:p>
    <w:p>
      <w:pPr>
        <w:pStyle w:val="3"/>
        <w:spacing w:line="240" w:lineRule="auto"/>
        <w:jc w:val="center"/>
        <w:rPr>
          <w:rFonts w:ascii="Times New Roman" w:hAnsi="Times New Roman" w:eastAsia="仿宋_GB2312"/>
          <w:color w:val="auto"/>
        </w:rPr>
      </w:pPr>
      <w:bookmarkStart w:id="40" w:name="_Toc24490"/>
      <w:r>
        <w:rPr>
          <w:rFonts w:ascii="Times New Roman" w:hAnsi="Times New Roman" w:eastAsia="仿宋_GB2312"/>
          <w:color w:val="auto"/>
        </w:rPr>
        <w:t>第</w:t>
      </w:r>
      <w:r>
        <w:rPr>
          <w:rFonts w:hint="eastAsia" w:ascii="Times New Roman" w:hAnsi="Times New Roman" w:eastAsia="仿宋_GB2312"/>
          <w:color w:val="auto"/>
        </w:rPr>
        <w:t>十</w:t>
      </w:r>
      <w:r>
        <w:rPr>
          <w:rFonts w:ascii="Times New Roman" w:hAnsi="Times New Roman" w:eastAsia="仿宋_GB2312"/>
          <w:color w:val="auto"/>
        </w:rPr>
        <w:t>章</w:t>
      </w:r>
      <w:r>
        <w:rPr>
          <w:rFonts w:hint="eastAsia" w:ascii="Times New Roman" w:hAnsi="Times New Roman" w:eastAsia="仿宋_GB2312"/>
          <w:color w:val="auto"/>
        </w:rPr>
        <w:t xml:space="preserve">  竞得人的确定</w:t>
      </w:r>
      <w:bookmarkEnd w:id="40"/>
    </w:p>
    <w:p>
      <w:pPr>
        <w:pStyle w:val="9"/>
        <w:numPr>
          <w:ilvl w:val="0"/>
          <w:numId w:val="2"/>
        </w:numPr>
        <w:tabs>
          <w:tab w:val="left" w:pos="1785"/>
        </w:tabs>
        <w:spacing w:beforeLines="30" w:afterLines="30"/>
        <w:rPr>
          <w:rFonts w:eastAsia="仿宋_GB2312"/>
          <w:color w:val="auto"/>
          <w:sz w:val="28"/>
        </w:rPr>
      </w:pPr>
      <w:r>
        <w:rPr>
          <w:rFonts w:hint="eastAsia" w:eastAsia="仿宋_GB2312"/>
          <w:color w:val="auto"/>
          <w:sz w:val="28"/>
        </w:rPr>
        <w:t>在本须知规定挂牌竞价期限届满时，大兴分中心将按照以下规定确定竞得人：</w:t>
      </w:r>
    </w:p>
    <w:p>
      <w:pPr>
        <w:tabs>
          <w:tab w:val="left" w:pos="0"/>
        </w:tabs>
        <w:ind w:firstLine="630" w:firstLineChars="225"/>
        <w:rPr>
          <w:rFonts w:ascii="仿宋_GB2312" w:hAnsi="宋体" w:eastAsia="仿宋_GB2312"/>
          <w:color w:val="auto"/>
          <w:sz w:val="28"/>
        </w:rPr>
      </w:pPr>
      <w:r>
        <w:rPr>
          <w:rFonts w:hint="eastAsia" w:ascii="仿宋_GB2312" w:hAnsi="宋体" w:eastAsia="仿宋_GB2312"/>
          <w:color w:val="auto"/>
          <w:sz w:val="28"/>
        </w:rPr>
        <w:t>（一）在竞价期限内只有一个竞买人，报价不低于挂牌底价的，并符合其他交易条件的，挂牌出让成交；</w:t>
      </w:r>
    </w:p>
    <w:p>
      <w:pPr>
        <w:tabs>
          <w:tab w:val="left" w:pos="0"/>
        </w:tabs>
        <w:ind w:firstLine="630" w:firstLineChars="225"/>
        <w:rPr>
          <w:rFonts w:ascii="仿宋_GB2312" w:hAnsi="宋体" w:eastAsia="仿宋_GB2312"/>
          <w:color w:val="auto"/>
          <w:sz w:val="28"/>
        </w:rPr>
      </w:pPr>
      <w:r>
        <w:rPr>
          <w:rFonts w:hint="eastAsia" w:ascii="仿宋_GB2312" w:hAnsi="宋体" w:eastAsia="仿宋_GB2312"/>
          <w:color w:val="auto"/>
          <w:sz w:val="28"/>
        </w:rPr>
        <w:t>（二）在竞价期限内无应价者或竞买人的报价均低于挂牌底价或均不符合其他交易条件的，挂牌出让不成交；</w:t>
      </w:r>
    </w:p>
    <w:p>
      <w:pPr>
        <w:ind w:firstLine="630" w:firstLineChars="225"/>
        <w:rPr>
          <w:rFonts w:ascii="仿宋_GB2312" w:hAnsi="宋体" w:eastAsia="仿宋_GB2312"/>
          <w:color w:val="auto"/>
          <w:sz w:val="28"/>
        </w:rPr>
      </w:pPr>
      <w:r>
        <w:rPr>
          <w:rFonts w:hint="eastAsia" w:ascii="仿宋_GB2312" w:hAnsi="宋体" w:eastAsia="仿宋_GB2312"/>
          <w:color w:val="auto"/>
          <w:sz w:val="28"/>
        </w:rPr>
        <w:t>（三）在竞价期限内有两个或两个以上竞买人竞价的，报价最高者为竞得人;报价相同且无现场竞价的情况下，先获得竞买资格者为竞得人。但报价低于底价者除外。</w:t>
      </w:r>
    </w:p>
    <w:p>
      <w:pPr>
        <w:pStyle w:val="9"/>
        <w:numPr>
          <w:ilvl w:val="0"/>
          <w:numId w:val="2"/>
        </w:numPr>
        <w:tabs>
          <w:tab w:val="left" w:pos="1785"/>
        </w:tabs>
        <w:spacing w:beforeLines="30" w:afterLines="30"/>
        <w:rPr>
          <w:rFonts w:eastAsia="仿宋_GB2312"/>
          <w:color w:val="auto"/>
          <w:sz w:val="28"/>
        </w:rPr>
      </w:pPr>
      <w:r>
        <w:rPr>
          <w:rFonts w:hint="eastAsia" w:eastAsia="仿宋_GB2312"/>
          <w:color w:val="auto"/>
          <w:sz w:val="28"/>
        </w:rPr>
        <w:t>在挂牌竞价截止时仍有两个或者两个以上的竞买人要求报价的，则由大兴分中心对挂牌出让宗地组织现场竞价，出价最高者为竞得人。具体现场竞价规则及要求是：</w:t>
      </w:r>
    </w:p>
    <w:p>
      <w:pPr>
        <w:ind w:firstLine="630" w:firstLineChars="225"/>
        <w:rPr>
          <w:rFonts w:ascii="仿宋_GB2312" w:hAnsi="宋体" w:eastAsia="仿宋_GB2312"/>
          <w:color w:val="auto"/>
          <w:sz w:val="28"/>
        </w:rPr>
      </w:pPr>
      <w:r>
        <w:rPr>
          <w:rFonts w:hint="eastAsia" w:ascii="仿宋_GB2312" w:hAnsi="宋体" w:eastAsia="仿宋_GB2312"/>
          <w:color w:val="auto"/>
          <w:sz w:val="28"/>
        </w:rPr>
        <w:t>（一）参加竞价单位：竞价截止时报价最高者及已取得竞价资格，并曾经参加本次挂牌出让宗地竞买报价，且在竞价截止时仍要求报价者。</w:t>
      </w:r>
    </w:p>
    <w:p>
      <w:pPr>
        <w:ind w:firstLine="630" w:firstLineChars="225"/>
        <w:rPr>
          <w:rFonts w:ascii="仿宋_GB2312" w:hAnsi="宋体" w:eastAsia="仿宋_GB2312"/>
          <w:color w:val="auto"/>
          <w:sz w:val="28"/>
        </w:rPr>
      </w:pPr>
      <w:r>
        <w:rPr>
          <w:rFonts w:hint="eastAsia" w:ascii="仿宋_GB2312" w:hAnsi="宋体" w:eastAsia="仿宋_GB2312"/>
          <w:color w:val="auto"/>
          <w:sz w:val="28"/>
        </w:rPr>
        <w:t>（二）现场竞价的要求：</w:t>
      </w:r>
    </w:p>
    <w:p>
      <w:pPr>
        <w:ind w:firstLine="733" w:firstLineChars="262"/>
        <w:rPr>
          <w:rFonts w:ascii="仿宋_GB2312" w:hAnsi="宋体" w:eastAsia="仿宋_GB2312"/>
          <w:color w:val="auto"/>
          <w:sz w:val="28"/>
        </w:rPr>
      </w:pPr>
      <w:r>
        <w:rPr>
          <w:rFonts w:hint="eastAsia" w:ascii="仿宋_GB2312" w:hAnsi="宋体" w:eastAsia="仿宋_GB2312"/>
          <w:color w:val="auto"/>
          <w:sz w:val="28"/>
        </w:rPr>
        <w:t>（</w:t>
      </w:r>
      <w:r>
        <w:rPr>
          <w:rFonts w:ascii="仿宋_GB2312" w:hAnsi="宋体" w:eastAsia="仿宋_GB2312"/>
          <w:color w:val="auto"/>
          <w:sz w:val="28"/>
        </w:rPr>
        <w:t>1）必须由法定代表人或由法定代表人明确授权委托的代理人参加竞价；</w:t>
      </w:r>
    </w:p>
    <w:p>
      <w:pPr>
        <w:ind w:firstLine="733" w:firstLineChars="262"/>
        <w:rPr>
          <w:rFonts w:ascii="仿宋_GB2312" w:hAnsi="宋体" w:eastAsia="仿宋_GB2312"/>
          <w:color w:val="auto"/>
          <w:sz w:val="28"/>
        </w:rPr>
      </w:pPr>
      <w:r>
        <w:rPr>
          <w:rFonts w:hint="eastAsia" w:ascii="仿宋_GB2312" w:hAnsi="宋体" w:eastAsia="仿宋_GB2312"/>
          <w:color w:val="auto"/>
          <w:sz w:val="28"/>
        </w:rPr>
        <w:t>（</w:t>
      </w:r>
      <w:r>
        <w:rPr>
          <w:rFonts w:ascii="仿宋_GB2312" w:hAnsi="宋体" w:eastAsia="仿宋_GB2312"/>
          <w:color w:val="auto"/>
          <w:sz w:val="28"/>
        </w:rPr>
        <w:t>2）携带身份证原件；</w:t>
      </w:r>
    </w:p>
    <w:p>
      <w:pPr>
        <w:ind w:firstLine="733" w:firstLineChars="262"/>
        <w:rPr>
          <w:rFonts w:ascii="仿宋_GB2312" w:hAnsi="宋体" w:eastAsia="仿宋_GB2312"/>
          <w:color w:val="auto"/>
          <w:sz w:val="28"/>
        </w:rPr>
      </w:pPr>
      <w:r>
        <w:rPr>
          <w:rFonts w:hint="eastAsia" w:ascii="仿宋_GB2312" w:hAnsi="宋体" w:eastAsia="仿宋_GB2312"/>
          <w:color w:val="auto"/>
          <w:sz w:val="28"/>
        </w:rPr>
        <w:t>（</w:t>
      </w:r>
      <w:r>
        <w:rPr>
          <w:rFonts w:ascii="仿宋_GB2312" w:hAnsi="宋体" w:eastAsia="仿宋_GB2312"/>
          <w:color w:val="auto"/>
          <w:sz w:val="28"/>
        </w:rPr>
        <w:t>3）必须携带公司公章。</w:t>
      </w:r>
    </w:p>
    <w:p>
      <w:pPr>
        <w:ind w:firstLine="560" w:firstLineChars="200"/>
        <w:rPr>
          <w:rFonts w:ascii="仿宋_GB2312" w:hAnsi="宋体" w:eastAsia="仿宋_GB2312"/>
          <w:color w:val="auto"/>
          <w:sz w:val="28"/>
        </w:rPr>
      </w:pPr>
      <w:r>
        <w:rPr>
          <w:rFonts w:hint="eastAsia" w:ascii="仿宋_GB2312" w:hAnsi="宋体" w:eastAsia="仿宋_GB2312"/>
          <w:color w:val="auto"/>
          <w:sz w:val="28"/>
        </w:rPr>
        <w:t>（三）现场竞价程序</w:t>
      </w:r>
    </w:p>
    <w:p>
      <w:pPr>
        <w:numPr>
          <w:ilvl w:val="5"/>
          <w:numId w:val="6"/>
        </w:numPr>
        <w:tabs>
          <w:tab w:val="left" w:pos="1440"/>
          <w:tab w:val="clear" w:pos="2820"/>
        </w:tabs>
        <w:ind w:left="0" w:firstLine="720"/>
        <w:rPr>
          <w:rFonts w:ascii="仿宋_GB2312" w:hAnsi="宋体" w:eastAsia="仿宋_GB2312"/>
          <w:color w:val="auto"/>
          <w:sz w:val="28"/>
        </w:rPr>
      </w:pPr>
      <w:r>
        <w:rPr>
          <w:rFonts w:hint="eastAsia" w:ascii="仿宋_GB2312" w:hAnsi="宋体" w:eastAsia="仿宋_GB2312"/>
          <w:color w:val="auto"/>
          <w:sz w:val="28"/>
        </w:rPr>
        <w:t>在本次挂牌出让宗地竞价截止当日14：50—15：15，拟参加现场竞价的竞买人提交现场竞价申请，领取现场竞价资格。</w:t>
      </w:r>
    </w:p>
    <w:p>
      <w:pPr>
        <w:numPr>
          <w:ilvl w:val="5"/>
          <w:numId w:val="6"/>
        </w:numPr>
        <w:tabs>
          <w:tab w:val="left" w:pos="1440"/>
          <w:tab w:val="clear" w:pos="2820"/>
        </w:tabs>
        <w:ind w:left="0" w:firstLine="720"/>
        <w:rPr>
          <w:rFonts w:ascii="仿宋_GB2312" w:hAnsi="宋体" w:eastAsia="仿宋_GB2312"/>
          <w:color w:val="auto"/>
          <w:sz w:val="28"/>
        </w:rPr>
      </w:pPr>
      <w:r>
        <w:rPr>
          <w:rFonts w:hint="eastAsia" w:ascii="仿宋_GB2312" w:hAnsi="宋体" w:eastAsia="仿宋_GB2312"/>
          <w:color w:val="auto"/>
          <w:sz w:val="28"/>
        </w:rPr>
        <w:t>在本次挂牌出让宗地竞价截止当日15：15—15：30，公证人员查验现场竞价竞买人资格，现场竞价竞买人领取竞买标志牌入场。</w:t>
      </w:r>
    </w:p>
    <w:p>
      <w:pPr>
        <w:numPr>
          <w:ilvl w:val="5"/>
          <w:numId w:val="6"/>
        </w:numPr>
        <w:tabs>
          <w:tab w:val="left" w:pos="1440"/>
          <w:tab w:val="clear" w:pos="2820"/>
        </w:tabs>
        <w:ind w:left="0" w:firstLine="720"/>
        <w:rPr>
          <w:rFonts w:ascii="仿宋_GB2312" w:hAnsi="宋体" w:eastAsia="仿宋_GB2312"/>
          <w:color w:val="auto"/>
          <w:sz w:val="28"/>
        </w:rPr>
      </w:pPr>
      <w:r>
        <w:rPr>
          <w:rFonts w:hint="eastAsia" w:ascii="仿宋_GB2312" w:hAnsi="宋体" w:eastAsia="仿宋_GB2312"/>
          <w:color w:val="auto"/>
          <w:sz w:val="28"/>
        </w:rPr>
        <w:t>在本次挂牌出让宗地竞价截止当日15：30，开始进行现场竞价。</w:t>
      </w:r>
    </w:p>
    <w:p>
      <w:pPr>
        <w:ind w:firstLine="630" w:firstLineChars="225"/>
        <w:rPr>
          <w:rFonts w:ascii="仿宋_GB2312" w:hAnsi="宋体" w:eastAsia="仿宋_GB2312"/>
          <w:color w:val="auto"/>
          <w:sz w:val="28"/>
        </w:rPr>
      </w:pPr>
      <w:r>
        <w:rPr>
          <w:rFonts w:hint="eastAsia" w:ascii="仿宋_GB2312" w:hAnsi="宋体" w:eastAsia="仿宋_GB2312"/>
          <w:color w:val="auto"/>
          <w:sz w:val="28"/>
        </w:rPr>
        <w:t>（四）现场竞价规则</w:t>
      </w:r>
    </w:p>
    <w:p>
      <w:pPr>
        <w:ind w:firstLine="733" w:firstLineChars="262"/>
        <w:rPr>
          <w:rFonts w:ascii="仿宋_GB2312" w:hAnsi="宋体" w:eastAsia="仿宋_GB2312"/>
          <w:color w:val="auto"/>
          <w:sz w:val="28"/>
        </w:rPr>
      </w:pPr>
      <w:r>
        <w:rPr>
          <w:rFonts w:hint="eastAsia" w:ascii="仿宋_GB2312" w:hAnsi="宋体" w:eastAsia="仿宋_GB2312"/>
          <w:color w:val="auto"/>
          <w:sz w:val="28"/>
        </w:rPr>
        <w:t>（</w:t>
      </w:r>
      <w:r>
        <w:rPr>
          <w:rFonts w:ascii="仿宋_GB2312" w:hAnsi="宋体" w:eastAsia="仿宋_GB2312"/>
          <w:color w:val="auto"/>
          <w:sz w:val="28"/>
        </w:rPr>
        <w:t>1）以本次挂牌出让宗地竞价截止时的最高报价加截止时的一个报价阶梯为起始价，以后报价阶梯由现场竞价主持人根据具体情况确定；</w:t>
      </w:r>
    </w:p>
    <w:p>
      <w:pPr>
        <w:ind w:left="-130" w:leftChars="-62" w:firstLine="848" w:firstLineChars="303"/>
        <w:rPr>
          <w:rFonts w:ascii="仿宋_GB2312" w:hAnsi="宋体" w:eastAsia="仿宋_GB2312"/>
          <w:color w:val="auto"/>
          <w:sz w:val="28"/>
        </w:rPr>
      </w:pPr>
      <w:r>
        <w:rPr>
          <w:rFonts w:hint="eastAsia" w:ascii="仿宋_GB2312" w:hAnsi="宋体" w:eastAsia="仿宋_GB2312"/>
          <w:color w:val="auto"/>
          <w:sz w:val="28"/>
        </w:rPr>
        <w:t>（</w:t>
      </w:r>
      <w:r>
        <w:rPr>
          <w:rFonts w:ascii="仿宋_GB2312" w:hAnsi="宋体" w:eastAsia="仿宋_GB2312"/>
          <w:color w:val="auto"/>
          <w:sz w:val="28"/>
        </w:rPr>
        <w:t>2）在主持人报出起始价后，竞买人以举牌方式应价或报价；</w:t>
      </w:r>
    </w:p>
    <w:p>
      <w:pPr>
        <w:ind w:firstLine="719" w:firstLineChars="257"/>
        <w:rPr>
          <w:rFonts w:ascii="仿宋_GB2312" w:hAnsi="宋体" w:eastAsia="仿宋_GB2312"/>
          <w:color w:val="auto"/>
          <w:sz w:val="28"/>
        </w:rPr>
      </w:pPr>
      <w:r>
        <w:rPr>
          <w:rFonts w:hint="eastAsia" w:ascii="仿宋_GB2312" w:hAnsi="宋体" w:eastAsia="仿宋_GB2312"/>
          <w:color w:val="auto"/>
          <w:sz w:val="28"/>
        </w:rPr>
        <w:t>（</w:t>
      </w:r>
      <w:r>
        <w:rPr>
          <w:rFonts w:ascii="仿宋_GB2312" w:hAnsi="宋体" w:eastAsia="仿宋_GB2312"/>
          <w:color w:val="auto"/>
          <w:sz w:val="28"/>
        </w:rPr>
        <w:t>3）同一报价，先后应价的，确认先者。主持人确认该报价或应价后，竞买人可继续竞价；</w:t>
      </w:r>
    </w:p>
    <w:p>
      <w:pPr>
        <w:ind w:firstLine="719" w:firstLineChars="257"/>
        <w:rPr>
          <w:rFonts w:ascii="仿宋_GB2312" w:hAnsi="宋体" w:eastAsia="仿宋_GB2312"/>
          <w:color w:val="auto"/>
          <w:sz w:val="28"/>
        </w:rPr>
      </w:pPr>
      <w:r>
        <w:rPr>
          <w:rFonts w:hint="eastAsia" w:ascii="仿宋_GB2312" w:hAnsi="宋体" w:eastAsia="仿宋_GB2312"/>
          <w:color w:val="auto"/>
          <w:sz w:val="28"/>
        </w:rPr>
        <w:t>（</w:t>
      </w:r>
      <w:r>
        <w:rPr>
          <w:rFonts w:ascii="仿宋_GB2312" w:hAnsi="宋体" w:eastAsia="仿宋_GB2312"/>
          <w:color w:val="auto"/>
          <w:sz w:val="28"/>
        </w:rPr>
        <w:t>4）在主持人连续三次报出同一价格而没有再应价或报价的，主持人宣布最高报价者或应价者为竞得人；</w:t>
      </w:r>
    </w:p>
    <w:p>
      <w:pPr>
        <w:tabs>
          <w:tab w:val="left" w:pos="1575"/>
        </w:tabs>
        <w:ind w:firstLine="719" w:firstLineChars="257"/>
        <w:rPr>
          <w:rFonts w:ascii="仿宋_GB2312" w:hAnsi="宋体" w:eastAsia="仿宋_GB2312"/>
          <w:color w:val="auto"/>
          <w:sz w:val="28"/>
        </w:rPr>
      </w:pPr>
      <w:r>
        <w:rPr>
          <w:rFonts w:hint="eastAsia" w:ascii="仿宋_GB2312" w:hAnsi="宋体" w:eastAsia="仿宋_GB2312"/>
          <w:color w:val="auto"/>
          <w:sz w:val="28"/>
        </w:rPr>
        <w:t>（</w:t>
      </w:r>
      <w:r>
        <w:rPr>
          <w:rFonts w:ascii="仿宋_GB2312" w:hAnsi="宋体" w:eastAsia="仿宋_GB2312"/>
          <w:color w:val="auto"/>
          <w:sz w:val="28"/>
        </w:rPr>
        <w:t>5）竞价结束后，竞得人与</w:t>
      </w:r>
      <w:r>
        <w:rPr>
          <w:rFonts w:hint="eastAsia" w:ascii="仿宋_GB2312" w:hAnsi="宋体" w:eastAsia="仿宋_GB2312"/>
          <w:color w:val="auto"/>
          <w:sz w:val="28"/>
        </w:rPr>
        <w:t>大兴分中心</w:t>
      </w:r>
      <w:r>
        <w:rPr>
          <w:rFonts w:ascii="仿宋_GB2312" w:hAnsi="宋体" w:eastAsia="仿宋_GB2312"/>
          <w:color w:val="auto"/>
          <w:sz w:val="28"/>
        </w:rPr>
        <w:t>现场签</w:t>
      </w:r>
      <w:r>
        <w:rPr>
          <w:rFonts w:hint="eastAsia" w:ascii="仿宋_GB2312" w:hAnsi="宋体" w:eastAsia="仿宋_GB2312"/>
          <w:color w:val="auto"/>
          <w:sz w:val="28"/>
        </w:rPr>
        <w:t>订《报价</w:t>
      </w:r>
      <w:r>
        <w:rPr>
          <w:rFonts w:ascii="仿宋_GB2312" w:hAnsi="宋体" w:eastAsia="仿宋_GB2312"/>
          <w:color w:val="auto"/>
          <w:sz w:val="28"/>
        </w:rPr>
        <w:t>确认书</w:t>
      </w:r>
      <w:r>
        <w:rPr>
          <w:rFonts w:hint="eastAsia" w:ascii="仿宋_GB2312" w:hAnsi="宋体" w:eastAsia="仿宋_GB2312"/>
          <w:color w:val="auto"/>
          <w:sz w:val="28"/>
        </w:rPr>
        <w:t>》</w:t>
      </w:r>
      <w:r>
        <w:rPr>
          <w:rFonts w:ascii="仿宋_GB2312" w:hAnsi="宋体" w:eastAsia="仿宋_GB2312"/>
          <w:color w:val="auto"/>
          <w:sz w:val="28"/>
        </w:rPr>
        <w:t>。</w:t>
      </w:r>
    </w:p>
    <w:p>
      <w:pPr>
        <w:pStyle w:val="35"/>
        <w:numPr>
          <w:ilvl w:val="0"/>
          <w:numId w:val="2"/>
        </w:numPr>
        <w:ind w:firstLineChars="0"/>
        <w:rPr>
          <w:rFonts w:ascii="Times New Roman" w:hAnsi="Times New Roman" w:eastAsia="仿宋_GB2312"/>
          <w:color w:val="auto"/>
          <w:sz w:val="28"/>
          <w:szCs w:val="24"/>
        </w:rPr>
      </w:pPr>
      <w:r>
        <w:rPr>
          <w:rFonts w:hint="eastAsia" w:ascii="Times New Roman" w:hAnsi="Times New Roman" w:eastAsia="仿宋_GB2312"/>
          <w:color w:val="auto"/>
          <w:sz w:val="28"/>
          <w:szCs w:val="24"/>
          <w:lang w:eastAsia="zh-CN"/>
        </w:rPr>
        <w:t>北京汇瀛恒业有限公司</w:t>
      </w:r>
      <w:r>
        <w:rPr>
          <w:rFonts w:hint="eastAsia" w:ascii="Times New Roman" w:hAnsi="Times New Roman" w:eastAsia="仿宋_GB2312"/>
          <w:color w:val="auto"/>
          <w:sz w:val="28"/>
          <w:szCs w:val="24"/>
        </w:rPr>
        <w:t>、大兴分局于挂牌交易结束后，现场向竞得人签发《成交确认书》。</w:t>
      </w:r>
    </w:p>
    <w:p>
      <w:pPr>
        <w:pStyle w:val="9"/>
        <w:spacing w:beforeLines="30" w:afterLines="30" w:line="640" w:lineRule="exact"/>
        <w:rPr>
          <w:rFonts w:eastAsia="仿宋_GB2312"/>
          <w:color w:val="auto"/>
          <w:sz w:val="28"/>
        </w:rPr>
      </w:pPr>
    </w:p>
    <w:p>
      <w:pPr>
        <w:pStyle w:val="3"/>
        <w:spacing w:line="240" w:lineRule="auto"/>
        <w:jc w:val="center"/>
        <w:rPr>
          <w:rFonts w:ascii="Times New Roman" w:hAnsi="Times New Roman" w:eastAsia="仿宋_GB2312"/>
          <w:color w:val="auto"/>
        </w:rPr>
      </w:pPr>
      <w:bookmarkStart w:id="41" w:name="_Toc212531032"/>
      <w:bookmarkStart w:id="42" w:name="_Toc212531168"/>
      <w:bookmarkStart w:id="43" w:name="_Toc272043505"/>
      <w:bookmarkStart w:id="44" w:name="_Toc27037"/>
      <w:r>
        <w:rPr>
          <w:rFonts w:ascii="Times New Roman" w:hAnsi="Times New Roman" w:eastAsia="仿宋_GB2312"/>
          <w:color w:val="auto"/>
        </w:rPr>
        <w:t>第十</w:t>
      </w:r>
      <w:r>
        <w:rPr>
          <w:rFonts w:hint="eastAsia" w:ascii="Times New Roman" w:hAnsi="Times New Roman" w:eastAsia="仿宋_GB2312"/>
          <w:color w:val="auto"/>
        </w:rPr>
        <w:t>一</w:t>
      </w:r>
      <w:r>
        <w:rPr>
          <w:rFonts w:ascii="Times New Roman" w:hAnsi="Times New Roman" w:eastAsia="仿宋_GB2312"/>
          <w:color w:val="auto"/>
        </w:rPr>
        <w:t>章合同的签订</w:t>
      </w:r>
      <w:bookmarkEnd w:id="41"/>
      <w:bookmarkEnd w:id="42"/>
      <w:bookmarkEnd w:id="43"/>
      <w:bookmarkEnd w:id="44"/>
    </w:p>
    <w:p>
      <w:pPr>
        <w:pStyle w:val="9"/>
        <w:numPr>
          <w:ilvl w:val="0"/>
          <w:numId w:val="2"/>
        </w:numPr>
        <w:tabs>
          <w:tab w:val="left" w:pos="1455"/>
          <w:tab w:val="left" w:pos="1785"/>
        </w:tabs>
        <w:spacing w:after="0" w:line="640" w:lineRule="exact"/>
        <w:ind w:firstLine="630" w:firstLineChars="225"/>
        <w:rPr>
          <w:rFonts w:eastAsia="仿宋_GB2312"/>
          <w:color w:val="auto"/>
          <w:sz w:val="28"/>
        </w:rPr>
      </w:pPr>
      <w:r>
        <w:rPr>
          <w:rFonts w:eastAsia="仿宋_GB2312"/>
          <w:color w:val="auto"/>
          <w:sz w:val="28"/>
        </w:rPr>
        <w:t>竞得人须在《成交确认书》签发之日起1</w:t>
      </w:r>
      <w:r>
        <w:rPr>
          <w:rFonts w:hint="eastAsia" w:eastAsia="仿宋_GB2312"/>
          <w:color w:val="auto"/>
          <w:sz w:val="28"/>
        </w:rPr>
        <w:t>0</w:t>
      </w:r>
      <w:r>
        <w:rPr>
          <w:rFonts w:eastAsia="仿宋_GB2312"/>
          <w:color w:val="auto"/>
          <w:sz w:val="28"/>
        </w:rPr>
        <w:t>个工作日内</w:t>
      </w:r>
      <w:r>
        <w:rPr>
          <w:rFonts w:hint="eastAsia" w:eastAsia="仿宋_GB2312"/>
          <w:color w:val="auto"/>
          <w:sz w:val="28"/>
        </w:rPr>
        <w:t>与</w:t>
      </w:r>
      <w:r>
        <w:rPr>
          <w:rFonts w:hint="eastAsia" w:eastAsia="仿宋_GB2312"/>
          <w:color w:val="auto"/>
          <w:sz w:val="28"/>
          <w:lang w:eastAsia="zh-CN"/>
        </w:rPr>
        <w:t>北京汇瀛恒业有限公司</w:t>
      </w:r>
      <w:r>
        <w:rPr>
          <w:rFonts w:eastAsia="仿宋_GB2312"/>
          <w:color w:val="auto"/>
          <w:sz w:val="28"/>
        </w:rPr>
        <w:t>办理《集体经营性建设用地使用权出让合同》的签订手续，</w:t>
      </w:r>
      <w:r>
        <w:rPr>
          <w:rFonts w:hint="eastAsia" w:eastAsia="仿宋_GB2312"/>
          <w:color w:val="auto"/>
          <w:sz w:val="28"/>
        </w:rPr>
        <w:t>并</w:t>
      </w:r>
      <w:r>
        <w:rPr>
          <w:rFonts w:eastAsia="仿宋_GB2312"/>
          <w:color w:val="auto"/>
          <w:sz w:val="28"/>
        </w:rPr>
        <w:t>在《集体经营性建设用地使用权出让合同》签订</w:t>
      </w:r>
      <w:r>
        <w:rPr>
          <w:rFonts w:hint="eastAsia" w:eastAsia="仿宋_GB2312"/>
          <w:color w:val="auto"/>
          <w:sz w:val="28"/>
        </w:rPr>
        <w:t>之日起5个工作日内到</w:t>
      </w:r>
      <w:r>
        <w:rPr>
          <w:rFonts w:hint="eastAsia" w:eastAsia="仿宋_GB2312"/>
          <w:color w:val="auto"/>
          <w:sz w:val="28"/>
          <w:lang w:eastAsia="zh-CN"/>
        </w:rPr>
        <w:t>规土分局规划实施与土地利用科</w:t>
      </w:r>
      <w:r>
        <w:rPr>
          <w:rFonts w:hint="eastAsia" w:eastAsia="仿宋_GB2312"/>
          <w:color w:val="auto"/>
          <w:sz w:val="28"/>
        </w:rPr>
        <w:t>办理合同备案手续</w:t>
      </w:r>
      <w:r>
        <w:rPr>
          <w:rFonts w:eastAsia="仿宋_GB2312"/>
          <w:color w:val="auto"/>
          <w:sz w:val="28"/>
        </w:rPr>
        <w:t>，</w:t>
      </w:r>
      <w:r>
        <w:rPr>
          <w:rFonts w:hint="eastAsia" w:eastAsia="仿宋_GB2312"/>
          <w:color w:val="auto"/>
          <w:sz w:val="28"/>
        </w:rPr>
        <w:t>如合同发生变更，</w:t>
      </w:r>
      <w:r>
        <w:rPr>
          <w:rFonts w:eastAsia="仿宋_GB2312"/>
          <w:color w:val="auto"/>
          <w:sz w:val="28"/>
        </w:rPr>
        <w:t>在合同变更后5个工作日内申请合同备案变更。</w:t>
      </w:r>
    </w:p>
    <w:p>
      <w:pPr>
        <w:pStyle w:val="9"/>
        <w:tabs>
          <w:tab w:val="left" w:pos="1455"/>
          <w:tab w:val="left" w:pos="1785"/>
        </w:tabs>
        <w:spacing w:after="0" w:line="360" w:lineRule="auto"/>
        <w:ind w:left="1" w:firstLine="646"/>
        <w:rPr>
          <w:rFonts w:eastAsia="仿宋_GB2312"/>
          <w:color w:val="auto"/>
          <w:sz w:val="28"/>
        </w:rPr>
      </w:pPr>
      <w:r>
        <w:rPr>
          <w:rFonts w:eastAsia="仿宋_GB2312"/>
          <w:color w:val="auto"/>
          <w:sz w:val="28"/>
        </w:rPr>
        <w:t>本挂牌文件提供的《集体经营性建设用地使用权出让合同》为</w:t>
      </w:r>
      <w:r>
        <w:rPr>
          <w:rFonts w:hint="eastAsia" w:eastAsia="仿宋_GB2312"/>
          <w:color w:val="auto"/>
          <w:sz w:val="28"/>
        </w:rPr>
        <w:t>集体</w:t>
      </w:r>
      <w:r>
        <w:rPr>
          <w:rFonts w:eastAsia="仿宋_GB2312"/>
          <w:color w:val="auto"/>
          <w:sz w:val="28"/>
        </w:rPr>
        <w:t>土地范本合同，</w:t>
      </w:r>
      <w:r>
        <w:rPr>
          <w:rFonts w:hint="eastAsia" w:eastAsia="仿宋_GB2312"/>
          <w:color w:val="auto"/>
          <w:sz w:val="28"/>
          <w:lang w:eastAsia="zh-CN"/>
        </w:rPr>
        <w:t>北京汇瀛恒业有限公司</w:t>
      </w:r>
      <w:r>
        <w:rPr>
          <w:rFonts w:eastAsia="仿宋_GB2312"/>
          <w:color w:val="auto"/>
          <w:sz w:val="28"/>
        </w:rPr>
        <w:t>在与竞得人签订上述合同时，将根据本须知中的有关约定，填补或调整范本合同中的相关条款内容。</w:t>
      </w:r>
    </w:p>
    <w:p>
      <w:pPr>
        <w:pStyle w:val="3"/>
        <w:spacing w:line="240" w:lineRule="auto"/>
        <w:jc w:val="center"/>
        <w:rPr>
          <w:rFonts w:ascii="Times New Roman" w:hAnsi="Times New Roman" w:eastAsia="仿宋_GB2312"/>
          <w:color w:val="auto"/>
        </w:rPr>
      </w:pPr>
      <w:bookmarkStart w:id="45" w:name="_Toc212531033"/>
      <w:bookmarkStart w:id="46" w:name="_Toc212531169"/>
      <w:bookmarkStart w:id="47" w:name="_Toc272043506"/>
      <w:bookmarkStart w:id="48" w:name="_Toc2957"/>
      <w:r>
        <w:rPr>
          <w:rFonts w:ascii="Times New Roman" w:hAnsi="Times New Roman" w:eastAsia="仿宋_GB2312"/>
          <w:color w:val="auto"/>
        </w:rPr>
        <w:t>第十</w:t>
      </w:r>
      <w:r>
        <w:rPr>
          <w:rFonts w:hint="eastAsia" w:ascii="Times New Roman" w:hAnsi="Times New Roman" w:eastAsia="仿宋_GB2312"/>
          <w:color w:val="auto"/>
        </w:rPr>
        <w:t>二</w:t>
      </w:r>
      <w:r>
        <w:rPr>
          <w:rFonts w:ascii="Times New Roman" w:hAnsi="Times New Roman" w:eastAsia="仿宋_GB2312"/>
          <w:color w:val="auto"/>
        </w:rPr>
        <w:t>章违约责任</w:t>
      </w:r>
      <w:bookmarkEnd w:id="45"/>
      <w:bookmarkEnd w:id="46"/>
      <w:bookmarkEnd w:id="47"/>
      <w:bookmarkEnd w:id="48"/>
    </w:p>
    <w:p>
      <w:pPr>
        <w:pStyle w:val="9"/>
        <w:numPr>
          <w:ilvl w:val="0"/>
          <w:numId w:val="2"/>
        </w:numPr>
        <w:tabs>
          <w:tab w:val="left" w:pos="1455"/>
          <w:tab w:val="left" w:pos="1785"/>
        </w:tabs>
        <w:spacing w:after="0" w:line="640" w:lineRule="exact"/>
        <w:ind w:firstLine="630" w:firstLineChars="225"/>
        <w:rPr>
          <w:rFonts w:eastAsia="仿宋_GB2312"/>
          <w:color w:val="auto"/>
          <w:sz w:val="28"/>
        </w:rPr>
      </w:pPr>
      <w:r>
        <w:rPr>
          <w:rFonts w:eastAsia="仿宋_GB2312"/>
          <w:color w:val="auto"/>
          <w:sz w:val="28"/>
        </w:rPr>
        <w:t>竞得人或竞买人有下列行为之一，视为违约，</w:t>
      </w:r>
      <w:r>
        <w:rPr>
          <w:rFonts w:hint="eastAsia" w:eastAsia="仿宋_GB2312"/>
          <w:color w:val="auto"/>
          <w:sz w:val="28"/>
        </w:rPr>
        <w:t>大兴分中心</w:t>
      </w:r>
      <w:r>
        <w:rPr>
          <w:rFonts w:eastAsia="仿宋_GB2312"/>
          <w:color w:val="auto"/>
          <w:sz w:val="28"/>
        </w:rPr>
        <w:t>可取消其相应竞买资格，其所交纳的竞买保证金不退还。</w:t>
      </w:r>
    </w:p>
    <w:p>
      <w:pPr>
        <w:tabs>
          <w:tab w:val="left" w:pos="1560"/>
        </w:tabs>
        <w:ind w:firstLine="565" w:firstLineChars="202"/>
        <w:rPr>
          <w:rFonts w:eastAsia="仿宋_GB2312"/>
          <w:color w:val="auto"/>
          <w:sz w:val="28"/>
        </w:rPr>
      </w:pPr>
      <w:r>
        <w:rPr>
          <w:rFonts w:hint="eastAsia" w:eastAsia="仿宋_GB2312"/>
          <w:color w:val="auto"/>
          <w:sz w:val="28"/>
        </w:rPr>
        <w:t>（一）</w:t>
      </w:r>
      <w:r>
        <w:rPr>
          <w:rFonts w:eastAsia="仿宋_GB2312"/>
          <w:color w:val="auto"/>
          <w:sz w:val="28"/>
        </w:rPr>
        <w:t>竞买人在宗地竞买期限内要求撤回其竞买报价的；</w:t>
      </w:r>
    </w:p>
    <w:p>
      <w:pPr>
        <w:tabs>
          <w:tab w:val="left" w:pos="1560"/>
        </w:tabs>
        <w:ind w:firstLine="565" w:firstLineChars="202"/>
        <w:rPr>
          <w:rFonts w:eastAsia="仿宋_GB2312"/>
          <w:color w:val="auto"/>
          <w:sz w:val="28"/>
        </w:rPr>
      </w:pPr>
      <w:r>
        <w:rPr>
          <w:rFonts w:hint="eastAsia" w:eastAsia="仿宋_GB2312"/>
          <w:color w:val="auto"/>
          <w:sz w:val="28"/>
        </w:rPr>
        <w:t>（二）</w:t>
      </w:r>
      <w:r>
        <w:rPr>
          <w:rFonts w:eastAsia="仿宋_GB2312"/>
          <w:color w:val="auto"/>
          <w:sz w:val="28"/>
        </w:rPr>
        <w:t>竞买人提供虚假文件隐瞒事实的；</w:t>
      </w:r>
    </w:p>
    <w:p>
      <w:pPr>
        <w:tabs>
          <w:tab w:val="left" w:pos="1080"/>
        </w:tabs>
        <w:ind w:firstLine="565" w:firstLineChars="202"/>
        <w:rPr>
          <w:rFonts w:eastAsia="仿宋_GB2312"/>
          <w:color w:val="auto"/>
          <w:sz w:val="28"/>
        </w:rPr>
      </w:pPr>
      <w:r>
        <w:rPr>
          <w:rFonts w:hint="eastAsia" w:eastAsia="仿宋_GB2312"/>
          <w:color w:val="auto"/>
          <w:sz w:val="28"/>
        </w:rPr>
        <w:t>（三）</w:t>
      </w:r>
      <w:r>
        <w:rPr>
          <w:rFonts w:eastAsia="仿宋_GB2312"/>
          <w:color w:val="auto"/>
          <w:sz w:val="28"/>
        </w:rPr>
        <w:t>逾期</w:t>
      </w:r>
      <w:r>
        <w:rPr>
          <w:rFonts w:hint="eastAsia" w:eastAsia="仿宋_GB2312"/>
          <w:color w:val="auto"/>
          <w:sz w:val="28"/>
        </w:rPr>
        <w:t>未与</w:t>
      </w:r>
      <w:r>
        <w:rPr>
          <w:rFonts w:hint="eastAsia" w:eastAsia="仿宋_GB2312"/>
          <w:color w:val="auto"/>
          <w:sz w:val="28"/>
          <w:lang w:eastAsia="zh-CN"/>
        </w:rPr>
        <w:t>北京汇瀛恒业有限公司</w:t>
      </w:r>
      <w:r>
        <w:rPr>
          <w:rFonts w:hint="eastAsia" w:eastAsia="仿宋_GB2312"/>
          <w:color w:val="auto"/>
          <w:sz w:val="28"/>
        </w:rPr>
        <w:t>签订</w:t>
      </w:r>
      <w:r>
        <w:rPr>
          <w:rFonts w:eastAsia="仿宋_GB2312"/>
          <w:color w:val="auto"/>
          <w:sz w:val="28"/>
        </w:rPr>
        <w:t>《集体经营性建设用地使用权出让合同》（若逾期未签订以上有关合同、</w:t>
      </w:r>
      <w:r>
        <w:rPr>
          <w:rFonts w:hint="eastAsia" w:eastAsia="仿宋_GB2312"/>
          <w:color w:val="auto"/>
          <w:sz w:val="28"/>
        </w:rPr>
        <w:t>文件</w:t>
      </w:r>
      <w:r>
        <w:rPr>
          <w:rFonts w:eastAsia="仿宋_GB2312"/>
          <w:color w:val="auto"/>
          <w:sz w:val="28"/>
        </w:rPr>
        <w:t>是由于不可抗力事件造成的，则本条款不适用）；</w:t>
      </w:r>
    </w:p>
    <w:p>
      <w:pPr>
        <w:tabs>
          <w:tab w:val="left" w:pos="1560"/>
        </w:tabs>
        <w:ind w:firstLine="565" w:firstLineChars="202"/>
        <w:rPr>
          <w:rFonts w:eastAsia="仿宋_GB2312"/>
          <w:color w:val="auto"/>
          <w:sz w:val="28"/>
        </w:rPr>
      </w:pPr>
      <w:r>
        <w:rPr>
          <w:rFonts w:hint="eastAsia" w:eastAsia="仿宋_GB2312"/>
          <w:color w:val="auto"/>
          <w:sz w:val="28"/>
        </w:rPr>
        <w:t>（四）</w:t>
      </w:r>
      <w:r>
        <w:rPr>
          <w:rFonts w:eastAsia="仿宋_GB2312"/>
          <w:color w:val="auto"/>
          <w:sz w:val="28"/>
        </w:rPr>
        <w:t>未遵守本挂牌交易文件的其他有关规定的。</w:t>
      </w:r>
    </w:p>
    <w:p>
      <w:pPr>
        <w:pStyle w:val="9"/>
        <w:numPr>
          <w:ilvl w:val="0"/>
          <w:numId w:val="2"/>
        </w:numPr>
        <w:tabs>
          <w:tab w:val="left" w:pos="1455"/>
          <w:tab w:val="left" w:pos="1785"/>
        </w:tabs>
        <w:spacing w:after="0" w:line="640" w:lineRule="exact"/>
        <w:ind w:firstLine="630" w:firstLineChars="225"/>
        <w:rPr>
          <w:rFonts w:eastAsia="仿宋_GB2312"/>
          <w:color w:val="auto"/>
          <w:sz w:val="28"/>
        </w:rPr>
      </w:pPr>
      <w:r>
        <w:rPr>
          <w:rFonts w:hint="eastAsia" w:eastAsia="仿宋_GB2312"/>
          <w:color w:val="auto"/>
          <w:sz w:val="28"/>
          <w:lang w:val="en-US" w:eastAsia="zh-CN"/>
        </w:rPr>
        <w:t xml:space="preserve"> </w:t>
      </w:r>
      <w:r>
        <w:rPr>
          <w:rFonts w:eastAsia="仿宋_GB2312"/>
          <w:color w:val="auto"/>
          <w:sz w:val="28"/>
        </w:rPr>
        <w:t>竞得人提供虚假文件或隐瞒事实的，</w:t>
      </w:r>
      <w:r>
        <w:rPr>
          <w:rFonts w:hint="eastAsia" w:eastAsia="仿宋_GB2312"/>
          <w:color w:val="auto"/>
          <w:sz w:val="28"/>
        </w:rPr>
        <w:t>大兴分中心</w:t>
      </w:r>
      <w:r>
        <w:rPr>
          <w:rFonts w:eastAsia="仿宋_GB2312"/>
          <w:color w:val="auto"/>
          <w:sz w:val="28"/>
        </w:rPr>
        <w:t>可取消其竞得资格，造成损失的，竞得人应负赔偿责任。</w:t>
      </w:r>
    </w:p>
    <w:p>
      <w:pPr>
        <w:pStyle w:val="3"/>
        <w:spacing w:line="600" w:lineRule="exact"/>
        <w:jc w:val="center"/>
        <w:rPr>
          <w:rFonts w:eastAsia="仿宋_GB2312"/>
          <w:color w:val="auto"/>
          <w:sz w:val="28"/>
        </w:rPr>
      </w:pPr>
      <w:bookmarkStart w:id="49" w:name="_Toc272043507"/>
      <w:bookmarkStart w:id="50" w:name="_Toc212531034"/>
      <w:bookmarkStart w:id="51" w:name="_Toc212531170"/>
      <w:bookmarkStart w:id="52" w:name="_Toc978"/>
      <w:r>
        <w:rPr>
          <w:rFonts w:ascii="Times New Roman" w:hAnsi="Times New Roman" w:eastAsia="仿宋_GB2312"/>
          <w:color w:val="auto"/>
        </w:rPr>
        <w:t>第十</w:t>
      </w:r>
      <w:r>
        <w:rPr>
          <w:rFonts w:hint="eastAsia" w:ascii="Times New Roman" w:hAnsi="Times New Roman" w:eastAsia="仿宋_GB2312"/>
          <w:color w:val="auto"/>
        </w:rPr>
        <w:t>三</w:t>
      </w:r>
      <w:r>
        <w:rPr>
          <w:rFonts w:ascii="Times New Roman" w:hAnsi="Times New Roman" w:eastAsia="仿宋_GB2312"/>
          <w:color w:val="auto"/>
        </w:rPr>
        <w:t>章其他事项</w:t>
      </w:r>
      <w:bookmarkEnd w:id="49"/>
      <w:bookmarkEnd w:id="50"/>
      <w:bookmarkEnd w:id="51"/>
      <w:bookmarkEnd w:id="52"/>
    </w:p>
    <w:p>
      <w:pPr>
        <w:pStyle w:val="9"/>
        <w:numPr>
          <w:ilvl w:val="0"/>
          <w:numId w:val="2"/>
        </w:numPr>
        <w:tabs>
          <w:tab w:val="left" w:pos="1455"/>
          <w:tab w:val="left" w:pos="1785"/>
        </w:tabs>
        <w:spacing w:after="0" w:line="640" w:lineRule="exact"/>
        <w:ind w:firstLine="630" w:firstLineChars="225"/>
        <w:rPr>
          <w:rFonts w:eastAsia="仿宋_GB2312"/>
          <w:color w:val="auto"/>
          <w:sz w:val="28"/>
        </w:rPr>
      </w:pPr>
      <w:r>
        <w:rPr>
          <w:rFonts w:hint="eastAsia" w:eastAsia="仿宋_GB2312"/>
          <w:color w:val="auto"/>
          <w:sz w:val="28"/>
          <w:lang w:val="en-US" w:eastAsia="zh-CN"/>
        </w:rPr>
        <w:t xml:space="preserve">  </w:t>
      </w:r>
      <w:r>
        <w:rPr>
          <w:rFonts w:eastAsia="仿宋_GB2312"/>
          <w:color w:val="auto"/>
          <w:sz w:val="28"/>
        </w:rPr>
        <w:t>在挂牌活动结束前，如发生下列情况，</w:t>
      </w:r>
      <w:r>
        <w:rPr>
          <w:rFonts w:hint="eastAsia" w:eastAsia="仿宋_GB2312"/>
          <w:color w:val="auto"/>
          <w:sz w:val="28"/>
        </w:rPr>
        <w:t>大兴分中心</w:t>
      </w:r>
      <w:r>
        <w:rPr>
          <w:rFonts w:eastAsia="仿宋_GB2312"/>
          <w:color w:val="auto"/>
          <w:sz w:val="28"/>
        </w:rPr>
        <w:t>可以在任何时间有权终止挂牌活动：</w:t>
      </w:r>
    </w:p>
    <w:p>
      <w:pPr>
        <w:spacing w:line="600" w:lineRule="exact"/>
        <w:ind w:firstLine="548" w:firstLineChars="196"/>
        <w:rPr>
          <w:rFonts w:eastAsia="仿宋_GB2312"/>
          <w:color w:val="auto"/>
          <w:sz w:val="28"/>
        </w:rPr>
      </w:pPr>
      <w:r>
        <w:rPr>
          <w:rFonts w:hint="eastAsia" w:eastAsia="仿宋_GB2312"/>
          <w:color w:val="auto"/>
          <w:sz w:val="28"/>
        </w:rPr>
        <w:t>（一）</w:t>
      </w:r>
      <w:r>
        <w:rPr>
          <w:rFonts w:eastAsia="仿宋_GB2312"/>
          <w:color w:val="auto"/>
          <w:sz w:val="28"/>
        </w:rPr>
        <w:t>缺乏竞争；</w:t>
      </w:r>
    </w:p>
    <w:p>
      <w:pPr>
        <w:spacing w:line="600" w:lineRule="exact"/>
        <w:ind w:firstLine="548" w:firstLineChars="196"/>
        <w:rPr>
          <w:rFonts w:eastAsia="仿宋_GB2312"/>
          <w:color w:val="auto"/>
          <w:sz w:val="28"/>
        </w:rPr>
      </w:pPr>
      <w:r>
        <w:rPr>
          <w:rFonts w:hint="eastAsia" w:eastAsia="仿宋_GB2312"/>
          <w:color w:val="auto"/>
          <w:sz w:val="28"/>
        </w:rPr>
        <w:t>（</w:t>
      </w:r>
      <w:r>
        <w:rPr>
          <w:rFonts w:hint="eastAsia" w:eastAsia="仿宋_GB2312"/>
          <w:color w:val="auto"/>
          <w:sz w:val="28"/>
          <w:lang w:eastAsia="zh-CN"/>
        </w:rPr>
        <w:t>二</w:t>
      </w:r>
      <w:r>
        <w:rPr>
          <w:rFonts w:hint="eastAsia" w:eastAsia="仿宋_GB2312"/>
          <w:color w:val="auto"/>
          <w:sz w:val="28"/>
        </w:rPr>
        <w:t>）</w:t>
      </w:r>
      <w:r>
        <w:rPr>
          <w:rFonts w:eastAsia="仿宋_GB2312"/>
          <w:color w:val="auto"/>
          <w:sz w:val="28"/>
        </w:rPr>
        <w:t>为了公共利益。</w:t>
      </w:r>
    </w:p>
    <w:p>
      <w:pPr>
        <w:spacing w:line="600" w:lineRule="exact"/>
        <w:ind w:firstLine="548" w:firstLineChars="196"/>
        <w:rPr>
          <w:rFonts w:eastAsia="仿宋_GB2312"/>
          <w:color w:val="auto"/>
          <w:sz w:val="28"/>
        </w:rPr>
      </w:pPr>
      <w:r>
        <w:rPr>
          <w:rFonts w:eastAsia="仿宋_GB2312"/>
          <w:color w:val="auto"/>
          <w:sz w:val="28"/>
        </w:rPr>
        <w:t>实施上述行为时，除退还竞买人的竞买保证金及相应利息外，不再承担任何责任。</w:t>
      </w:r>
    </w:p>
    <w:p>
      <w:pPr>
        <w:pStyle w:val="9"/>
        <w:numPr>
          <w:ilvl w:val="0"/>
          <w:numId w:val="2"/>
        </w:numPr>
        <w:tabs>
          <w:tab w:val="left" w:pos="1455"/>
          <w:tab w:val="left" w:pos="1785"/>
        </w:tabs>
        <w:spacing w:after="0" w:line="640" w:lineRule="exact"/>
        <w:ind w:firstLine="630" w:firstLineChars="225"/>
        <w:rPr>
          <w:rFonts w:eastAsia="仿宋_GB2312"/>
          <w:color w:val="auto"/>
          <w:sz w:val="28"/>
        </w:rPr>
      </w:pPr>
      <w:r>
        <w:rPr>
          <w:rFonts w:eastAsia="仿宋_GB2312"/>
          <w:color w:val="auto"/>
          <w:sz w:val="28"/>
        </w:rPr>
        <w:t>本次集体经营性建设用地使用权挂牌出让不接受电话、邮寄及口头竞买申请及竞买报价。</w:t>
      </w:r>
    </w:p>
    <w:p>
      <w:pPr>
        <w:pStyle w:val="9"/>
        <w:numPr>
          <w:ilvl w:val="0"/>
          <w:numId w:val="2"/>
        </w:numPr>
        <w:tabs>
          <w:tab w:val="left" w:pos="1455"/>
          <w:tab w:val="left" w:pos="1785"/>
        </w:tabs>
        <w:spacing w:after="0" w:line="640" w:lineRule="exact"/>
        <w:ind w:firstLine="630" w:firstLineChars="225"/>
        <w:rPr>
          <w:rFonts w:eastAsia="仿宋_GB2312"/>
          <w:color w:val="auto"/>
          <w:sz w:val="28"/>
        </w:rPr>
      </w:pPr>
      <w:r>
        <w:rPr>
          <w:rFonts w:eastAsia="仿宋_GB2312"/>
          <w:color w:val="auto"/>
          <w:sz w:val="28"/>
        </w:rPr>
        <w:t>在挂牌竞价开始日的</w:t>
      </w:r>
      <w:r>
        <w:rPr>
          <w:rFonts w:hint="eastAsia" w:eastAsia="仿宋_GB2312"/>
          <w:color w:val="auto"/>
          <w:sz w:val="28"/>
        </w:rPr>
        <w:t>3</w:t>
      </w:r>
      <w:r>
        <w:rPr>
          <w:rFonts w:eastAsia="仿宋_GB2312"/>
          <w:color w:val="auto"/>
          <w:sz w:val="28"/>
        </w:rPr>
        <w:t>个日历日前，</w:t>
      </w:r>
      <w:r>
        <w:rPr>
          <w:rFonts w:hint="eastAsia" w:eastAsia="仿宋_GB2312"/>
          <w:color w:val="auto"/>
          <w:sz w:val="28"/>
        </w:rPr>
        <w:t>大兴分中心</w:t>
      </w:r>
      <w:r>
        <w:rPr>
          <w:rFonts w:eastAsia="仿宋_GB2312"/>
          <w:color w:val="auto"/>
          <w:sz w:val="28"/>
        </w:rPr>
        <w:t>可对挂牌文件进行修改、补充。对挂牌文件的修改，以补充文件的方式向竞买者发出。补充文件与原文件具有同等效力，如与原挂牌文件有矛盾的，以日期在后者为准。</w:t>
      </w:r>
    </w:p>
    <w:p>
      <w:pPr>
        <w:pStyle w:val="9"/>
        <w:tabs>
          <w:tab w:val="left" w:pos="2100"/>
        </w:tabs>
        <w:spacing w:line="600" w:lineRule="exact"/>
        <w:ind w:firstLine="560" w:firstLineChars="200"/>
        <w:rPr>
          <w:rFonts w:eastAsia="仿宋_GB2312"/>
          <w:color w:val="auto"/>
          <w:sz w:val="28"/>
        </w:rPr>
      </w:pPr>
      <w:r>
        <w:rPr>
          <w:rFonts w:eastAsia="仿宋_GB2312"/>
          <w:color w:val="auto"/>
          <w:sz w:val="28"/>
        </w:rPr>
        <w:t>挂牌补充文件将以书面的方式发给所有已购买挂牌文件的拟竞买者，挂牌文件的收受人收到挂牌补充文件后，应签收或立即以书面的方式通知</w:t>
      </w:r>
      <w:r>
        <w:rPr>
          <w:rFonts w:hint="eastAsia" w:eastAsia="仿宋_GB2312"/>
          <w:color w:val="auto"/>
          <w:sz w:val="28"/>
        </w:rPr>
        <w:t>大兴分中心</w:t>
      </w:r>
      <w:r>
        <w:rPr>
          <w:rFonts w:eastAsia="仿宋_GB2312"/>
          <w:color w:val="auto"/>
          <w:sz w:val="28"/>
        </w:rPr>
        <w:t>，确定已经收到。</w:t>
      </w:r>
    </w:p>
    <w:p>
      <w:pPr>
        <w:pStyle w:val="9"/>
        <w:numPr>
          <w:ilvl w:val="0"/>
          <w:numId w:val="2"/>
        </w:numPr>
        <w:tabs>
          <w:tab w:val="left" w:pos="1455"/>
          <w:tab w:val="left" w:pos="1785"/>
        </w:tabs>
        <w:spacing w:after="0" w:line="640" w:lineRule="exact"/>
        <w:ind w:firstLine="630" w:firstLineChars="225"/>
        <w:rPr>
          <w:rFonts w:eastAsia="仿宋_GB2312"/>
          <w:color w:val="auto"/>
          <w:sz w:val="28"/>
        </w:rPr>
      </w:pPr>
      <w:r>
        <w:rPr>
          <w:rFonts w:hint="eastAsia" w:eastAsia="仿宋_GB2312"/>
          <w:color w:val="auto"/>
          <w:sz w:val="28"/>
        </w:rPr>
        <w:t>大兴分中心</w:t>
      </w:r>
      <w:r>
        <w:rPr>
          <w:rFonts w:eastAsia="仿宋_GB2312"/>
          <w:color w:val="auto"/>
          <w:sz w:val="28"/>
        </w:rPr>
        <w:t>不统一组织安排本次挂牌出让宗地的现场踏勘，在挂牌竞买活动截止前的任何时间，竞买人均可对宗地进行考察，考察费用由竞买人自己承担。同时竞买人应自行承担进行现场考察所造成的人身伤害的损失或损害，及任何其他损害、费用、损失或债务责任。</w:t>
      </w:r>
    </w:p>
    <w:p>
      <w:pPr>
        <w:pStyle w:val="9"/>
        <w:tabs>
          <w:tab w:val="left" w:pos="2100"/>
        </w:tabs>
        <w:spacing w:line="600" w:lineRule="exact"/>
        <w:ind w:firstLine="560" w:firstLineChars="200"/>
        <w:rPr>
          <w:rFonts w:eastAsia="仿宋_GB2312"/>
          <w:color w:val="auto"/>
          <w:sz w:val="28"/>
        </w:rPr>
      </w:pPr>
      <w:r>
        <w:rPr>
          <w:rFonts w:eastAsia="仿宋_GB2312"/>
          <w:color w:val="auto"/>
          <w:sz w:val="28"/>
        </w:rPr>
        <w:t>在</w:t>
      </w:r>
      <w:r>
        <w:rPr>
          <w:rFonts w:hint="eastAsia" w:eastAsia="仿宋_GB2312"/>
          <w:color w:val="auto"/>
          <w:sz w:val="28"/>
        </w:rPr>
        <w:t>竞买</w:t>
      </w:r>
      <w:r>
        <w:rPr>
          <w:rFonts w:eastAsia="仿宋_GB2312"/>
          <w:color w:val="auto"/>
          <w:sz w:val="28"/>
        </w:rPr>
        <w:t>人对宗地进行现场踏勘时，</w:t>
      </w:r>
      <w:r>
        <w:rPr>
          <w:rFonts w:hint="eastAsia" w:eastAsia="仿宋_GB2312"/>
          <w:color w:val="auto"/>
          <w:sz w:val="28"/>
          <w:lang w:eastAsia="zh-CN"/>
        </w:rPr>
        <w:t>北京汇瀛恒业有限公司</w:t>
      </w:r>
      <w:r>
        <w:rPr>
          <w:rFonts w:eastAsia="仿宋_GB2312"/>
          <w:color w:val="auto"/>
          <w:sz w:val="28"/>
        </w:rPr>
        <w:t>有义务对土地情况进行解答。</w:t>
      </w:r>
    </w:p>
    <w:p>
      <w:pPr>
        <w:pStyle w:val="9"/>
        <w:tabs>
          <w:tab w:val="left" w:pos="2100"/>
        </w:tabs>
        <w:spacing w:line="600" w:lineRule="exact"/>
        <w:ind w:firstLine="560" w:firstLineChars="200"/>
        <w:rPr>
          <w:rFonts w:hint="eastAsia" w:eastAsia="仿宋_GB2312"/>
          <w:color w:val="auto"/>
          <w:sz w:val="28"/>
          <w:lang w:eastAsia="zh-CN"/>
        </w:rPr>
      </w:pPr>
      <w:r>
        <w:rPr>
          <w:rFonts w:hint="eastAsia" w:eastAsia="仿宋_GB2312"/>
          <w:color w:val="auto"/>
          <w:sz w:val="28"/>
          <w:lang w:eastAsia="zh-CN"/>
        </w:rPr>
        <w:t>大兴分中心</w:t>
      </w:r>
      <w:r>
        <w:rPr>
          <w:rFonts w:hint="eastAsia" w:eastAsia="仿宋_GB2312"/>
          <w:color w:val="auto"/>
          <w:sz w:val="28"/>
          <w:lang w:val="en-US" w:eastAsia="zh-CN"/>
        </w:rPr>
        <w:t xml:space="preserve"> </w:t>
      </w:r>
      <w:r>
        <w:rPr>
          <w:rFonts w:hint="eastAsia" w:eastAsia="仿宋_GB2312"/>
          <w:color w:val="auto"/>
          <w:sz w:val="28"/>
          <w:lang w:eastAsia="zh-CN"/>
        </w:rPr>
        <w:t>联系电话：</w:t>
      </w:r>
      <w:r>
        <w:rPr>
          <w:rFonts w:hint="eastAsia" w:eastAsia="仿宋_GB2312"/>
          <w:color w:val="auto"/>
          <w:sz w:val="28"/>
          <w:lang w:val="en-US" w:eastAsia="zh-CN"/>
        </w:rPr>
        <w:t>69261062  69266488</w:t>
      </w:r>
    </w:p>
    <w:p>
      <w:pPr>
        <w:pStyle w:val="9"/>
        <w:tabs>
          <w:tab w:val="left" w:pos="2100"/>
        </w:tabs>
        <w:spacing w:line="600" w:lineRule="exact"/>
        <w:ind w:firstLine="560" w:firstLineChars="200"/>
        <w:rPr>
          <w:rFonts w:eastAsia="仿宋_GB2312"/>
          <w:color w:val="auto"/>
          <w:sz w:val="28"/>
        </w:rPr>
      </w:pPr>
      <w:r>
        <w:rPr>
          <w:rFonts w:hint="eastAsia" w:eastAsia="仿宋_GB2312"/>
          <w:color w:val="auto"/>
          <w:sz w:val="28"/>
          <w:lang w:eastAsia="zh-CN"/>
        </w:rPr>
        <w:t>北京汇瀛恒业有限公司</w:t>
      </w:r>
      <w:r>
        <w:rPr>
          <w:rFonts w:hint="eastAsia" w:eastAsia="仿宋_GB2312"/>
          <w:color w:val="auto"/>
          <w:sz w:val="28"/>
          <w:lang w:val="en-US" w:eastAsia="zh-CN"/>
        </w:rPr>
        <w:t xml:space="preserve"> </w:t>
      </w:r>
      <w:r>
        <w:rPr>
          <w:rFonts w:eastAsia="仿宋_GB2312"/>
          <w:color w:val="auto"/>
          <w:sz w:val="28"/>
        </w:rPr>
        <w:t>联系电话：</w:t>
      </w:r>
      <w:r>
        <w:rPr>
          <w:rFonts w:hint="eastAsia" w:eastAsia="仿宋_GB2312"/>
          <w:color w:val="auto"/>
          <w:sz w:val="28"/>
          <w:lang w:val="en-US" w:eastAsia="zh-CN"/>
        </w:rPr>
        <w:t>69274500</w:t>
      </w:r>
      <w:r>
        <w:rPr>
          <w:rFonts w:eastAsia="仿宋_GB2312"/>
          <w:color w:val="auto"/>
          <w:sz w:val="28"/>
        </w:rPr>
        <w:t>。</w:t>
      </w:r>
    </w:p>
    <w:p>
      <w:pPr>
        <w:pStyle w:val="9"/>
        <w:numPr>
          <w:ilvl w:val="0"/>
          <w:numId w:val="2"/>
        </w:numPr>
        <w:tabs>
          <w:tab w:val="left" w:pos="1455"/>
          <w:tab w:val="left" w:pos="1785"/>
        </w:tabs>
        <w:spacing w:after="0" w:line="640" w:lineRule="exact"/>
        <w:ind w:firstLine="630" w:firstLineChars="225"/>
        <w:rPr>
          <w:rFonts w:hint="eastAsia" w:eastAsia="仿宋_GB2312"/>
          <w:color w:val="auto"/>
          <w:sz w:val="28"/>
        </w:rPr>
      </w:pPr>
      <w:r>
        <w:rPr>
          <w:rFonts w:hint="eastAsia" w:eastAsia="仿宋_GB2312"/>
          <w:color w:val="auto"/>
          <w:sz w:val="28"/>
        </w:rPr>
        <w:t>若竞得人为自然人、非北京市企业或北京市非房地产企业的，应在出让宗地所在区（县）成立一家能够独立承担责任的项目公司，进行该出让宗地的开发建设（自用除外），</w:t>
      </w:r>
      <w:r>
        <w:rPr>
          <w:rFonts w:hint="default" w:ascii="Times New Roman" w:hAnsi="Times New Roman" w:eastAsia="仿宋_GB2312" w:cs="Times New Roman"/>
          <w:color w:val="auto"/>
          <w:sz w:val="28"/>
        </w:rPr>
        <w:t>并按照有关规定申请相应的房地产开发建设资质；若</w:t>
      </w:r>
      <w:r>
        <w:rPr>
          <w:rFonts w:hint="eastAsia" w:eastAsia="仿宋_GB2312" w:cs="Times New Roman"/>
          <w:color w:val="auto"/>
          <w:sz w:val="28"/>
          <w:lang w:eastAsia="zh-CN"/>
        </w:rPr>
        <w:t>竞得</w:t>
      </w:r>
      <w:r>
        <w:rPr>
          <w:rFonts w:hint="default" w:ascii="Times New Roman" w:hAnsi="Times New Roman" w:eastAsia="仿宋_GB2312" w:cs="Times New Roman"/>
          <w:color w:val="auto"/>
          <w:sz w:val="28"/>
        </w:rPr>
        <w:t>人为北京市房地产开发企业，拟使用项目公司进行开发建设的，应在</w:t>
      </w:r>
      <w:r>
        <w:rPr>
          <w:rFonts w:hint="eastAsia" w:ascii="Times New Roman" w:hAnsi="Times New Roman" w:eastAsia="仿宋_GB2312" w:cs="Times New Roman"/>
          <w:color w:val="auto"/>
          <w:sz w:val="28"/>
          <w:lang w:eastAsia="zh-CN"/>
        </w:rPr>
        <w:t>竞买</w:t>
      </w:r>
      <w:r>
        <w:rPr>
          <w:rFonts w:hint="default" w:ascii="Times New Roman" w:hAnsi="Times New Roman" w:eastAsia="仿宋_GB2312" w:cs="Times New Roman"/>
          <w:color w:val="auto"/>
          <w:sz w:val="28"/>
        </w:rPr>
        <w:t>书中明确项目公司的出资构成、成立时间等内容。</w:t>
      </w:r>
    </w:p>
    <w:p>
      <w:pPr>
        <w:pStyle w:val="9"/>
        <w:spacing w:after="0"/>
        <w:ind w:left="798"/>
        <w:rPr>
          <w:rFonts w:hint="eastAsia" w:eastAsia="仿宋_GB2312"/>
          <w:color w:val="auto"/>
          <w:sz w:val="28"/>
        </w:rPr>
      </w:pPr>
      <w:r>
        <w:rPr>
          <w:rFonts w:hint="eastAsia" w:eastAsia="仿宋_GB2312"/>
          <w:color w:val="auto"/>
          <w:sz w:val="28"/>
        </w:rPr>
        <w:t>竞得人成立的项目公司须满足以下条款：</w:t>
      </w:r>
    </w:p>
    <w:p>
      <w:pPr>
        <w:pStyle w:val="9"/>
        <w:ind w:firstLine="560" w:firstLineChars="200"/>
        <w:jc w:val="both"/>
        <w:rPr>
          <w:rFonts w:hint="eastAsia" w:eastAsia="仿宋_GB2312"/>
          <w:color w:val="auto"/>
          <w:sz w:val="28"/>
        </w:rPr>
      </w:pPr>
      <w:r>
        <w:rPr>
          <w:rFonts w:hint="default" w:ascii="Times New Roman" w:hAnsi="Times New Roman" w:eastAsia="仿宋_GB2312" w:cs="Times New Roman"/>
          <w:color w:val="auto"/>
          <w:sz w:val="28"/>
        </w:rPr>
        <w:t>1、须为</w:t>
      </w:r>
      <w:r>
        <w:rPr>
          <w:rFonts w:hint="eastAsia" w:eastAsia="仿宋_GB2312" w:cs="Times New Roman"/>
          <w:color w:val="auto"/>
          <w:sz w:val="28"/>
          <w:lang w:eastAsia="zh-CN"/>
        </w:rPr>
        <w:t>竞得</w:t>
      </w:r>
      <w:r>
        <w:rPr>
          <w:rFonts w:hint="default" w:ascii="Times New Roman" w:hAnsi="Times New Roman" w:eastAsia="仿宋_GB2312" w:cs="Times New Roman"/>
          <w:color w:val="auto"/>
          <w:sz w:val="28"/>
        </w:rPr>
        <w:t>人的全资子公司。</w:t>
      </w:r>
    </w:p>
    <w:p>
      <w:pPr>
        <w:pStyle w:val="9"/>
        <w:tabs>
          <w:tab w:val="left" w:pos="1785"/>
        </w:tabs>
        <w:spacing w:after="0"/>
        <w:rPr>
          <w:rFonts w:eastAsia="仿宋_GB2312"/>
          <w:color w:val="auto"/>
          <w:sz w:val="28"/>
        </w:rPr>
      </w:pPr>
      <w:r>
        <w:rPr>
          <w:rFonts w:hint="eastAsia" w:eastAsia="仿宋_GB2312"/>
          <w:color w:val="auto"/>
          <w:sz w:val="28"/>
          <w:lang w:val="en-US" w:eastAsia="zh-CN"/>
        </w:rPr>
        <w:t xml:space="preserve">    2</w:t>
      </w:r>
      <w:r>
        <w:rPr>
          <w:rFonts w:hint="eastAsia" w:eastAsia="仿宋_GB2312"/>
          <w:color w:val="auto"/>
          <w:sz w:val="28"/>
        </w:rPr>
        <w:t>、竞得人须对变更后的受让人承担连带责任。</w:t>
      </w:r>
    </w:p>
    <w:p>
      <w:pPr>
        <w:pStyle w:val="9"/>
        <w:tabs>
          <w:tab w:val="left" w:pos="1785"/>
        </w:tabs>
        <w:spacing w:after="0"/>
        <w:rPr>
          <w:rFonts w:eastAsia="仿宋_GB2312"/>
          <w:color w:val="auto"/>
          <w:sz w:val="28"/>
        </w:rPr>
      </w:pPr>
      <w:r>
        <w:rPr>
          <w:rFonts w:hint="eastAsia" w:eastAsia="仿宋_GB2312"/>
          <w:color w:val="auto"/>
          <w:sz w:val="28"/>
          <w:lang w:val="en-US" w:eastAsia="zh-CN"/>
        </w:rPr>
        <w:t xml:space="preserve">    3</w:t>
      </w:r>
      <w:r>
        <w:rPr>
          <w:rFonts w:hint="eastAsia" w:eastAsia="仿宋_GB2312"/>
          <w:color w:val="auto"/>
          <w:sz w:val="28"/>
        </w:rPr>
        <w:t>、须按照有关规定申请相应的开发建设资质。</w:t>
      </w:r>
    </w:p>
    <w:p>
      <w:pPr>
        <w:pStyle w:val="9"/>
        <w:tabs>
          <w:tab w:val="left" w:pos="1785"/>
        </w:tabs>
        <w:spacing w:after="0"/>
        <w:ind w:firstLine="560" w:firstLineChars="200"/>
        <w:rPr>
          <w:rFonts w:hint="eastAsia" w:eastAsia="仿宋_GB2312"/>
          <w:color w:val="auto"/>
          <w:sz w:val="28"/>
        </w:rPr>
      </w:pPr>
      <w:r>
        <w:rPr>
          <w:rFonts w:hint="eastAsia" w:eastAsia="仿宋_GB2312"/>
          <w:color w:val="auto"/>
          <w:sz w:val="28"/>
        </w:rPr>
        <w:t>若开发建设的出让宗地为竞得人自用，则不允许转让或对外销售。</w:t>
      </w:r>
    </w:p>
    <w:p>
      <w:pPr>
        <w:pStyle w:val="9"/>
        <w:numPr>
          <w:ilvl w:val="0"/>
          <w:numId w:val="2"/>
        </w:numPr>
        <w:tabs>
          <w:tab w:val="left" w:pos="1455"/>
          <w:tab w:val="left" w:pos="1785"/>
        </w:tabs>
        <w:spacing w:after="0" w:line="640" w:lineRule="exact"/>
        <w:ind w:firstLine="630" w:firstLineChars="225"/>
        <w:rPr>
          <w:rFonts w:hint="eastAsia" w:eastAsia="仿宋_GB2312"/>
          <w:b/>
          <w:color w:val="auto"/>
          <w:sz w:val="28"/>
          <w:lang w:val="en-US" w:eastAsia="zh-CN"/>
        </w:rPr>
      </w:pPr>
      <w:r>
        <w:rPr>
          <w:rFonts w:hint="eastAsia" w:eastAsia="仿宋_GB2312"/>
          <w:color w:val="auto"/>
          <w:sz w:val="28"/>
          <w:lang w:val="en-US" w:eastAsia="zh-CN"/>
        </w:rPr>
        <w:t xml:space="preserve">   </w:t>
      </w:r>
      <w:r>
        <w:rPr>
          <w:rFonts w:hint="eastAsia" w:eastAsia="仿宋_GB2312"/>
          <w:color w:val="auto"/>
          <w:sz w:val="28"/>
          <w:lang w:eastAsia="zh-CN"/>
        </w:rPr>
        <w:t>若</w:t>
      </w:r>
      <w:r>
        <w:rPr>
          <w:rFonts w:hint="eastAsia" w:ascii="Times New Roman" w:hAnsi="Times New Roman" w:eastAsia="仿宋_GB2312" w:cs="Times New Roman"/>
          <w:color w:val="auto"/>
          <w:sz w:val="28"/>
          <w:lang w:eastAsia="zh-CN"/>
        </w:rPr>
        <w:t>港澳台</w:t>
      </w:r>
      <w:r>
        <w:rPr>
          <w:rFonts w:hint="default" w:ascii="Times New Roman" w:hAnsi="Times New Roman" w:eastAsia="仿宋_GB2312" w:cs="Times New Roman"/>
          <w:color w:val="auto"/>
          <w:sz w:val="28"/>
        </w:rPr>
        <w:t>企业取得该宗地集体经营性建设用地使用权，除须按本须知要求如期缴纳成交价款外，还需按照</w:t>
      </w:r>
      <w:r>
        <w:rPr>
          <w:rFonts w:hint="eastAsia" w:ascii="Times New Roman" w:hAnsi="Times New Roman" w:eastAsia="仿宋_GB2312" w:cs="Times New Roman"/>
          <w:color w:val="auto"/>
          <w:sz w:val="28"/>
          <w:lang w:eastAsia="zh-CN"/>
        </w:rPr>
        <w:t>本文件第三十</w:t>
      </w:r>
      <w:r>
        <w:rPr>
          <w:rFonts w:hint="eastAsia" w:eastAsia="仿宋_GB2312" w:cs="Times New Roman"/>
          <w:color w:val="auto"/>
          <w:sz w:val="28"/>
          <w:lang w:eastAsia="zh-CN"/>
        </w:rPr>
        <w:t>二</w:t>
      </w:r>
      <w:r>
        <w:rPr>
          <w:rFonts w:hint="eastAsia" w:ascii="Times New Roman" w:hAnsi="Times New Roman" w:eastAsia="仿宋_GB2312" w:cs="Times New Roman"/>
          <w:color w:val="auto"/>
          <w:sz w:val="28"/>
          <w:lang w:eastAsia="zh-CN"/>
        </w:rPr>
        <w:t>条相关规定办理后续手续</w:t>
      </w:r>
      <w:r>
        <w:rPr>
          <w:rFonts w:hint="default" w:ascii="Times New Roman" w:hAnsi="Times New Roman" w:eastAsia="仿宋_GB2312" w:cs="Times New Roman"/>
          <w:color w:val="auto"/>
          <w:sz w:val="28"/>
        </w:rPr>
        <w:t>。</w:t>
      </w:r>
    </w:p>
    <w:p>
      <w:pPr>
        <w:pStyle w:val="9"/>
        <w:numPr>
          <w:ilvl w:val="0"/>
          <w:numId w:val="2"/>
        </w:numPr>
        <w:tabs>
          <w:tab w:val="left" w:pos="1455"/>
          <w:tab w:val="left" w:pos="1785"/>
        </w:tabs>
        <w:spacing w:after="0" w:line="640" w:lineRule="exact"/>
        <w:ind w:firstLine="630" w:firstLineChars="225"/>
        <w:rPr>
          <w:rFonts w:eastAsia="仿宋_GB2312"/>
          <w:color w:val="auto"/>
          <w:sz w:val="28"/>
        </w:rPr>
      </w:pPr>
      <w:r>
        <w:rPr>
          <w:rFonts w:eastAsia="仿宋_GB2312"/>
          <w:color w:val="auto"/>
          <w:sz w:val="28"/>
        </w:rPr>
        <w:t>该宗地中的商业建筑规模应按照《关于北京市流通业发展分类指导目录（2009）的通知》（京商规字[2009]017号）</w:t>
      </w:r>
      <w:r>
        <w:rPr>
          <w:rFonts w:hint="eastAsia" w:eastAsia="仿宋_GB2312"/>
          <w:color w:val="auto"/>
          <w:sz w:val="28"/>
        </w:rPr>
        <w:t>执行</w:t>
      </w:r>
      <w:r>
        <w:rPr>
          <w:rFonts w:eastAsia="仿宋_GB2312"/>
          <w:color w:val="auto"/>
          <w:sz w:val="28"/>
        </w:rPr>
        <w:t>。</w:t>
      </w:r>
    </w:p>
    <w:p>
      <w:pPr>
        <w:pStyle w:val="9"/>
        <w:numPr>
          <w:ilvl w:val="0"/>
          <w:numId w:val="2"/>
        </w:numPr>
        <w:tabs>
          <w:tab w:val="left" w:pos="1455"/>
          <w:tab w:val="left" w:pos="1785"/>
        </w:tabs>
        <w:spacing w:after="0" w:line="640" w:lineRule="exact"/>
        <w:ind w:firstLine="630" w:firstLineChars="225"/>
        <w:rPr>
          <w:rFonts w:hint="eastAsia" w:eastAsia="仿宋_GB2312"/>
          <w:color w:val="auto"/>
          <w:sz w:val="28"/>
          <w:lang w:val="en-US" w:eastAsia="zh-CN"/>
        </w:rPr>
      </w:pPr>
      <w:r>
        <w:rPr>
          <w:rFonts w:hint="eastAsia" w:ascii="仿宋_GB2312" w:hAnsi="宋体" w:eastAsia="仿宋_GB2312"/>
          <w:color w:val="auto"/>
          <w:sz w:val="28"/>
          <w:lang w:val="en-US" w:eastAsia="zh-CN"/>
        </w:rPr>
        <w:t xml:space="preserve"> </w:t>
      </w:r>
      <w:r>
        <w:rPr>
          <w:rFonts w:hint="eastAsia" w:ascii="仿宋_GB2312" w:eastAsia="仿宋_GB2312"/>
          <w:color w:val="auto"/>
          <w:sz w:val="28"/>
          <w:lang w:val="en-US" w:eastAsia="zh-CN"/>
        </w:rPr>
        <w:t xml:space="preserve"> </w:t>
      </w:r>
      <w:r>
        <w:rPr>
          <w:rFonts w:hint="eastAsia" w:ascii="仿宋_GB2312" w:eastAsia="仿宋_GB2312"/>
          <w:color w:val="auto"/>
          <w:sz w:val="28"/>
        </w:rPr>
        <w:t>该项目应严格执行《关于进一步加强产业项目管理的通知》（市规划国土发【2017】</w:t>
      </w:r>
      <w:r>
        <w:rPr>
          <w:rFonts w:hint="eastAsia" w:ascii="仿宋_GB2312" w:eastAsia="仿宋_GB2312"/>
          <w:color w:val="auto"/>
          <w:sz w:val="28"/>
          <w:lang w:val="en-US" w:eastAsia="zh-CN"/>
        </w:rPr>
        <w:t>1</w:t>
      </w:r>
      <w:r>
        <w:rPr>
          <w:rFonts w:hint="eastAsia" w:ascii="仿宋_GB2312" w:eastAsia="仿宋_GB2312"/>
          <w:color w:val="auto"/>
          <w:sz w:val="28"/>
        </w:rPr>
        <w:t>21号）的有关规定。</w:t>
      </w:r>
    </w:p>
    <w:p>
      <w:pPr>
        <w:pStyle w:val="9"/>
        <w:numPr>
          <w:ilvl w:val="0"/>
          <w:numId w:val="2"/>
        </w:numPr>
        <w:tabs>
          <w:tab w:val="left" w:pos="1455"/>
          <w:tab w:val="left" w:pos="1785"/>
        </w:tabs>
        <w:spacing w:after="0" w:line="640" w:lineRule="exact"/>
        <w:ind w:firstLine="630" w:firstLineChars="225"/>
        <w:rPr>
          <w:rFonts w:eastAsia="仿宋_GB2312"/>
          <w:color w:val="auto"/>
          <w:sz w:val="28"/>
        </w:rPr>
      </w:pPr>
      <w:r>
        <w:rPr>
          <w:rFonts w:hint="eastAsia" w:eastAsia="仿宋_GB2312"/>
          <w:color w:val="auto"/>
          <w:sz w:val="28"/>
          <w:lang w:val="en-US" w:eastAsia="zh-CN"/>
        </w:rPr>
        <w:t xml:space="preserve"> </w:t>
      </w:r>
      <w:r>
        <w:rPr>
          <w:rFonts w:eastAsia="仿宋_GB2312"/>
          <w:color w:val="auto"/>
          <w:sz w:val="28"/>
        </w:rPr>
        <w:t>《中华人民共和国</w:t>
      </w:r>
      <w:r>
        <w:rPr>
          <w:rFonts w:hint="eastAsia" w:eastAsia="仿宋_GB2312"/>
          <w:color w:val="auto"/>
          <w:sz w:val="28"/>
        </w:rPr>
        <w:t>集体</w:t>
      </w:r>
      <w:r>
        <w:rPr>
          <w:rFonts w:eastAsia="仿宋_GB2312"/>
          <w:color w:val="auto"/>
          <w:sz w:val="28"/>
        </w:rPr>
        <w:t>土地使用证》的核发</w:t>
      </w:r>
    </w:p>
    <w:p>
      <w:pPr>
        <w:tabs>
          <w:tab w:val="left" w:pos="1080"/>
        </w:tabs>
        <w:spacing w:line="600" w:lineRule="exact"/>
        <w:ind w:firstLine="630" w:firstLineChars="225"/>
        <w:rPr>
          <w:rFonts w:eastAsia="仿宋_GB2312"/>
          <w:color w:val="auto"/>
          <w:sz w:val="28"/>
        </w:rPr>
      </w:pPr>
      <w:r>
        <w:rPr>
          <w:rFonts w:eastAsia="仿宋_GB2312"/>
          <w:color w:val="auto"/>
          <w:sz w:val="28"/>
        </w:rPr>
        <w:t>竞得人在付清出让宗地全部成交价款及</w:t>
      </w:r>
      <w:r>
        <w:rPr>
          <w:rFonts w:hint="eastAsia" w:eastAsia="仿宋_GB2312"/>
          <w:color w:val="auto"/>
          <w:sz w:val="28"/>
          <w:lang w:eastAsia="zh-CN"/>
        </w:rPr>
        <w:t>调节金</w:t>
      </w:r>
      <w:r>
        <w:rPr>
          <w:rFonts w:eastAsia="仿宋_GB2312"/>
          <w:color w:val="auto"/>
          <w:sz w:val="28"/>
        </w:rPr>
        <w:t>后，</w:t>
      </w:r>
      <w:r>
        <w:rPr>
          <w:rFonts w:hint="eastAsia" w:eastAsia="仿宋_GB2312"/>
          <w:color w:val="auto"/>
          <w:sz w:val="28"/>
        </w:rPr>
        <w:t>方可持《成交确认书》、</w:t>
      </w:r>
      <w:r>
        <w:rPr>
          <w:rFonts w:eastAsia="仿宋_GB2312"/>
          <w:color w:val="auto"/>
          <w:sz w:val="28"/>
        </w:rPr>
        <w:t>《集体经营性建设用地使用权出让合同》、</w:t>
      </w:r>
      <w:r>
        <w:rPr>
          <w:rFonts w:hint="eastAsia" w:eastAsia="仿宋_GB2312"/>
          <w:color w:val="auto"/>
          <w:sz w:val="28"/>
        </w:rPr>
        <w:t>《合同备案表》、《缴款凭证》到</w:t>
      </w:r>
      <w:r>
        <w:rPr>
          <w:rFonts w:hint="eastAsia" w:eastAsia="仿宋_GB2312"/>
          <w:color w:val="auto"/>
          <w:sz w:val="28"/>
          <w:lang w:eastAsia="zh-CN"/>
        </w:rPr>
        <w:t>规土分局</w:t>
      </w:r>
      <w:r>
        <w:rPr>
          <w:rFonts w:eastAsia="仿宋_GB2312"/>
          <w:color w:val="auto"/>
          <w:sz w:val="28"/>
        </w:rPr>
        <w:t>申请</w:t>
      </w:r>
      <w:r>
        <w:rPr>
          <w:rFonts w:hint="eastAsia" w:eastAsia="仿宋_GB2312"/>
          <w:color w:val="auto"/>
          <w:sz w:val="28"/>
        </w:rPr>
        <w:t>核</w:t>
      </w:r>
      <w:r>
        <w:rPr>
          <w:rFonts w:eastAsia="仿宋_GB2312"/>
          <w:color w:val="auto"/>
          <w:sz w:val="28"/>
        </w:rPr>
        <w:t>发出让地块的《中华人民共和国</w:t>
      </w:r>
      <w:r>
        <w:rPr>
          <w:rFonts w:hint="eastAsia" w:eastAsia="仿宋_GB2312"/>
          <w:color w:val="auto"/>
          <w:sz w:val="28"/>
        </w:rPr>
        <w:t>集体</w:t>
      </w:r>
      <w:r>
        <w:rPr>
          <w:rFonts w:eastAsia="仿宋_GB2312"/>
          <w:color w:val="auto"/>
          <w:sz w:val="28"/>
        </w:rPr>
        <w:t>土地使用证》。</w:t>
      </w:r>
    </w:p>
    <w:p>
      <w:pPr>
        <w:pStyle w:val="9"/>
        <w:numPr>
          <w:ilvl w:val="0"/>
          <w:numId w:val="2"/>
        </w:numPr>
        <w:tabs>
          <w:tab w:val="left" w:pos="1455"/>
          <w:tab w:val="left" w:pos="1785"/>
        </w:tabs>
        <w:spacing w:after="0" w:line="640" w:lineRule="exact"/>
        <w:ind w:firstLine="630" w:firstLineChars="225"/>
        <w:rPr>
          <w:rFonts w:eastAsia="仿宋_GB2312"/>
          <w:color w:val="auto"/>
          <w:sz w:val="28"/>
          <w:szCs w:val="28"/>
        </w:rPr>
      </w:pPr>
      <w:r>
        <w:rPr>
          <w:rFonts w:hint="eastAsia" w:ascii="仿宋_GB2312" w:hAnsi="宋体" w:eastAsia="仿宋_GB2312"/>
          <w:color w:val="auto"/>
          <w:sz w:val="28"/>
          <w:szCs w:val="28"/>
        </w:rPr>
        <w:t>关于该项目开工竣工时间要求，竞得人按《北京市集体经营性建设用地使用合同》约定执行。竞得人不能按期开工，应提前30日向北京市大兴人民政府、</w:t>
      </w:r>
      <w:r>
        <w:rPr>
          <w:rFonts w:hint="eastAsia" w:ascii="仿宋_GB2312" w:hAnsi="宋体" w:eastAsia="仿宋_GB2312"/>
          <w:color w:val="auto"/>
          <w:sz w:val="28"/>
          <w:szCs w:val="28"/>
          <w:lang w:eastAsia="zh-CN"/>
        </w:rPr>
        <w:t>瀛海镇</w:t>
      </w:r>
      <w:r>
        <w:rPr>
          <w:rFonts w:hint="eastAsia" w:ascii="仿宋_GB2312" w:hAnsi="宋体" w:eastAsia="仿宋_GB2312"/>
          <w:color w:val="auto"/>
          <w:sz w:val="28"/>
          <w:szCs w:val="28"/>
        </w:rPr>
        <w:t>政府及出让方提出延期申请，经北京市大兴人民政府、</w:t>
      </w:r>
      <w:r>
        <w:rPr>
          <w:rFonts w:hint="eastAsia" w:ascii="仿宋_GB2312" w:hAnsi="宋体" w:eastAsia="仿宋_GB2312"/>
          <w:color w:val="auto"/>
          <w:sz w:val="28"/>
          <w:szCs w:val="28"/>
          <w:lang w:eastAsia="zh-CN"/>
        </w:rPr>
        <w:t>瀛海镇</w:t>
      </w:r>
      <w:r>
        <w:rPr>
          <w:rFonts w:hint="eastAsia" w:ascii="仿宋_GB2312" w:hAnsi="宋体" w:eastAsia="仿宋_GB2312"/>
          <w:color w:val="auto"/>
          <w:sz w:val="28"/>
          <w:szCs w:val="28"/>
        </w:rPr>
        <w:t>政府及出让方同意延建的，其项目竣工时间相应顺延，但延建期限不得超过一年。</w:t>
      </w:r>
    </w:p>
    <w:p>
      <w:pPr>
        <w:pStyle w:val="9"/>
        <w:numPr>
          <w:ilvl w:val="0"/>
          <w:numId w:val="2"/>
        </w:numPr>
        <w:tabs>
          <w:tab w:val="left" w:pos="1455"/>
          <w:tab w:val="left" w:pos="1785"/>
        </w:tabs>
        <w:spacing w:after="0" w:line="640" w:lineRule="exact"/>
        <w:ind w:firstLine="630" w:firstLineChars="225"/>
        <w:rPr>
          <w:rFonts w:eastAsia="仿宋_GB2312"/>
          <w:color w:val="auto"/>
          <w:sz w:val="28"/>
          <w:szCs w:val="28"/>
        </w:rPr>
      </w:pPr>
      <w:r>
        <w:rPr>
          <w:rFonts w:hint="eastAsia" w:ascii="仿宋_GB2312" w:hAnsi="宋体" w:eastAsia="仿宋_GB2312"/>
          <w:color w:val="auto"/>
          <w:sz w:val="28"/>
          <w:szCs w:val="28"/>
        </w:rPr>
        <w:t>如</w:t>
      </w:r>
      <w:r>
        <w:rPr>
          <w:rFonts w:eastAsia="仿宋_GB2312"/>
          <w:color w:val="auto"/>
          <w:sz w:val="28"/>
          <w:szCs w:val="28"/>
        </w:rPr>
        <w:t>果因政府有关政策调整或为了公共利益需要，</w:t>
      </w:r>
      <w:r>
        <w:rPr>
          <w:rFonts w:hint="eastAsia" w:eastAsia="仿宋_GB2312"/>
          <w:color w:val="auto"/>
          <w:sz w:val="28"/>
          <w:szCs w:val="28"/>
          <w:lang w:eastAsia="zh-CN"/>
        </w:rPr>
        <w:t>北京汇瀛恒业有限公司</w:t>
      </w:r>
      <w:r>
        <w:rPr>
          <w:rFonts w:eastAsia="仿宋_GB2312"/>
          <w:color w:val="auto"/>
          <w:sz w:val="28"/>
          <w:szCs w:val="28"/>
        </w:rPr>
        <w:t>不能按照规定与竞得人签订出让合同，则出让人将退还其竞买保证金及利息，但不承担未能签订有关合同、</w:t>
      </w:r>
      <w:r>
        <w:rPr>
          <w:rFonts w:hint="eastAsia" w:eastAsia="仿宋_GB2312"/>
          <w:color w:val="auto"/>
          <w:sz w:val="28"/>
          <w:szCs w:val="28"/>
        </w:rPr>
        <w:t>文件</w:t>
      </w:r>
      <w:r>
        <w:rPr>
          <w:rFonts w:eastAsia="仿宋_GB2312"/>
          <w:color w:val="auto"/>
          <w:sz w:val="28"/>
          <w:szCs w:val="28"/>
        </w:rPr>
        <w:t>的任何责任，也不支付任何赔偿。</w:t>
      </w:r>
    </w:p>
    <w:p>
      <w:pPr>
        <w:pStyle w:val="9"/>
        <w:numPr>
          <w:ilvl w:val="0"/>
          <w:numId w:val="2"/>
        </w:numPr>
        <w:tabs>
          <w:tab w:val="left" w:pos="1455"/>
          <w:tab w:val="left" w:pos="1785"/>
        </w:tabs>
        <w:spacing w:after="0" w:line="640" w:lineRule="exact"/>
        <w:ind w:firstLine="630" w:firstLineChars="225"/>
        <w:rPr>
          <w:rFonts w:hint="default" w:ascii="Times New Roman" w:hAnsi="Times New Roman" w:eastAsia="仿宋_GB2312" w:cs="Times New Roman"/>
          <w:color w:val="auto"/>
          <w:sz w:val="28"/>
        </w:rPr>
      </w:pPr>
      <w:r>
        <w:rPr>
          <w:rFonts w:hint="eastAsia" w:eastAsia="仿宋_GB2312"/>
          <w:color w:val="auto"/>
          <w:sz w:val="28"/>
          <w:szCs w:val="28"/>
          <w:lang w:eastAsia="zh-CN"/>
        </w:rPr>
        <w:t>竞得</w:t>
      </w:r>
      <w:r>
        <w:rPr>
          <w:rFonts w:hint="default" w:ascii="Times New Roman" w:hAnsi="Times New Roman" w:eastAsia="仿宋_GB2312" w:cs="Times New Roman"/>
          <w:color w:val="auto"/>
          <w:sz w:val="28"/>
        </w:rPr>
        <w:t>人取得《</w:t>
      </w:r>
      <w:r>
        <w:rPr>
          <w:rFonts w:hint="eastAsia" w:eastAsia="仿宋_GB2312" w:cs="Times New Roman"/>
          <w:color w:val="auto"/>
          <w:sz w:val="28"/>
          <w:lang w:eastAsia="zh-CN"/>
        </w:rPr>
        <w:t>成交确认书</w:t>
      </w:r>
      <w:r>
        <w:rPr>
          <w:rFonts w:hint="default" w:ascii="Times New Roman" w:hAnsi="Times New Roman" w:eastAsia="仿宋_GB2312" w:cs="Times New Roman"/>
          <w:color w:val="auto"/>
          <w:sz w:val="28"/>
        </w:rPr>
        <w:t>》之日起，三个工作日内需至北京市大兴区新兴产业促进服务中心，商谈在本地注册独立法人公司，完成税务登记等手续，上述手续完成后，方可办理立项等手续。</w:t>
      </w:r>
    </w:p>
    <w:p>
      <w:pPr>
        <w:numPr>
          <w:numId w:val="0"/>
        </w:numPr>
        <w:ind w:firstLine="640" w:firstLineChars="200"/>
        <w:rPr>
          <w:rFonts w:ascii="仿宋_GB2312" w:hAnsi="宋体" w:eastAsia="仿宋_GB2312"/>
          <w:color w:val="auto"/>
          <w:sz w:val="28"/>
        </w:rPr>
      </w:pPr>
      <w:r>
        <w:rPr>
          <w:rFonts w:hint="eastAsia" w:ascii="仿宋_GB2312" w:hAnsi="宋体" w:eastAsia="仿宋_GB2312"/>
          <w:color w:val="auto"/>
          <w:sz w:val="28"/>
          <w:lang w:eastAsia="zh-CN"/>
        </w:rPr>
        <w:t>根据《中华人民共和国文物保护法》“考古发掘及法律责任”的相关规定，为了有效地保护地下文物和不影响施工顺利进行，建设单位应先与大兴区文化委员会签订《地下文物保护协议》。开发商、建设施工单位及监理单位，在建设过程中有保护文物的义务和职责，如在建设过程中发现有地上地下文物，要注意保护，并及时与区文物管理部门联系，使文物得到有效的保护。</w:t>
      </w:r>
      <w:r>
        <w:rPr>
          <w:rFonts w:hint="eastAsia" w:ascii="Times New Roman" w:hAnsi="Times New Roman" w:eastAsia="仿宋_GB2312" w:cs="Times New Roman"/>
          <w:color w:val="auto"/>
          <w:kern w:val="2"/>
          <w:sz w:val="28"/>
          <w:szCs w:val="24"/>
          <w:lang w:val="en-US" w:eastAsia="zh-CN" w:bidi="ar-SA"/>
        </w:rPr>
        <w:t>相关地下文物保护工作参照《北京市地下文物保护管理办法》（北京市人民政府令第251号）执行。</w:t>
      </w:r>
    </w:p>
    <w:p>
      <w:pPr>
        <w:pStyle w:val="3"/>
        <w:spacing w:line="600" w:lineRule="exact"/>
        <w:jc w:val="center"/>
        <w:rPr>
          <w:rFonts w:ascii="Times New Roman" w:hAnsi="Times New Roman" w:eastAsia="仿宋_GB2312"/>
          <w:color w:val="auto"/>
        </w:rPr>
      </w:pPr>
      <w:bookmarkStart w:id="53" w:name="_Toc272043508"/>
      <w:bookmarkStart w:id="54" w:name="_Toc26737"/>
      <w:r>
        <w:rPr>
          <w:rFonts w:ascii="Times New Roman" w:hAnsi="Times New Roman" w:eastAsia="仿宋_GB2312"/>
          <w:color w:val="auto"/>
        </w:rPr>
        <w:t>第十</w:t>
      </w:r>
      <w:r>
        <w:rPr>
          <w:rFonts w:hint="eastAsia" w:ascii="Times New Roman" w:hAnsi="Times New Roman" w:eastAsia="仿宋_GB2312"/>
          <w:color w:val="auto"/>
        </w:rPr>
        <w:t>四</w:t>
      </w:r>
      <w:r>
        <w:rPr>
          <w:rFonts w:ascii="Times New Roman" w:hAnsi="Times New Roman" w:eastAsia="仿宋_GB2312"/>
          <w:color w:val="auto"/>
        </w:rPr>
        <w:t>章附则</w:t>
      </w:r>
      <w:bookmarkEnd w:id="53"/>
      <w:bookmarkEnd w:id="54"/>
    </w:p>
    <w:p>
      <w:pPr>
        <w:pStyle w:val="9"/>
        <w:numPr>
          <w:ilvl w:val="0"/>
          <w:numId w:val="2"/>
        </w:numPr>
        <w:tabs>
          <w:tab w:val="left" w:pos="1455"/>
          <w:tab w:val="left" w:pos="1785"/>
        </w:tabs>
        <w:spacing w:after="0" w:line="640" w:lineRule="exact"/>
        <w:ind w:firstLine="630" w:firstLineChars="225"/>
        <w:rPr>
          <w:rFonts w:eastAsia="仿宋_GB2312"/>
          <w:color w:val="auto"/>
          <w:sz w:val="28"/>
        </w:rPr>
      </w:pPr>
      <w:r>
        <w:rPr>
          <w:rFonts w:eastAsia="仿宋_GB2312"/>
          <w:color w:val="auto"/>
          <w:sz w:val="28"/>
        </w:rPr>
        <w:t>本须知由</w:t>
      </w:r>
      <w:r>
        <w:rPr>
          <w:rFonts w:hint="eastAsia" w:eastAsia="仿宋_GB2312"/>
          <w:color w:val="auto"/>
          <w:sz w:val="28"/>
          <w:lang w:eastAsia="zh-CN"/>
        </w:rPr>
        <w:t>规土分局和北京汇瀛恒业有限公司</w:t>
      </w:r>
      <w:r>
        <w:rPr>
          <w:rFonts w:eastAsia="仿宋_GB2312"/>
          <w:color w:val="auto"/>
          <w:sz w:val="28"/>
        </w:rPr>
        <w:t>负责解释。</w:t>
      </w:r>
    </w:p>
    <w:p>
      <w:pPr>
        <w:pStyle w:val="2"/>
        <w:spacing w:line="240" w:lineRule="auto"/>
        <w:rPr>
          <w:rFonts w:eastAsia="仿宋_GB2312"/>
          <w:color w:val="auto"/>
        </w:rPr>
      </w:pPr>
      <w:bookmarkStart w:id="55" w:name="_Toc41366805"/>
      <w:bookmarkStart w:id="56" w:name="_Toc42583215"/>
      <w:bookmarkStart w:id="57" w:name="_Toc41366870"/>
      <w:bookmarkStart w:id="58" w:name="_Toc212531036"/>
      <w:bookmarkStart w:id="59" w:name="_Toc67191356"/>
      <w:bookmarkStart w:id="60" w:name="_Toc182383993"/>
      <w:bookmarkStart w:id="61" w:name="_Toc212531172"/>
      <w:r>
        <w:rPr>
          <w:rFonts w:eastAsia="仿宋_GB2312"/>
          <w:color w:val="auto"/>
        </w:rPr>
        <w:br w:type="page"/>
      </w:r>
      <w:bookmarkStart w:id="62" w:name="_Toc272043509"/>
      <w:bookmarkStart w:id="63" w:name="_Toc23358"/>
      <w:r>
        <w:rPr>
          <w:rFonts w:eastAsia="仿宋_GB2312"/>
          <w:color w:val="auto"/>
        </w:rPr>
        <w:t>竞买申请书</w:t>
      </w:r>
      <w:bookmarkEnd w:id="55"/>
      <w:bookmarkEnd w:id="56"/>
      <w:bookmarkEnd w:id="57"/>
      <w:bookmarkEnd w:id="58"/>
      <w:bookmarkEnd w:id="59"/>
      <w:bookmarkEnd w:id="60"/>
      <w:bookmarkEnd w:id="61"/>
      <w:bookmarkEnd w:id="62"/>
      <w:bookmarkEnd w:id="63"/>
    </w:p>
    <w:p>
      <w:pPr>
        <w:rPr>
          <w:rFonts w:eastAsia="仿宋_GB2312"/>
          <w:color w:val="auto"/>
          <w:sz w:val="28"/>
        </w:rPr>
      </w:pPr>
      <w:r>
        <w:rPr>
          <w:rFonts w:hint="eastAsia" w:eastAsia="仿宋_GB2312"/>
          <w:color w:val="auto"/>
          <w:sz w:val="28"/>
        </w:rPr>
        <w:t>北京市土地整理储备中心大兴区分中心</w:t>
      </w:r>
      <w:r>
        <w:rPr>
          <w:rFonts w:eastAsia="仿宋_GB2312"/>
          <w:color w:val="auto"/>
          <w:sz w:val="28"/>
        </w:rPr>
        <w:t>：</w:t>
      </w:r>
    </w:p>
    <w:p>
      <w:pPr>
        <w:ind w:firstLine="525"/>
        <w:rPr>
          <w:rFonts w:eastAsia="仿宋_GB2312"/>
          <w:color w:val="auto"/>
          <w:sz w:val="28"/>
        </w:rPr>
      </w:pPr>
      <w:r>
        <w:rPr>
          <w:rFonts w:eastAsia="仿宋_GB2312"/>
          <w:color w:val="auto"/>
          <w:sz w:val="28"/>
        </w:rPr>
        <w:t>经过认真审阅《</w:t>
      </w:r>
      <w:r>
        <w:rPr>
          <w:rFonts w:hint="eastAsia" w:eastAsia="仿宋_GB2312"/>
          <w:color w:val="auto"/>
          <w:sz w:val="28"/>
          <w:szCs w:val="28"/>
          <w:lang w:eastAsia="zh-CN"/>
        </w:rPr>
        <w:t>北京市大兴区瀛海镇集体经营性建设用地入市试点（一期）YZ00-0803-0011地块</w:t>
      </w:r>
      <w:r>
        <w:rPr>
          <w:rFonts w:hint="eastAsia" w:eastAsia="仿宋_GB2312"/>
          <w:color w:val="auto"/>
          <w:sz w:val="28"/>
          <w:szCs w:val="28"/>
        </w:rPr>
        <w:t>使用权</w:t>
      </w:r>
      <w:r>
        <w:rPr>
          <w:rFonts w:hint="eastAsia" w:eastAsia="仿宋_GB2312"/>
          <w:color w:val="auto"/>
          <w:sz w:val="28"/>
        </w:rPr>
        <w:t>出让</w:t>
      </w:r>
      <w:r>
        <w:rPr>
          <w:rFonts w:eastAsia="仿宋_GB2312"/>
          <w:color w:val="auto"/>
          <w:sz w:val="28"/>
        </w:rPr>
        <w:t>挂牌文件》（</w:t>
      </w:r>
      <w:r>
        <w:rPr>
          <w:rFonts w:hint="eastAsia" w:eastAsia="仿宋_GB2312"/>
          <w:color w:val="auto"/>
          <w:sz w:val="28"/>
          <w:lang w:eastAsia="zh-CN"/>
        </w:rPr>
        <w:t>京土集使挂（兴）[2018]001号</w:t>
      </w:r>
      <w:r>
        <w:rPr>
          <w:rFonts w:eastAsia="仿宋_GB2312"/>
          <w:color w:val="auto"/>
          <w:sz w:val="28"/>
        </w:rPr>
        <w:t>），我们对挂牌交易文件内容和土地现状无异议，愿意遵守该挂牌文件的要求和规定，接受全部条款，愿意承担相应权利、义务。现我们申请参加于</w:t>
      </w:r>
      <w:r>
        <w:rPr>
          <w:rFonts w:hint="eastAsia" w:eastAsia="仿宋_GB2312"/>
          <w:color w:val="auto"/>
          <w:sz w:val="28"/>
        </w:rPr>
        <w:t>201</w:t>
      </w:r>
      <w:r>
        <w:rPr>
          <w:rFonts w:hint="eastAsia" w:eastAsia="仿宋_GB2312"/>
          <w:color w:val="auto"/>
          <w:sz w:val="28"/>
          <w:lang w:val="en-US" w:eastAsia="zh-CN"/>
        </w:rPr>
        <w:t>8</w:t>
      </w:r>
      <w:r>
        <w:rPr>
          <w:rFonts w:hint="eastAsia" w:eastAsia="仿宋_GB2312"/>
          <w:color w:val="auto"/>
          <w:sz w:val="28"/>
        </w:rPr>
        <w:t>年</w:t>
      </w:r>
      <w:r>
        <w:rPr>
          <w:rFonts w:hint="eastAsia" w:eastAsia="仿宋_GB2312"/>
          <w:color w:val="auto"/>
          <w:sz w:val="28"/>
          <w:lang w:val="en-US" w:eastAsia="zh-CN"/>
        </w:rPr>
        <w:t>11</w:t>
      </w:r>
      <w:r>
        <w:rPr>
          <w:rFonts w:hint="eastAsia" w:eastAsia="仿宋_GB2312"/>
          <w:color w:val="auto"/>
          <w:sz w:val="28"/>
        </w:rPr>
        <w:t>月</w:t>
      </w:r>
      <w:r>
        <w:rPr>
          <w:rFonts w:hint="eastAsia" w:eastAsia="仿宋_GB2312"/>
          <w:color w:val="auto"/>
          <w:sz w:val="28"/>
          <w:lang w:val="en-US" w:eastAsia="zh-CN"/>
        </w:rPr>
        <w:t xml:space="preserve">  </w:t>
      </w:r>
      <w:r>
        <w:rPr>
          <w:rFonts w:hint="eastAsia" w:eastAsia="仿宋_GB2312"/>
          <w:color w:val="auto"/>
          <w:sz w:val="28"/>
        </w:rPr>
        <w:t>日</w:t>
      </w:r>
      <w:r>
        <w:rPr>
          <w:rFonts w:eastAsia="仿宋_GB2312"/>
          <w:color w:val="auto"/>
          <w:sz w:val="28"/>
        </w:rPr>
        <w:t>9：00时起，在北京市土地交易市场大兴分市场举行的该宗地集体经营性建设用地使用权挂牌出让竞买活动。</w:t>
      </w:r>
    </w:p>
    <w:p>
      <w:pPr>
        <w:ind w:left="141" w:leftChars="67" w:firstLine="420" w:firstLineChars="150"/>
        <w:rPr>
          <w:rFonts w:eastAsia="仿宋_GB2312"/>
          <w:color w:val="auto"/>
          <w:sz w:val="28"/>
        </w:rPr>
      </w:pPr>
      <w:r>
        <w:rPr>
          <w:rFonts w:eastAsia="仿宋_GB2312"/>
          <w:color w:val="auto"/>
          <w:sz w:val="28"/>
        </w:rPr>
        <w:t>我们在提交本申请书的同时，向</w:t>
      </w:r>
      <w:r>
        <w:rPr>
          <w:rFonts w:hint="eastAsia" w:eastAsia="仿宋_GB2312"/>
          <w:color w:val="auto"/>
          <w:sz w:val="28"/>
          <w:lang w:eastAsia="zh-CN"/>
        </w:rPr>
        <w:t>北京汇瀛恒业有限公司</w:t>
      </w:r>
      <w:r>
        <w:rPr>
          <w:rFonts w:eastAsia="仿宋_GB2312"/>
          <w:color w:val="auto"/>
          <w:sz w:val="28"/>
        </w:rPr>
        <w:t>缴纳了竞买保证金人民</w:t>
      </w:r>
      <w:r>
        <w:rPr>
          <w:rFonts w:hint="eastAsia" w:eastAsia="仿宋_GB2312"/>
          <w:color w:val="auto"/>
          <w:sz w:val="28"/>
        </w:rPr>
        <w:t>币</w:t>
      </w:r>
      <w:r>
        <w:rPr>
          <w:rFonts w:hint="eastAsia" w:eastAsia="仿宋_GB2312"/>
          <w:color w:val="auto"/>
          <w:sz w:val="28"/>
          <w:lang w:val="en-US" w:eastAsia="zh-CN"/>
        </w:rPr>
        <w:t>45000</w:t>
      </w:r>
      <w:r>
        <w:rPr>
          <w:rFonts w:hint="eastAsia" w:eastAsia="仿宋_GB2312"/>
          <w:color w:val="auto"/>
          <w:sz w:val="28"/>
        </w:rPr>
        <w:t>万元</w:t>
      </w:r>
      <w:r>
        <w:rPr>
          <w:rFonts w:eastAsia="仿宋_GB2312"/>
          <w:color w:val="auto"/>
          <w:sz w:val="28"/>
        </w:rPr>
        <w:t>。</w:t>
      </w:r>
    </w:p>
    <w:p>
      <w:pPr>
        <w:spacing w:line="600" w:lineRule="exact"/>
        <w:ind w:firstLine="525"/>
        <w:rPr>
          <w:rFonts w:eastAsia="仿宋_GB2312"/>
          <w:color w:val="auto"/>
          <w:sz w:val="28"/>
        </w:rPr>
      </w:pPr>
      <w:r>
        <w:rPr>
          <w:rFonts w:eastAsia="仿宋_GB2312"/>
          <w:color w:val="auto"/>
          <w:sz w:val="28"/>
        </w:rPr>
        <w:t>我们承诺：如我方竞得，我方将在《成交确认书》签发之日起</w:t>
      </w:r>
      <w:r>
        <w:rPr>
          <w:rFonts w:hint="eastAsia" w:eastAsia="仿宋_GB2312"/>
          <w:color w:val="auto"/>
          <w:sz w:val="28"/>
        </w:rPr>
        <w:t>10</w:t>
      </w:r>
      <w:r>
        <w:rPr>
          <w:rFonts w:eastAsia="仿宋_GB2312"/>
          <w:color w:val="auto"/>
          <w:sz w:val="28"/>
        </w:rPr>
        <w:t>个工作日内</w:t>
      </w:r>
      <w:r>
        <w:rPr>
          <w:rFonts w:hint="eastAsia" w:eastAsia="仿宋_GB2312"/>
          <w:color w:val="auto"/>
          <w:sz w:val="28"/>
        </w:rPr>
        <w:t>与</w:t>
      </w:r>
      <w:r>
        <w:rPr>
          <w:rFonts w:hint="eastAsia" w:eastAsia="仿宋_GB2312"/>
          <w:color w:val="auto"/>
          <w:sz w:val="28"/>
          <w:lang w:eastAsia="zh-CN"/>
        </w:rPr>
        <w:t>北京汇瀛恒业有限公司</w:t>
      </w:r>
      <w:r>
        <w:rPr>
          <w:rFonts w:eastAsia="仿宋_GB2312"/>
          <w:color w:val="auto"/>
          <w:sz w:val="28"/>
        </w:rPr>
        <w:t>办理《集体经营性建设用地使用权出让合同》的签订手续，</w:t>
      </w:r>
      <w:r>
        <w:rPr>
          <w:rFonts w:hint="eastAsia" w:eastAsia="仿宋_GB2312"/>
          <w:color w:val="auto"/>
          <w:sz w:val="28"/>
        </w:rPr>
        <w:t>并按照合同约定的期限支付该出让宗地全部地价款</w:t>
      </w:r>
      <w:r>
        <w:rPr>
          <w:rFonts w:hint="eastAsia" w:eastAsia="仿宋_GB2312"/>
          <w:color w:val="auto"/>
          <w:sz w:val="28"/>
          <w:lang w:eastAsia="zh-CN"/>
        </w:rPr>
        <w:t>及增值收益调节金</w:t>
      </w:r>
      <w:r>
        <w:rPr>
          <w:rFonts w:hint="eastAsia" w:eastAsia="仿宋_GB2312"/>
          <w:color w:val="auto"/>
          <w:sz w:val="28"/>
        </w:rPr>
        <w:t>。</w:t>
      </w:r>
      <w:r>
        <w:rPr>
          <w:rFonts w:eastAsia="仿宋_GB2312"/>
          <w:color w:val="auto"/>
          <w:sz w:val="28"/>
        </w:rPr>
        <w:t>否</w:t>
      </w:r>
      <w:r>
        <w:rPr>
          <w:rFonts w:eastAsia="仿宋_GB2312"/>
          <w:color w:val="auto"/>
          <w:sz w:val="28"/>
          <w:szCs w:val="28"/>
        </w:rPr>
        <w:t>则视我方违约，贵方可取消我方竞得资格，不退还我方交纳的竞买保证金。</w:t>
      </w:r>
    </w:p>
    <w:p>
      <w:pPr>
        <w:ind w:firstLine="565" w:firstLineChars="202"/>
        <w:rPr>
          <w:rFonts w:eastAsia="仿宋_GB2312"/>
          <w:color w:val="auto"/>
          <w:sz w:val="28"/>
        </w:rPr>
      </w:pPr>
      <w:r>
        <w:rPr>
          <w:rFonts w:eastAsia="仿宋_GB2312"/>
          <w:color w:val="auto"/>
          <w:sz w:val="28"/>
        </w:rPr>
        <w:t>我方在递交申请书的同时，还提交如下资料：</w:t>
      </w:r>
    </w:p>
    <w:p>
      <w:pPr>
        <w:numPr>
          <w:ilvl w:val="0"/>
          <w:numId w:val="7"/>
        </w:numPr>
        <w:rPr>
          <w:rFonts w:eastAsia="仿宋_GB2312"/>
          <w:color w:val="auto"/>
          <w:sz w:val="28"/>
        </w:rPr>
      </w:pPr>
    </w:p>
    <w:p>
      <w:pPr>
        <w:numPr>
          <w:ilvl w:val="0"/>
          <w:numId w:val="7"/>
        </w:numPr>
        <w:rPr>
          <w:rFonts w:eastAsia="仿宋_GB2312"/>
          <w:color w:val="auto"/>
          <w:sz w:val="28"/>
          <w:u w:val="single"/>
        </w:rPr>
      </w:pPr>
    </w:p>
    <w:p>
      <w:pPr>
        <w:numPr>
          <w:ilvl w:val="0"/>
          <w:numId w:val="7"/>
        </w:numPr>
        <w:rPr>
          <w:rFonts w:eastAsia="仿宋_GB2312"/>
          <w:color w:val="auto"/>
          <w:sz w:val="28"/>
          <w:u w:val="single"/>
        </w:rPr>
      </w:pPr>
    </w:p>
    <w:p>
      <w:pPr>
        <w:numPr>
          <w:ilvl w:val="0"/>
          <w:numId w:val="7"/>
        </w:numPr>
        <w:rPr>
          <w:rFonts w:eastAsia="仿宋_GB2312"/>
          <w:color w:val="auto"/>
          <w:sz w:val="28"/>
          <w:u w:val="single"/>
        </w:rPr>
      </w:pPr>
    </w:p>
    <w:p>
      <w:pPr>
        <w:numPr>
          <w:ilvl w:val="0"/>
          <w:numId w:val="7"/>
        </w:numPr>
        <w:rPr>
          <w:rFonts w:eastAsia="仿宋_GB2312"/>
          <w:color w:val="auto"/>
          <w:sz w:val="28"/>
          <w:u w:val="single"/>
        </w:rPr>
      </w:pPr>
    </w:p>
    <w:p>
      <w:pPr>
        <w:numPr>
          <w:ilvl w:val="0"/>
          <w:numId w:val="7"/>
        </w:numPr>
        <w:rPr>
          <w:rFonts w:eastAsia="仿宋_GB2312"/>
          <w:color w:val="auto"/>
          <w:sz w:val="28"/>
          <w:u w:val="single"/>
        </w:rPr>
      </w:pPr>
    </w:p>
    <w:p>
      <w:pPr>
        <w:numPr>
          <w:ilvl w:val="0"/>
          <w:numId w:val="7"/>
        </w:numPr>
        <w:rPr>
          <w:rFonts w:eastAsia="仿宋_GB2312"/>
          <w:color w:val="auto"/>
          <w:sz w:val="28"/>
          <w:u w:val="single"/>
        </w:rPr>
      </w:pPr>
    </w:p>
    <w:p>
      <w:pPr>
        <w:numPr>
          <w:ilvl w:val="0"/>
          <w:numId w:val="7"/>
        </w:numPr>
        <w:rPr>
          <w:rFonts w:eastAsia="仿宋_GB2312"/>
          <w:color w:val="auto"/>
          <w:sz w:val="28"/>
          <w:u w:val="single"/>
        </w:rPr>
      </w:pPr>
    </w:p>
    <w:p>
      <w:pPr>
        <w:rPr>
          <w:rFonts w:eastAsia="仿宋_GB2312"/>
          <w:bCs/>
          <w:color w:val="auto"/>
          <w:sz w:val="28"/>
          <w:u w:val="single"/>
        </w:rPr>
      </w:pPr>
      <w:r>
        <w:rPr>
          <w:rFonts w:eastAsia="仿宋_GB2312"/>
          <w:bCs/>
          <w:color w:val="auto"/>
          <w:sz w:val="28"/>
        </w:rPr>
        <w:t>竞买人盖章（单位）：</w:t>
      </w:r>
    </w:p>
    <w:p>
      <w:pPr>
        <w:ind w:right="4"/>
        <w:rPr>
          <w:rFonts w:eastAsia="仿宋_GB2312"/>
          <w:bCs/>
          <w:color w:val="auto"/>
          <w:sz w:val="28"/>
        </w:rPr>
      </w:pPr>
      <w:r>
        <w:rPr>
          <w:rFonts w:eastAsia="仿宋_GB2312"/>
          <w:bCs/>
          <w:color w:val="auto"/>
          <w:sz w:val="28"/>
        </w:rPr>
        <w:t>法定代表人签名：</w:t>
      </w:r>
    </w:p>
    <w:p>
      <w:pPr>
        <w:rPr>
          <w:rFonts w:eastAsia="仿宋_GB2312"/>
          <w:bCs/>
          <w:color w:val="auto"/>
          <w:sz w:val="28"/>
        </w:rPr>
      </w:pPr>
      <w:r>
        <w:rPr>
          <w:rFonts w:eastAsia="仿宋_GB2312"/>
          <w:bCs/>
          <w:color w:val="auto"/>
          <w:sz w:val="28"/>
        </w:rPr>
        <w:t>联系人：</w:t>
      </w:r>
    </w:p>
    <w:p>
      <w:pPr>
        <w:rPr>
          <w:rFonts w:eastAsia="仿宋_GB2312"/>
          <w:bCs/>
          <w:color w:val="auto"/>
          <w:sz w:val="28"/>
          <w:u w:val="single"/>
        </w:rPr>
      </w:pPr>
      <w:r>
        <w:rPr>
          <w:rFonts w:eastAsia="仿宋_GB2312"/>
          <w:bCs/>
          <w:color w:val="auto"/>
          <w:sz w:val="28"/>
        </w:rPr>
        <w:t>电话及传真：</w:t>
      </w:r>
    </w:p>
    <w:p>
      <w:pPr>
        <w:rPr>
          <w:rFonts w:eastAsia="仿宋_GB2312"/>
          <w:bCs/>
          <w:color w:val="auto"/>
          <w:sz w:val="28"/>
          <w:u w:val="single"/>
        </w:rPr>
      </w:pPr>
      <w:r>
        <w:rPr>
          <w:rFonts w:eastAsia="仿宋_GB2312"/>
          <w:bCs/>
          <w:color w:val="auto"/>
          <w:sz w:val="28"/>
        </w:rPr>
        <w:t>联系地址：</w:t>
      </w:r>
    </w:p>
    <w:p>
      <w:pPr>
        <w:rPr>
          <w:rFonts w:eastAsia="仿宋_GB2312"/>
          <w:bCs/>
          <w:color w:val="auto"/>
          <w:sz w:val="28"/>
          <w:u w:val="single"/>
        </w:rPr>
      </w:pPr>
      <w:r>
        <w:rPr>
          <w:rFonts w:eastAsia="仿宋_GB2312"/>
          <w:bCs/>
          <w:color w:val="auto"/>
          <w:sz w:val="28"/>
        </w:rPr>
        <w:t>邮政编码：</w:t>
      </w:r>
    </w:p>
    <w:p>
      <w:pPr>
        <w:rPr>
          <w:rFonts w:eastAsia="仿宋_GB2312"/>
          <w:bCs/>
          <w:color w:val="auto"/>
          <w:sz w:val="28"/>
          <w:u w:val="single"/>
        </w:rPr>
      </w:pPr>
      <w:r>
        <w:rPr>
          <w:rFonts w:eastAsia="仿宋_GB2312"/>
          <w:bCs/>
          <w:color w:val="auto"/>
          <w:sz w:val="28"/>
        </w:rPr>
        <w:t>电子邮箱：</w:t>
      </w:r>
    </w:p>
    <w:p>
      <w:pPr>
        <w:rPr>
          <w:rFonts w:eastAsia="仿宋_GB2312"/>
          <w:bCs/>
          <w:color w:val="auto"/>
          <w:sz w:val="28"/>
          <w:u w:val="single"/>
        </w:rPr>
      </w:pPr>
    </w:p>
    <w:p>
      <w:pPr>
        <w:wordWrap w:val="0"/>
        <w:jc w:val="right"/>
        <w:rPr>
          <w:rFonts w:eastAsia="仿宋_GB2312"/>
          <w:bCs/>
          <w:color w:val="auto"/>
          <w:sz w:val="28"/>
        </w:rPr>
      </w:pPr>
      <w:r>
        <w:rPr>
          <w:rFonts w:eastAsia="仿宋_GB2312"/>
          <w:bCs/>
          <w:color w:val="auto"/>
          <w:sz w:val="28"/>
        </w:rPr>
        <w:t>申请书填写日期：</w:t>
      </w:r>
      <w:r>
        <w:rPr>
          <w:rFonts w:hint="eastAsia" w:eastAsia="仿宋_GB2312"/>
          <w:bCs/>
          <w:color w:val="auto"/>
          <w:sz w:val="28"/>
        </w:rPr>
        <w:t xml:space="preserve">   </w:t>
      </w:r>
      <w:r>
        <w:rPr>
          <w:rFonts w:eastAsia="仿宋_GB2312"/>
          <w:bCs/>
          <w:color w:val="auto"/>
          <w:sz w:val="28"/>
        </w:rPr>
        <w:t>年</w:t>
      </w:r>
      <w:r>
        <w:rPr>
          <w:rFonts w:hint="eastAsia" w:eastAsia="仿宋_GB2312"/>
          <w:bCs/>
          <w:color w:val="auto"/>
          <w:sz w:val="28"/>
        </w:rPr>
        <w:t xml:space="preserve">  </w:t>
      </w:r>
      <w:r>
        <w:rPr>
          <w:rFonts w:eastAsia="仿宋_GB2312"/>
          <w:bCs/>
          <w:color w:val="auto"/>
          <w:sz w:val="28"/>
        </w:rPr>
        <w:t>月</w:t>
      </w:r>
      <w:r>
        <w:rPr>
          <w:rFonts w:hint="eastAsia" w:eastAsia="仿宋_GB2312"/>
          <w:bCs/>
          <w:color w:val="auto"/>
          <w:sz w:val="28"/>
        </w:rPr>
        <w:t xml:space="preserve">  </w:t>
      </w:r>
      <w:r>
        <w:rPr>
          <w:rFonts w:eastAsia="仿宋_GB2312"/>
          <w:bCs/>
          <w:color w:val="auto"/>
          <w:sz w:val="28"/>
        </w:rPr>
        <w:t>日</w:t>
      </w:r>
    </w:p>
    <w:p>
      <w:pPr>
        <w:pStyle w:val="2"/>
        <w:spacing w:line="240" w:lineRule="auto"/>
        <w:rPr>
          <w:color w:val="auto"/>
        </w:rPr>
      </w:pPr>
      <w:bookmarkStart w:id="64" w:name="_Toc212531173"/>
      <w:bookmarkStart w:id="65" w:name="_Toc182383994"/>
      <w:bookmarkStart w:id="66" w:name="_Toc212531037"/>
      <w:r>
        <w:rPr>
          <w:color w:val="auto"/>
        </w:rPr>
        <w:br w:type="page"/>
      </w:r>
    </w:p>
    <w:p>
      <w:pPr>
        <w:pStyle w:val="2"/>
        <w:spacing w:line="240" w:lineRule="auto"/>
        <w:rPr>
          <w:color w:val="auto"/>
        </w:rPr>
      </w:pPr>
      <w:bookmarkStart w:id="67" w:name="_Toc272043510"/>
      <w:bookmarkStart w:id="68" w:name="_Toc17935"/>
      <w:r>
        <w:rPr>
          <w:color w:val="auto"/>
        </w:rPr>
        <w:t>法定代表人身份证明书</w:t>
      </w:r>
      <w:bookmarkEnd w:id="64"/>
      <w:bookmarkEnd w:id="65"/>
      <w:bookmarkEnd w:id="66"/>
      <w:bookmarkEnd w:id="67"/>
      <w:bookmarkEnd w:id="68"/>
    </w:p>
    <w:p>
      <w:pPr>
        <w:rPr>
          <w:rFonts w:eastAsia="仿宋_GB2312"/>
          <w:bCs/>
          <w:color w:val="auto"/>
          <w:sz w:val="28"/>
        </w:rPr>
      </w:pPr>
    </w:p>
    <w:p>
      <w:pPr>
        <w:ind w:firstLine="560" w:firstLineChars="200"/>
        <w:rPr>
          <w:rFonts w:eastAsia="仿宋_GB2312"/>
          <w:bCs/>
          <w:color w:val="auto"/>
          <w:sz w:val="28"/>
          <w:u w:val="single"/>
        </w:rPr>
      </w:pPr>
    </w:p>
    <w:p>
      <w:pPr>
        <w:ind w:firstLine="560" w:firstLineChars="200"/>
        <w:rPr>
          <w:rFonts w:eastAsia="仿宋_GB2312"/>
          <w:bCs/>
          <w:color w:val="auto"/>
          <w:sz w:val="28"/>
        </w:rPr>
      </w:pPr>
      <w:r>
        <w:rPr>
          <w:rFonts w:eastAsia="仿宋_GB2312"/>
          <w:bCs/>
          <w:color w:val="auto"/>
          <w:sz w:val="28"/>
        </w:rPr>
        <w:t>同志（身份证号：），在我公司任职务，是我公司法定代表人，特此证明。</w:t>
      </w:r>
    </w:p>
    <w:p>
      <w:pPr>
        <w:ind w:firstLine="560" w:firstLineChars="200"/>
        <w:rPr>
          <w:rFonts w:eastAsia="仿宋_GB2312"/>
          <w:bCs/>
          <w:color w:val="auto"/>
          <w:sz w:val="28"/>
        </w:rPr>
      </w:pPr>
    </w:p>
    <w:p>
      <w:pPr>
        <w:ind w:firstLine="560" w:firstLineChars="200"/>
        <w:rPr>
          <w:rFonts w:eastAsia="仿宋_GB2312"/>
          <w:bCs/>
          <w:color w:val="auto"/>
          <w:sz w:val="28"/>
        </w:rPr>
      </w:pPr>
    </w:p>
    <w:p>
      <w:pPr>
        <w:ind w:firstLine="560" w:firstLineChars="200"/>
        <w:rPr>
          <w:rFonts w:eastAsia="仿宋_GB2312"/>
          <w:bCs/>
          <w:color w:val="auto"/>
          <w:sz w:val="28"/>
        </w:rPr>
      </w:pPr>
    </w:p>
    <w:p>
      <w:pPr>
        <w:ind w:firstLine="2240" w:firstLineChars="800"/>
        <w:rPr>
          <w:rFonts w:eastAsia="仿宋_GB2312"/>
          <w:bCs/>
          <w:color w:val="auto"/>
          <w:sz w:val="28"/>
          <w:u w:val="single"/>
        </w:rPr>
      </w:pPr>
      <w:r>
        <w:rPr>
          <w:rFonts w:eastAsia="仿宋_GB2312"/>
          <w:bCs/>
          <w:color w:val="auto"/>
          <w:sz w:val="28"/>
        </w:rPr>
        <w:t>公司全称（盖章）：</w:t>
      </w:r>
    </w:p>
    <w:p>
      <w:pPr>
        <w:ind w:firstLine="2660" w:firstLineChars="950"/>
        <w:rPr>
          <w:rFonts w:eastAsia="仿宋_GB2312"/>
          <w:bCs/>
          <w:color w:val="auto"/>
          <w:sz w:val="28"/>
        </w:rPr>
      </w:pPr>
      <w:r>
        <w:rPr>
          <w:rFonts w:eastAsia="仿宋_GB2312"/>
          <w:bCs/>
          <w:color w:val="auto"/>
          <w:sz w:val="28"/>
        </w:rPr>
        <w:t>年</w:t>
      </w:r>
      <w:r>
        <w:rPr>
          <w:rFonts w:hint="eastAsia" w:eastAsia="仿宋_GB2312"/>
          <w:bCs/>
          <w:color w:val="auto"/>
          <w:sz w:val="28"/>
        </w:rPr>
        <w:t xml:space="preserve">  </w:t>
      </w:r>
      <w:r>
        <w:rPr>
          <w:rFonts w:eastAsia="仿宋_GB2312"/>
          <w:bCs/>
          <w:color w:val="auto"/>
          <w:sz w:val="28"/>
        </w:rPr>
        <w:t>月</w:t>
      </w:r>
      <w:r>
        <w:rPr>
          <w:rFonts w:hint="eastAsia" w:eastAsia="仿宋_GB2312"/>
          <w:bCs/>
          <w:color w:val="auto"/>
          <w:sz w:val="28"/>
        </w:rPr>
        <w:t xml:space="preserve">  </w:t>
      </w:r>
      <w:r>
        <w:rPr>
          <w:rFonts w:eastAsia="仿宋_GB2312"/>
          <w:bCs/>
          <w:color w:val="auto"/>
          <w:sz w:val="28"/>
        </w:rPr>
        <w:t>日</w:t>
      </w:r>
    </w:p>
    <w:p>
      <w:pPr>
        <w:ind w:firstLine="2240" w:firstLineChars="800"/>
        <w:rPr>
          <w:rFonts w:eastAsia="仿宋_GB2312"/>
          <w:bCs/>
          <w:color w:val="auto"/>
          <w:sz w:val="28"/>
        </w:rPr>
      </w:pPr>
    </w:p>
    <w:p>
      <w:pPr>
        <w:rPr>
          <w:rFonts w:eastAsia="仿宋_GB2312"/>
          <w:bCs/>
          <w:color w:val="auto"/>
          <w:sz w:val="28"/>
        </w:rPr>
      </w:pPr>
      <w:r>
        <w:rPr>
          <w:rFonts w:eastAsia="仿宋_GB2312"/>
          <w:bCs/>
          <w:color w:val="auto"/>
          <w:sz w:val="28"/>
        </w:rPr>
        <w:t>附：该法定代表人住址：</w:t>
      </w:r>
    </w:p>
    <w:p>
      <w:pPr>
        <w:ind w:firstLine="555"/>
        <w:rPr>
          <w:rFonts w:eastAsia="仿宋_GB2312"/>
          <w:bCs/>
          <w:color w:val="auto"/>
          <w:sz w:val="28"/>
        </w:rPr>
      </w:pPr>
      <w:r>
        <w:rPr>
          <w:rFonts w:eastAsia="仿宋_GB2312"/>
          <w:bCs/>
          <w:color w:val="auto"/>
          <w:sz w:val="28"/>
        </w:rPr>
        <w:t>电话：</w:t>
      </w:r>
    </w:p>
    <w:p>
      <w:pPr>
        <w:ind w:firstLine="555"/>
        <w:rPr>
          <w:rFonts w:eastAsia="仿宋_GB2312"/>
          <w:color w:val="auto"/>
          <w:sz w:val="28"/>
        </w:rPr>
      </w:pPr>
      <w:r>
        <w:rPr>
          <w:rFonts w:eastAsia="仿宋_GB2312"/>
          <w:bCs/>
          <w:color w:val="auto"/>
          <w:sz w:val="28"/>
        </w:rPr>
        <w:t>身份证复印件：</w:t>
      </w:r>
    </w:p>
    <w:p>
      <w:pPr>
        <w:pStyle w:val="2"/>
        <w:spacing w:line="240" w:lineRule="auto"/>
        <w:rPr>
          <w:color w:val="auto"/>
        </w:rPr>
      </w:pPr>
      <w:r>
        <w:rPr>
          <w:color w:val="auto"/>
        </w:rPr>
        <w:br w:type="page"/>
      </w:r>
      <w:bookmarkStart w:id="69" w:name="_Toc182383996"/>
      <w:bookmarkStart w:id="70" w:name="_Toc212531039"/>
      <w:bookmarkStart w:id="71" w:name="_Toc212531175"/>
      <w:bookmarkStart w:id="72" w:name="_Toc272043513"/>
      <w:bookmarkStart w:id="73" w:name="_Toc378681137"/>
    </w:p>
    <w:p>
      <w:pPr>
        <w:pStyle w:val="2"/>
        <w:spacing w:line="240" w:lineRule="auto"/>
        <w:rPr>
          <w:color w:val="auto"/>
        </w:rPr>
      </w:pPr>
      <w:bookmarkStart w:id="74" w:name="_Toc3168"/>
      <w:r>
        <w:rPr>
          <w:color w:val="auto"/>
        </w:rPr>
        <w:t>授权委托书</w:t>
      </w:r>
      <w:bookmarkEnd w:id="69"/>
      <w:bookmarkEnd w:id="70"/>
      <w:bookmarkEnd w:id="71"/>
      <w:bookmarkEnd w:id="72"/>
      <w:bookmarkEnd w:id="73"/>
      <w:bookmarkEnd w:id="74"/>
    </w:p>
    <w:p>
      <w:pPr>
        <w:ind w:firstLine="840" w:firstLineChars="300"/>
        <w:rPr>
          <w:rFonts w:eastAsia="仿宋_GB2312"/>
          <w:color w:val="auto"/>
          <w:sz w:val="28"/>
          <w:u w:val="single"/>
        </w:rPr>
      </w:pPr>
    </w:p>
    <w:p>
      <w:pPr>
        <w:ind w:firstLine="840" w:firstLineChars="300"/>
        <w:rPr>
          <w:rFonts w:eastAsia="仿宋_GB2312"/>
          <w:color w:val="auto"/>
          <w:sz w:val="28"/>
        </w:rPr>
      </w:pPr>
      <w:r>
        <w:rPr>
          <w:rFonts w:eastAsia="仿宋_GB2312"/>
          <w:color w:val="auto"/>
          <w:sz w:val="28"/>
        </w:rPr>
        <w:t>本人作为公司的法定代表人，兹委托</w:t>
      </w:r>
      <w:r>
        <w:rPr>
          <w:rFonts w:hint="eastAsia" w:eastAsia="仿宋_GB2312"/>
          <w:color w:val="auto"/>
          <w:sz w:val="28"/>
          <w:u w:val="single"/>
        </w:rPr>
        <w:t xml:space="preserve">    </w:t>
      </w:r>
      <w:r>
        <w:rPr>
          <w:rFonts w:eastAsia="仿宋_GB2312"/>
          <w:color w:val="auto"/>
          <w:sz w:val="28"/>
        </w:rPr>
        <w:t>先生/女士代为参加</w:t>
      </w:r>
      <w:r>
        <w:rPr>
          <w:rFonts w:hint="eastAsia" w:eastAsia="仿宋_GB2312"/>
          <w:color w:val="auto"/>
          <w:sz w:val="28"/>
        </w:rPr>
        <w:t>项目</w:t>
      </w:r>
      <w:r>
        <w:rPr>
          <w:rFonts w:eastAsia="仿宋_GB2312"/>
          <w:color w:val="auto"/>
          <w:sz w:val="28"/>
        </w:rPr>
        <w:t>（京土</w:t>
      </w:r>
      <w:r>
        <w:rPr>
          <w:rFonts w:hint="eastAsia" w:eastAsia="仿宋_GB2312"/>
          <w:color w:val="auto"/>
          <w:sz w:val="28"/>
        </w:rPr>
        <w:t>集使</w:t>
      </w:r>
      <w:r>
        <w:rPr>
          <w:rFonts w:eastAsia="仿宋_GB2312"/>
          <w:color w:val="auto"/>
          <w:sz w:val="28"/>
        </w:rPr>
        <w:t>挂（</w:t>
      </w:r>
      <w:r>
        <w:rPr>
          <w:rFonts w:hint="eastAsia" w:eastAsia="仿宋_GB2312"/>
          <w:color w:val="auto"/>
          <w:sz w:val="28"/>
        </w:rPr>
        <w:t>兴</w:t>
      </w:r>
      <w:r>
        <w:rPr>
          <w:rFonts w:eastAsia="仿宋_GB2312"/>
          <w:color w:val="auto"/>
          <w:sz w:val="28"/>
        </w:rPr>
        <w:t>）[201</w:t>
      </w:r>
      <w:r>
        <w:rPr>
          <w:rFonts w:hint="eastAsia" w:eastAsia="仿宋_GB2312"/>
          <w:color w:val="auto"/>
          <w:sz w:val="28"/>
          <w:lang w:val="en-US" w:eastAsia="zh-CN"/>
        </w:rPr>
        <w:t>8</w:t>
      </w:r>
      <w:r>
        <w:rPr>
          <w:rFonts w:eastAsia="仿宋_GB2312"/>
          <w:color w:val="auto"/>
          <w:sz w:val="28"/>
        </w:rPr>
        <w:t>]</w:t>
      </w:r>
      <w:r>
        <w:rPr>
          <w:rFonts w:hint="eastAsia" w:eastAsia="仿宋_GB2312"/>
          <w:color w:val="auto"/>
          <w:sz w:val="28"/>
          <w:lang w:val="en-US" w:eastAsia="zh-CN"/>
        </w:rPr>
        <w:t>001</w:t>
      </w:r>
      <w:r>
        <w:rPr>
          <w:rFonts w:eastAsia="仿宋_GB2312"/>
          <w:color w:val="auto"/>
          <w:sz w:val="28"/>
        </w:rPr>
        <w:t>号）集体经营性建设用地使用权挂牌出让竞买活动。具体授权范围为：</w:t>
      </w:r>
    </w:p>
    <w:p>
      <w:pPr>
        <w:ind w:left="540"/>
        <w:rPr>
          <w:rFonts w:eastAsia="仿宋_GB2312"/>
          <w:color w:val="auto"/>
          <w:sz w:val="28"/>
        </w:rPr>
      </w:pPr>
      <w:r>
        <w:rPr>
          <w:rFonts w:hint="eastAsia" w:eastAsia="仿宋_GB2312"/>
          <w:color w:val="auto"/>
          <w:sz w:val="28"/>
        </w:rPr>
        <w:t>1、</w:t>
      </w:r>
      <w:r>
        <w:rPr>
          <w:rFonts w:hint="eastAsia" w:eastAsia="仿宋_GB2312"/>
          <w:color w:val="auto"/>
          <w:sz w:val="28"/>
          <w:lang w:val="en-US" w:eastAsia="zh-CN"/>
        </w:rPr>
        <w:t xml:space="preserve"> </w:t>
      </w:r>
      <w:r>
        <w:rPr>
          <w:rFonts w:eastAsia="仿宋_GB2312"/>
          <w:color w:val="auto"/>
          <w:sz w:val="28"/>
        </w:rPr>
        <w:t>提交竞买申请文件；</w:t>
      </w:r>
    </w:p>
    <w:p>
      <w:pPr>
        <w:numPr>
          <w:ilvl w:val="1"/>
          <w:numId w:val="6"/>
        </w:numPr>
        <w:ind w:hanging="600"/>
        <w:rPr>
          <w:rFonts w:eastAsia="仿宋_GB2312"/>
          <w:color w:val="auto"/>
          <w:sz w:val="28"/>
        </w:rPr>
      </w:pPr>
      <w:r>
        <w:rPr>
          <w:rFonts w:eastAsia="仿宋_GB2312"/>
          <w:color w:val="auto"/>
          <w:sz w:val="28"/>
        </w:rPr>
        <w:t>参与挂牌竞价（评标、开标或拍卖）活动全过程（包括现场竞价）。</w:t>
      </w:r>
    </w:p>
    <w:p>
      <w:pPr>
        <w:numPr>
          <w:ilvl w:val="1"/>
          <w:numId w:val="6"/>
        </w:numPr>
        <w:ind w:hanging="600"/>
        <w:rPr>
          <w:rFonts w:eastAsia="仿宋_GB2312"/>
          <w:color w:val="auto"/>
          <w:sz w:val="28"/>
        </w:rPr>
      </w:pPr>
      <w:r>
        <w:rPr>
          <w:rFonts w:eastAsia="仿宋_GB2312"/>
          <w:color w:val="auto"/>
          <w:sz w:val="28"/>
        </w:rPr>
        <w:t>不得转委托。</w:t>
      </w:r>
    </w:p>
    <w:p>
      <w:pPr>
        <w:rPr>
          <w:rFonts w:eastAsia="仿宋_GB2312"/>
          <w:color w:val="auto"/>
          <w:sz w:val="28"/>
        </w:rPr>
      </w:pPr>
    </w:p>
    <w:p>
      <w:pPr>
        <w:rPr>
          <w:rFonts w:eastAsia="仿宋_GB2312"/>
          <w:color w:val="auto"/>
          <w:sz w:val="28"/>
        </w:rPr>
      </w:pPr>
    </w:p>
    <w:p>
      <w:pPr>
        <w:rPr>
          <w:rFonts w:eastAsia="仿宋_GB2312"/>
          <w:color w:val="auto"/>
          <w:sz w:val="28"/>
        </w:rPr>
      </w:pPr>
      <w:r>
        <w:rPr>
          <w:rFonts w:eastAsia="仿宋_GB2312"/>
          <w:color w:val="auto"/>
          <w:sz w:val="28"/>
        </w:rPr>
        <w:t>单位名称（盖章）：</w:t>
      </w:r>
    </w:p>
    <w:p>
      <w:pPr>
        <w:rPr>
          <w:rFonts w:eastAsia="仿宋_GB2312"/>
          <w:color w:val="auto"/>
          <w:sz w:val="28"/>
        </w:rPr>
      </w:pPr>
      <w:r>
        <w:rPr>
          <w:rFonts w:hint="eastAsia" w:eastAsia="仿宋_GB2312"/>
          <w:color w:val="auto"/>
          <w:sz w:val="28"/>
        </w:rPr>
        <w:t>法定代表人签字</w:t>
      </w:r>
      <w:r>
        <w:rPr>
          <w:rFonts w:eastAsia="仿宋_GB2312"/>
          <w:color w:val="auto"/>
          <w:sz w:val="28"/>
        </w:rPr>
        <w:t>：</w:t>
      </w:r>
    </w:p>
    <w:p>
      <w:pPr>
        <w:rPr>
          <w:rFonts w:eastAsia="仿宋_GB2312"/>
          <w:color w:val="auto"/>
          <w:sz w:val="28"/>
        </w:rPr>
      </w:pPr>
      <w:r>
        <w:rPr>
          <w:rFonts w:hint="eastAsia" w:eastAsia="仿宋_GB2312"/>
          <w:color w:val="auto"/>
          <w:sz w:val="28"/>
        </w:rPr>
        <w:t>法定代表人身份证号</w:t>
      </w:r>
      <w:r>
        <w:rPr>
          <w:rFonts w:eastAsia="仿宋_GB2312"/>
          <w:color w:val="auto"/>
          <w:sz w:val="28"/>
        </w:rPr>
        <w:t>：</w:t>
      </w:r>
    </w:p>
    <w:p>
      <w:pPr>
        <w:rPr>
          <w:rFonts w:eastAsia="仿宋_GB2312"/>
          <w:color w:val="auto"/>
          <w:sz w:val="28"/>
        </w:rPr>
      </w:pPr>
    </w:p>
    <w:p>
      <w:pPr>
        <w:rPr>
          <w:rFonts w:eastAsia="仿宋_GB2312"/>
          <w:color w:val="auto"/>
          <w:sz w:val="28"/>
        </w:rPr>
      </w:pPr>
      <w:r>
        <w:rPr>
          <w:rFonts w:eastAsia="仿宋_GB2312"/>
          <w:color w:val="auto"/>
          <w:sz w:val="28"/>
        </w:rPr>
        <w:t>受托人签字：</w:t>
      </w:r>
    </w:p>
    <w:p>
      <w:pPr>
        <w:rPr>
          <w:rFonts w:eastAsia="仿宋_GB2312"/>
          <w:color w:val="auto"/>
          <w:sz w:val="28"/>
          <w:u w:val="single"/>
        </w:rPr>
      </w:pPr>
      <w:r>
        <w:rPr>
          <w:rFonts w:eastAsia="仿宋_GB2312"/>
          <w:color w:val="auto"/>
          <w:sz w:val="28"/>
        </w:rPr>
        <w:t>受托人身份证号码：</w:t>
      </w:r>
    </w:p>
    <w:p>
      <w:pPr>
        <w:ind w:firstLine="420" w:firstLineChars="150"/>
        <w:rPr>
          <w:rFonts w:eastAsia="仿宋_GB2312"/>
          <w:color w:val="auto"/>
          <w:sz w:val="28"/>
        </w:rPr>
      </w:pPr>
      <w:r>
        <w:rPr>
          <w:rFonts w:eastAsia="仿宋_GB2312"/>
          <w:color w:val="auto"/>
          <w:sz w:val="28"/>
        </w:rPr>
        <w:t>年</w:t>
      </w:r>
      <w:r>
        <w:rPr>
          <w:rFonts w:hint="eastAsia" w:eastAsia="仿宋_GB2312"/>
          <w:color w:val="auto"/>
          <w:sz w:val="28"/>
        </w:rPr>
        <w:t xml:space="preserve">  </w:t>
      </w:r>
      <w:r>
        <w:rPr>
          <w:rFonts w:eastAsia="仿宋_GB2312"/>
          <w:color w:val="auto"/>
          <w:sz w:val="28"/>
        </w:rPr>
        <w:t>月</w:t>
      </w:r>
      <w:r>
        <w:rPr>
          <w:rFonts w:hint="eastAsia" w:eastAsia="仿宋_GB2312"/>
          <w:color w:val="auto"/>
          <w:sz w:val="28"/>
        </w:rPr>
        <w:t xml:space="preserve">  </w:t>
      </w:r>
      <w:r>
        <w:rPr>
          <w:rFonts w:eastAsia="仿宋_GB2312"/>
          <w:color w:val="auto"/>
          <w:sz w:val="28"/>
        </w:rPr>
        <w:t>日</w:t>
      </w:r>
    </w:p>
    <w:p>
      <w:pPr>
        <w:rPr>
          <w:rFonts w:eastAsia="仿宋_GB2312"/>
          <w:color w:val="auto"/>
          <w:sz w:val="28"/>
        </w:rPr>
      </w:pPr>
    </w:p>
    <w:p>
      <w:pPr>
        <w:pStyle w:val="2"/>
        <w:spacing w:line="240" w:lineRule="auto"/>
        <w:rPr>
          <w:color w:val="auto"/>
        </w:rPr>
      </w:pPr>
      <w:bookmarkStart w:id="75" w:name="_Toc29650"/>
      <w:r>
        <w:rPr>
          <w:color w:val="auto"/>
        </w:rPr>
        <w:t>承诺书</w:t>
      </w:r>
      <w:bookmarkEnd w:id="75"/>
    </w:p>
    <w:p>
      <w:pPr>
        <w:pStyle w:val="34"/>
        <w:ind w:firstLine="560" w:firstLineChars="200"/>
        <w:rPr>
          <w:rFonts w:eastAsia="仿宋_GB2312"/>
          <w:color w:val="auto"/>
          <w:sz w:val="28"/>
        </w:rPr>
      </w:pPr>
      <w:r>
        <w:rPr>
          <w:rFonts w:eastAsia="仿宋_GB2312"/>
          <w:color w:val="auto"/>
          <w:sz w:val="28"/>
        </w:rPr>
        <w:t>我公司参与用地挂牌出让活动所交竞买保证金不属于银行贷款、股东借款、转贷和募集资金。</w:t>
      </w:r>
    </w:p>
    <w:p>
      <w:pPr>
        <w:pStyle w:val="34"/>
        <w:ind w:firstLine="560" w:firstLineChars="200"/>
        <w:rPr>
          <w:color w:val="auto"/>
          <w:sz w:val="28"/>
        </w:rPr>
      </w:pPr>
      <w:r>
        <w:rPr>
          <w:rFonts w:eastAsia="仿宋_GB2312"/>
          <w:color w:val="auto"/>
          <w:sz w:val="28"/>
        </w:rPr>
        <w:t>特此承诺。</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34"/>
        <w:ind w:firstLine="420" w:firstLineChars="200"/>
        <w:rPr>
          <w:color w:val="auto"/>
        </w:rPr>
      </w:pPr>
    </w:p>
    <w:p>
      <w:pPr>
        <w:spacing w:line="480" w:lineRule="auto"/>
        <w:ind w:firstLine="1680" w:firstLineChars="800"/>
        <w:rPr>
          <w:rFonts w:eastAsia="仿宋_GB2312"/>
          <w:bCs/>
          <w:color w:val="auto"/>
          <w:sz w:val="28"/>
          <w:u w:val="single"/>
        </w:rPr>
      </w:pPr>
      <w:r>
        <w:rPr>
          <w:color w:val="auto"/>
        </w:rPr>
        <w:tab/>
      </w:r>
      <w:r>
        <w:rPr>
          <w:rFonts w:eastAsia="仿宋_GB2312"/>
          <w:bCs/>
          <w:color w:val="auto"/>
          <w:sz w:val="28"/>
        </w:rPr>
        <w:t>单位全称（盖章）：</w:t>
      </w:r>
    </w:p>
    <w:p>
      <w:pPr>
        <w:pStyle w:val="34"/>
        <w:tabs>
          <w:tab w:val="left" w:pos="7065"/>
        </w:tabs>
        <w:ind w:firstLine="560" w:firstLineChars="200"/>
        <w:rPr>
          <w:rFonts w:eastAsia="仿宋_GB2312"/>
          <w:bCs/>
          <w:color w:val="auto"/>
          <w:sz w:val="28"/>
        </w:rPr>
      </w:pPr>
    </w:p>
    <w:p>
      <w:pPr>
        <w:pStyle w:val="34"/>
        <w:tabs>
          <w:tab w:val="left" w:pos="7065"/>
        </w:tabs>
        <w:ind w:firstLine="560" w:firstLineChars="200"/>
        <w:rPr>
          <w:rFonts w:eastAsia="仿宋_GB2312"/>
          <w:bCs/>
          <w:color w:val="auto"/>
          <w:sz w:val="28"/>
        </w:rPr>
      </w:pPr>
    </w:p>
    <w:p>
      <w:pPr>
        <w:pStyle w:val="34"/>
        <w:tabs>
          <w:tab w:val="left" w:pos="7065"/>
        </w:tabs>
        <w:ind w:firstLine="560" w:firstLineChars="200"/>
        <w:rPr>
          <w:rFonts w:eastAsia="仿宋_GB2312"/>
          <w:bCs/>
          <w:color w:val="auto"/>
          <w:sz w:val="28"/>
        </w:rPr>
      </w:pPr>
    </w:p>
    <w:p>
      <w:pPr>
        <w:pStyle w:val="34"/>
        <w:tabs>
          <w:tab w:val="left" w:pos="7065"/>
        </w:tabs>
        <w:ind w:firstLine="560" w:firstLineChars="200"/>
        <w:rPr>
          <w:rFonts w:eastAsia="仿宋_GB2312"/>
          <w:bCs/>
          <w:color w:val="auto"/>
          <w:sz w:val="28"/>
        </w:rPr>
      </w:pPr>
    </w:p>
    <w:p>
      <w:pPr>
        <w:pStyle w:val="34"/>
        <w:tabs>
          <w:tab w:val="left" w:pos="7065"/>
        </w:tabs>
        <w:ind w:firstLine="560" w:firstLineChars="200"/>
        <w:rPr>
          <w:rFonts w:eastAsia="仿宋_GB2312"/>
          <w:bCs/>
          <w:color w:val="auto"/>
          <w:sz w:val="28"/>
        </w:rPr>
      </w:pPr>
    </w:p>
    <w:p>
      <w:pPr>
        <w:pStyle w:val="34"/>
        <w:tabs>
          <w:tab w:val="left" w:pos="7065"/>
        </w:tabs>
        <w:ind w:firstLine="560" w:firstLineChars="200"/>
        <w:rPr>
          <w:rFonts w:eastAsia="仿宋_GB2312"/>
          <w:bCs/>
          <w:color w:val="auto"/>
          <w:sz w:val="28"/>
        </w:rPr>
      </w:pPr>
    </w:p>
    <w:p>
      <w:pPr>
        <w:pStyle w:val="34"/>
        <w:tabs>
          <w:tab w:val="left" w:pos="7065"/>
        </w:tabs>
        <w:ind w:firstLine="5180" w:firstLineChars="1850"/>
        <w:rPr>
          <w:color w:val="auto"/>
        </w:rPr>
      </w:pPr>
      <w:r>
        <w:rPr>
          <w:rFonts w:eastAsia="仿宋_GB2312"/>
          <w:bCs/>
          <w:color w:val="auto"/>
          <w:sz w:val="28"/>
        </w:rPr>
        <w:t>年</w:t>
      </w:r>
      <w:r>
        <w:rPr>
          <w:rFonts w:hint="eastAsia" w:eastAsia="仿宋_GB2312"/>
          <w:bCs/>
          <w:color w:val="auto"/>
          <w:sz w:val="28"/>
        </w:rPr>
        <w:t xml:space="preserve">  </w:t>
      </w:r>
      <w:r>
        <w:rPr>
          <w:rFonts w:eastAsia="仿宋_GB2312"/>
          <w:bCs/>
          <w:color w:val="auto"/>
          <w:sz w:val="28"/>
        </w:rPr>
        <w:t>月</w:t>
      </w:r>
      <w:r>
        <w:rPr>
          <w:rFonts w:hint="eastAsia" w:eastAsia="仿宋_GB2312"/>
          <w:bCs/>
          <w:color w:val="auto"/>
          <w:sz w:val="28"/>
        </w:rPr>
        <w:t xml:space="preserve">  </w:t>
      </w:r>
      <w:r>
        <w:rPr>
          <w:rFonts w:eastAsia="仿宋_GB2312"/>
          <w:bCs/>
          <w:color w:val="auto"/>
          <w:sz w:val="28"/>
        </w:rPr>
        <w:t>日</w:t>
      </w:r>
    </w:p>
    <w:p>
      <w:pPr>
        <w:rPr>
          <w:rFonts w:eastAsia="仿宋_GB2312"/>
          <w:color w:val="auto"/>
          <w:sz w:val="28"/>
        </w:rPr>
      </w:pPr>
    </w:p>
    <w:p>
      <w:pPr>
        <w:pStyle w:val="2"/>
        <w:spacing w:line="540" w:lineRule="exact"/>
        <w:rPr>
          <w:color w:val="auto"/>
        </w:rPr>
      </w:pPr>
      <w:r>
        <w:rPr>
          <w:color w:val="auto"/>
          <w:sz w:val="28"/>
        </w:rPr>
        <w:br w:type="page"/>
      </w:r>
      <w:bookmarkStart w:id="76" w:name="_Toc67191357"/>
      <w:bookmarkStart w:id="77" w:name="_Toc212531176"/>
      <w:bookmarkStart w:id="78" w:name="_Toc272043514"/>
      <w:bookmarkStart w:id="79" w:name="_Toc41366806"/>
      <w:bookmarkStart w:id="80" w:name="_Toc41366871"/>
      <w:bookmarkStart w:id="81" w:name="_Toc42583216"/>
      <w:bookmarkStart w:id="82" w:name="_Toc25149"/>
      <w:r>
        <w:rPr>
          <w:color w:val="auto"/>
        </w:rPr>
        <w:t>竞买报价单</w:t>
      </w:r>
      <w:bookmarkEnd w:id="76"/>
      <w:bookmarkEnd w:id="77"/>
      <w:bookmarkEnd w:id="78"/>
      <w:bookmarkEnd w:id="79"/>
      <w:bookmarkEnd w:id="80"/>
      <w:bookmarkEnd w:id="81"/>
      <w:bookmarkEnd w:id="82"/>
    </w:p>
    <w:p>
      <w:pPr>
        <w:spacing w:line="540" w:lineRule="exact"/>
        <w:rPr>
          <w:rFonts w:eastAsia="仿宋_GB2312"/>
          <w:color w:val="auto"/>
          <w:sz w:val="28"/>
          <w:u w:val="single"/>
        </w:rPr>
      </w:pPr>
      <w:r>
        <w:rPr>
          <w:rFonts w:hint="eastAsia" w:eastAsia="仿宋_GB2312"/>
          <w:color w:val="auto"/>
          <w:sz w:val="28"/>
        </w:rPr>
        <w:t>北京市土地整理储备中心大兴区分中心：</w:t>
      </w:r>
    </w:p>
    <w:p>
      <w:pPr>
        <w:spacing w:line="540" w:lineRule="exact"/>
        <w:ind w:firstLine="560"/>
        <w:rPr>
          <w:rFonts w:eastAsia="仿宋_GB2312"/>
          <w:color w:val="auto"/>
          <w:sz w:val="28"/>
        </w:rPr>
      </w:pPr>
      <w:r>
        <w:rPr>
          <w:rFonts w:eastAsia="仿宋_GB2312"/>
          <w:color w:val="auto"/>
          <w:sz w:val="28"/>
        </w:rPr>
        <w:t>经认真阅读《</w:t>
      </w:r>
      <w:r>
        <w:rPr>
          <w:rFonts w:hint="eastAsia" w:eastAsia="仿宋_GB2312"/>
          <w:color w:val="auto"/>
          <w:sz w:val="28"/>
          <w:szCs w:val="28"/>
          <w:lang w:eastAsia="zh-CN"/>
        </w:rPr>
        <w:t>北京市大兴区瀛海镇集体经营性建设用地入市试点（一期）YZ00-0803-0011地块集体经营性建设用地</w:t>
      </w:r>
      <w:r>
        <w:rPr>
          <w:rFonts w:hint="eastAsia" w:eastAsia="仿宋_GB2312"/>
          <w:color w:val="auto"/>
          <w:sz w:val="28"/>
          <w:szCs w:val="28"/>
        </w:rPr>
        <w:t>使用权</w:t>
      </w:r>
      <w:r>
        <w:rPr>
          <w:rFonts w:hint="eastAsia" w:eastAsia="仿宋_GB2312"/>
          <w:color w:val="auto"/>
          <w:sz w:val="28"/>
        </w:rPr>
        <w:t>出让</w:t>
      </w:r>
      <w:r>
        <w:rPr>
          <w:rFonts w:eastAsia="仿宋_GB2312"/>
          <w:color w:val="auto"/>
          <w:sz w:val="28"/>
        </w:rPr>
        <w:t>挂牌文件</w:t>
      </w:r>
      <w:r>
        <w:rPr>
          <w:rFonts w:hint="eastAsia" w:eastAsia="仿宋_GB2312"/>
          <w:color w:val="auto"/>
          <w:sz w:val="28"/>
        </w:rPr>
        <w:t>》（</w:t>
      </w:r>
      <w:r>
        <w:rPr>
          <w:rFonts w:hint="eastAsia" w:eastAsia="仿宋_GB2312"/>
          <w:color w:val="auto"/>
          <w:sz w:val="28"/>
          <w:lang w:eastAsia="zh-CN"/>
        </w:rPr>
        <w:t>京土集使挂（兴）[2018]001号</w:t>
      </w:r>
      <w:r>
        <w:rPr>
          <w:rFonts w:eastAsia="仿宋_GB2312"/>
          <w:color w:val="auto"/>
          <w:sz w:val="28"/>
        </w:rPr>
        <w:t>），我们对挂牌出让宗地现状无异议，愿意按照挂牌文件规定参加该宗地竞价，并于</w:t>
      </w:r>
      <w:r>
        <w:rPr>
          <w:rFonts w:hint="eastAsia" w:eastAsia="仿宋_GB2312"/>
          <w:color w:val="auto"/>
          <w:sz w:val="28"/>
          <w:u w:val="single"/>
        </w:rPr>
        <w:t xml:space="preserve">     </w:t>
      </w:r>
      <w:r>
        <w:rPr>
          <w:rFonts w:eastAsia="仿宋_GB2312"/>
          <w:color w:val="auto"/>
          <w:sz w:val="28"/>
        </w:rPr>
        <w:t>年</w:t>
      </w:r>
      <w:r>
        <w:rPr>
          <w:rFonts w:hint="eastAsia" w:eastAsia="仿宋_GB2312"/>
          <w:color w:val="auto"/>
          <w:sz w:val="28"/>
          <w:u w:val="single"/>
        </w:rPr>
        <w:t xml:space="preserve">   </w:t>
      </w:r>
      <w:r>
        <w:rPr>
          <w:rFonts w:eastAsia="仿宋_GB2312"/>
          <w:color w:val="auto"/>
          <w:sz w:val="28"/>
        </w:rPr>
        <w:t>月</w:t>
      </w:r>
      <w:r>
        <w:rPr>
          <w:rFonts w:hint="eastAsia" w:eastAsia="仿宋_GB2312"/>
          <w:color w:val="auto"/>
          <w:sz w:val="28"/>
          <w:u w:val="single"/>
        </w:rPr>
        <w:t xml:space="preserve">   </w:t>
      </w:r>
      <w:r>
        <w:rPr>
          <w:rFonts w:eastAsia="仿宋_GB2312"/>
          <w:color w:val="auto"/>
          <w:sz w:val="28"/>
        </w:rPr>
        <w:t>日已向贵中心提交挂牌申请文件，获得竞买资格。</w:t>
      </w:r>
    </w:p>
    <w:p>
      <w:pPr>
        <w:spacing w:line="540" w:lineRule="exact"/>
        <w:ind w:firstLine="560"/>
        <w:rPr>
          <w:rFonts w:eastAsia="仿宋_GB2312"/>
          <w:color w:val="auto"/>
          <w:sz w:val="28"/>
        </w:rPr>
      </w:pPr>
      <w:r>
        <w:rPr>
          <w:rFonts w:eastAsia="仿宋_GB2312"/>
          <w:color w:val="auto"/>
          <w:sz w:val="28"/>
        </w:rPr>
        <w:t>现我方以人民币（大写）</w:t>
      </w:r>
      <w:r>
        <w:rPr>
          <w:rFonts w:hint="eastAsia" w:eastAsia="仿宋_GB2312"/>
          <w:color w:val="auto"/>
          <w:sz w:val="28"/>
        </w:rPr>
        <w:t>：</w:t>
      </w:r>
      <w:r>
        <w:rPr>
          <w:rFonts w:hint="eastAsia" w:eastAsia="仿宋_GB2312"/>
          <w:color w:val="auto"/>
          <w:sz w:val="28"/>
          <w:u w:val="single"/>
        </w:rPr>
        <w:t xml:space="preserve">          </w:t>
      </w:r>
      <w:r>
        <w:rPr>
          <w:rFonts w:eastAsia="仿宋_GB2312"/>
          <w:color w:val="auto"/>
          <w:sz w:val="28"/>
        </w:rPr>
        <w:t>（小写￥</w:t>
      </w:r>
      <w:r>
        <w:rPr>
          <w:rFonts w:hint="eastAsia" w:eastAsia="仿宋_GB2312"/>
          <w:color w:val="auto"/>
          <w:sz w:val="28"/>
          <w:u w:val="single"/>
        </w:rPr>
        <w:t xml:space="preserve">      </w:t>
      </w:r>
      <w:r>
        <w:rPr>
          <w:rFonts w:hint="eastAsia" w:eastAsia="仿宋_GB2312"/>
          <w:color w:val="auto"/>
          <w:sz w:val="28"/>
        </w:rPr>
        <w:t xml:space="preserve"> </w:t>
      </w:r>
      <w:r>
        <w:rPr>
          <w:rFonts w:eastAsia="仿宋_GB2312"/>
          <w:color w:val="auto"/>
          <w:sz w:val="28"/>
        </w:rPr>
        <w:t>元）的报价参与该地块的集体经营性建设用地使用权竞买。</w:t>
      </w:r>
    </w:p>
    <w:p>
      <w:pPr>
        <w:pStyle w:val="10"/>
        <w:spacing w:line="540" w:lineRule="exact"/>
        <w:ind w:firstLine="560" w:firstLineChars="200"/>
        <w:rPr>
          <w:rFonts w:ascii="Times New Roman"/>
          <w:color w:val="auto"/>
          <w:sz w:val="28"/>
        </w:rPr>
      </w:pPr>
      <w:r>
        <w:rPr>
          <w:rFonts w:ascii="Times New Roman"/>
          <w:color w:val="auto"/>
          <w:sz w:val="28"/>
        </w:rPr>
        <w:t>如我方以前述金额竞得该宗地的集体经营性建设用地使用权，我方将在接到《成交确认书》后按照挂牌文件的规定，签订相应的合同</w:t>
      </w:r>
      <w:r>
        <w:rPr>
          <w:rFonts w:hint="eastAsia" w:ascii="Times New Roman"/>
          <w:color w:val="auto"/>
          <w:sz w:val="28"/>
        </w:rPr>
        <w:t xml:space="preserve">等文件 </w:t>
      </w:r>
      <w:r>
        <w:rPr>
          <w:rFonts w:ascii="Times New Roman"/>
          <w:color w:val="auto"/>
          <w:sz w:val="28"/>
        </w:rPr>
        <w:t>，并严格履行合同</w:t>
      </w:r>
      <w:r>
        <w:rPr>
          <w:rFonts w:hint="eastAsia" w:ascii="Times New Roman"/>
          <w:color w:val="auto"/>
          <w:sz w:val="28"/>
        </w:rPr>
        <w:t>及文件</w:t>
      </w:r>
      <w:r>
        <w:rPr>
          <w:rFonts w:ascii="Times New Roman"/>
          <w:color w:val="auto"/>
          <w:sz w:val="28"/>
        </w:rPr>
        <w:t>内各项条款的规定。</w:t>
      </w:r>
    </w:p>
    <w:p>
      <w:pPr>
        <w:spacing w:line="540" w:lineRule="exact"/>
        <w:ind w:firstLine="560"/>
        <w:rPr>
          <w:rFonts w:eastAsia="仿宋_GB2312"/>
          <w:color w:val="auto"/>
          <w:sz w:val="28"/>
        </w:rPr>
      </w:pPr>
      <w:r>
        <w:rPr>
          <w:rFonts w:eastAsia="仿宋_GB2312"/>
          <w:color w:val="auto"/>
          <w:sz w:val="28"/>
        </w:rPr>
        <w:t>本报价单一式叁份，为我方竞买申请文件的组成部分。我方于</w:t>
      </w:r>
    </w:p>
    <w:p>
      <w:pPr>
        <w:spacing w:line="540" w:lineRule="exact"/>
        <w:rPr>
          <w:rFonts w:eastAsia="仿宋_GB2312"/>
          <w:color w:val="auto"/>
          <w:sz w:val="28"/>
        </w:rPr>
      </w:pPr>
      <w:r>
        <w:rPr>
          <w:rFonts w:hint="eastAsia" w:eastAsia="仿宋_GB2312"/>
          <w:color w:val="auto"/>
          <w:sz w:val="28"/>
        </w:rPr>
        <w:t>年</w:t>
      </w:r>
      <w:r>
        <w:rPr>
          <w:rFonts w:hint="eastAsia" w:eastAsia="仿宋_GB2312"/>
          <w:color w:val="auto"/>
          <w:sz w:val="28"/>
          <w:u w:val="single"/>
        </w:rPr>
        <w:t xml:space="preserve">    </w:t>
      </w:r>
      <w:r>
        <w:rPr>
          <w:rFonts w:hint="eastAsia" w:eastAsia="仿宋_GB2312"/>
          <w:color w:val="auto"/>
          <w:sz w:val="28"/>
        </w:rPr>
        <w:t>年</w:t>
      </w:r>
      <w:r>
        <w:rPr>
          <w:rFonts w:hint="eastAsia" w:eastAsia="仿宋_GB2312"/>
          <w:color w:val="auto"/>
          <w:sz w:val="28"/>
          <w:u w:val="single"/>
        </w:rPr>
        <w:t xml:space="preserve">  </w:t>
      </w:r>
      <w:r>
        <w:rPr>
          <w:rFonts w:eastAsia="仿宋_GB2312"/>
          <w:color w:val="auto"/>
          <w:sz w:val="28"/>
        </w:rPr>
        <w:t>月</w:t>
      </w:r>
      <w:r>
        <w:rPr>
          <w:rFonts w:hint="eastAsia" w:eastAsia="仿宋_GB2312"/>
          <w:color w:val="auto"/>
          <w:sz w:val="28"/>
          <w:u w:val="single"/>
        </w:rPr>
        <w:t xml:space="preserve">  </w:t>
      </w:r>
      <w:r>
        <w:rPr>
          <w:rFonts w:eastAsia="仿宋_GB2312"/>
          <w:color w:val="auto"/>
          <w:sz w:val="28"/>
        </w:rPr>
        <w:t>日递交的报价单同时废止。</w:t>
      </w:r>
    </w:p>
    <w:p>
      <w:pPr>
        <w:spacing w:line="540" w:lineRule="exact"/>
        <w:rPr>
          <w:rFonts w:eastAsia="仿宋_GB2312"/>
          <w:color w:val="auto"/>
          <w:sz w:val="28"/>
          <w:u w:val="single"/>
        </w:rPr>
      </w:pPr>
      <w:r>
        <w:rPr>
          <w:rFonts w:eastAsia="仿宋_GB2312"/>
          <w:color w:val="auto"/>
          <w:sz w:val="28"/>
        </w:rPr>
        <w:t>竞买单位（盖章）：</w:t>
      </w:r>
    </w:p>
    <w:p>
      <w:pPr>
        <w:spacing w:line="540" w:lineRule="exact"/>
        <w:rPr>
          <w:rFonts w:eastAsia="仿宋_GB2312"/>
          <w:color w:val="auto"/>
          <w:sz w:val="28"/>
          <w:u w:val="single"/>
        </w:rPr>
      </w:pPr>
      <w:r>
        <w:rPr>
          <w:rFonts w:eastAsia="仿宋_GB2312"/>
          <w:color w:val="auto"/>
          <w:sz w:val="28"/>
        </w:rPr>
        <w:t>法定代表人（或授权委托人）：</w:t>
      </w:r>
    </w:p>
    <w:p>
      <w:pPr>
        <w:spacing w:line="540" w:lineRule="exact"/>
        <w:rPr>
          <w:rFonts w:eastAsia="仿宋_GB2312"/>
          <w:color w:val="auto"/>
          <w:sz w:val="28"/>
        </w:rPr>
      </w:pPr>
      <w:r>
        <w:rPr>
          <w:rFonts w:eastAsia="仿宋_GB2312"/>
          <w:color w:val="auto"/>
          <w:sz w:val="28"/>
        </w:rPr>
        <w:t>填写日期：</w:t>
      </w:r>
      <w:r>
        <w:rPr>
          <w:rFonts w:hint="eastAsia" w:eastAsia="仿宋_GB2312"/>
          <w:color w:val="auto"/>
          <w:sz w:val="28"/>
        </w:rPr>
        <w:t xml:space="preserve">    </w:t>
      </w:r>
      <w:r>
        <w:rPr>
          <w:rFonts w:eastAsia="仿宋_GB2312"/>
          <w:color w:val="auto"/>
          <w:sz w:val="28"/>
        </w:rPr>
        <w:t>年</w:t>
      </w:r>
      <w:r>
        <w:rPr>
          <w:rFonts w:hint="eastAsia" w:eastAsia="仿宋_GB2312"/>
          <w:color w:val="auto"/>
          <w:sz w:val="28"/>
        </w:rPr>
        <w:t xml:space="preserve">   </w:t>
      </w:r>
      <w:r>
        <w:rPr>
          <w:rFonts w:eastAsia="仿宋_GB2312"/>
          <w:color w:val="auto"/>
          <w:sz w:val="28"/>
        </w:rPr>
        <w:t>月</w:t>
      </w:r>
      <w:r>
        <w:rPr>
          <w:rFonts w:hint="eastAsia" w:eastAsia="仿宋_GB2312"/>
          <w:color w:val="auto"/>
          <w:sz w:val="28"/>
        </w:rPr>
        <w:t xml:space="preserve">   </w:t>
      </w:r>
      <w:r>
        <w:rPr>
          <w:rFonts w:eastAsia="仿宋_GB2312"/>
          <w:color w:val="auto"/>
          <w:sz w:val="28"/>
        </w:rPr>
        <w:t>日</w:t>
      </w:r>
    </w:p>
    <w:p>
      <w:pPr>
        <w:spacing w:line="540" w:lineRule="exact"/>
        <w:rPr>
          <w:rFonts w:eastAsia="仿宋_GB2312"/>
          <w:color w:val="auto"/>
          <w:sz w:val="28"/>
        </w:rPr>
      </w:pPr>
      <w:r>
        <w:rPr>
          <w:rFonts w:eastAsia="仿宋_GB2312"/>
          <w:color w:val="auto"/>
          <w:sz w:val="28"/>
        </w:rPr>
        <w:t>接收时间：</w:t>
      </w:r>
      <w:r>
        <w:rPr>
          <w:rFonts w:hint="eastAsia" w:eastAsia="仿宋_GB2312"/>
          <w:color w:val="auto"/>
          <w:sz w:val="28"/>
        </w:rPr>
        <w:t xml:space="preserve">    </w:t>
      </w:r>
      <w:r>
        <w:rPr>
          <w:rFonts w:eastAsia="仿宋_GB2312"/>
          <w:color w:val="auto"/>
          <w:sz w:val="28"/>
        </w:rPr>
        <w:t>年</w:t>
      </w:r>
      <w:r>
        <w:rPr>
          <w:rFonts w:hint="eastAsia" w:eastAsia="仿宋_GB2312"/>
          <w:color w:val="auto"/>
          <w:sz w:val="28"/>
        </w:rPr>
        <w:t xml:space="preserve">   </w:t>
      </w:r>
      <w:r>
        <w:rPr>
          <w:rFonts w:eastAsia="仿宋_GB2312"/>
          <w:color w:val="auto"/>
          <w:sz w:val="28"/>
        </w:rPr>
        <w:t>月</w:t>
      </w:r>
      <w:r>
        <w:rPr>
          <w:rFonts w:hint="eastAsia" w:eastAsia="仿宋_GB2312"/>
          <w:color w:val="auto"/>
          <w:sz w:val="28"/>
        </w:rPr>
        <w:t xml:space="preserve">   </w:t>
      </w:r>
      <w:r>
        <w:rPr>
          <w:rFonts w:eastAsia="仿宋_GB2312"/>
          <w:color w:val="auto"/>
          <w:sz w:val="28"/>
        </w:rPr>
        <w:t>日</w:t>
      </w:r>
      <w:r>
        <w:rPr>
          <w:rFonts w:hint="eastAsia" w:eastAsia="仿宋_GB2312"/>
          <w:color w:val="auto"/>
          <w:sz w:val="28"/>
        </w:rPr>
        <w:t xml:space="preserve">  </w:t>
      </w:r>
      <w:r>
        <w:rPr>
          <w:rFonts w:eastAsia="仿宋_GB2312"/>
          <w:color w:val="auto"/>
          <w:sz w:val="28"/>
        </w:rPr>
        <w:t>时</w:t>
      </w:r>
      <w:r>
        <w:rPr>
          <w:rFonts w:hint="eastAsia" w:eastAsia="仿宋_GB2312"/>
          <w:color w:val="auto"/>
          <w:sz w:val="28"/>
        </w:rPr>
        <w:t xml:space="preserve">  </w:t>
      </w:r>
      <w:r>
        <w:rPr>
          <w:rFonts w:eastAsia="仿宋_GB2312"/>
          <w:color w:val="auto"/>
          <w:sz w:val="28"/>
        </w:rPr>
        <w:t>分。</w:t>
      </w:r>
    </w:p>
    <w:p>
      <w:pPr>
        <w:spacing w:line="540" w:lineRule="exact"/>
        <w:rPr>
          <w:rFonts w:eastAsia="仿宋_GB2312"/>
          <w:color w:val="auto"/>
          <w:sz w:val="28"/>
        </w:rPr>
      </w:pPr>
      <w:r>
        <w:rPr>
          <w:rFonts w:eastAsia="仿宋_GB2312"/>
          <w:color w:val="auto"/>
          <w:sz w:val="28"/>
        </w:rPr>
        <w:t>接收单位：</w:t>
      </w:r>
    </w:p>
    <w:p>
      <w:pPr>
        <w:spacing w:line="540" w:lineRule="exact"/>
        <w:rPr>
          <w:rFonts w:eastAsia="仿宋_GB2312"/>
          <w:color w:val="auto"/>
          <w:sz w:val="28"/>
        </w:rPr>
      </w:pPr>
      <w:r>
        <w:rPr>
          <w:rFonts w:eastAsia="仿宋_GB2312"/>
          <w:color w:val="auto"/>
          <w:sz w:val="28"/>
        </w:rPr>
        <w:t>接收人签字：</w:t>
      </w:r>
    </w:p>
    <w:p>
      <w:pPr>
        <w:pStyle w:val="2"/>
        <w:spacing w:line="240" w:lineRule="auto"/>
        <w:rPr>
          <w:rFonts w:eastAsia="仿宋_GB2312"/>
          <w:color w:val="auto"/>
          <w:sz w:val="36"/>
          <w:szCs w:val="36"/>
        </w:rPr>
      </w:pPr>
      <w:bookmarkStart w:id="83" w:name="_Toc182383997"/>
      <w:bookmarkStart w:id="84" w:name="_Toc44056911"/>
      <w:bookmarkStart w:id="85" w:name="_Toc272043515"/>
      <w:bookmarkStart w:id="86" w:name="_Toc212531040"/>
      <w:bookmarkStart w:id="87" w:name="_Toc212531177"/>
    </w:p>
    <w:p>
      <w:pPr>
        <w:pStyle w:val="2"/>
        <w:spacing w:line="240" w:lineRule="auto"/>
        <w:rPr>
          <w:rFonts w:eastAsia="仿宋_GB2312"/>
          <w:color w:val="auto"/>
          <w:sz w:val="36"/>
          <w:szCs w:val="36"/>
        </w:rPr>
      </w:pPr>
      <w:bookmarkStart w:id="88" w:name="_Toc27875"/>
      <w:r>
        <w:rPr>
          <w:rFonts w:eastAsia="仿宋_GB2312"/>
          <w:color w:val="auto"/>
          <w:sz w:val="36"/>
          <w:szCs w:val="36"/>
        </w:rPr>
        <w:t>现场竞价申请书</w:t>
      </w:r>
      <w:bookmarkEnd w:id="83"/>
      <w:bookmarkEnd w:id="84"/>
      <w:bookmarkEnd w:id="85"/>
      <w:bookmarkEnd w:id="86"/>
      <w:bookmarkEnd w:id="87"/>
      <w:bookmarkEnd w:id="88"/>
    </w:p>
    <w:p>
      <w:pPr>
        <w:rPr>
          <w:rFonts w:eastAsia="仿宋_GB2312"/>
          <w:color w:val="auto"/>
          <w:sz w:val="28"/>
        </w:rPr>
      </w:pPr>
      <w:r>
        <w:rPr>
          <w:rFonts w:hint="eastAsia" w:eastAsia="仿宋_GB2312"/>
          <w:color w:val="auto"/>
          <w:sz w:val="28"/>
        </w:rPr>
        <w:t>北京市土地整理储备中心大兴区分中心</w:t>
      </w:r>
      <w:r>
        <w:rPr>
          <w:rFonts w:eastAsia="仿宋_GB2312"/>
          <w:color w:val="auto"/>
          <w:sz w:val="28"/>
        </w:rPr>
        <w:t>：</w:t>
      </w:r>
    </w:p>
    <w:p>
      <w:pPr>
        <w:ind w:right="-108" w:firstLine="560" w:firstLineChars="200"/>
        <w:jc w:val="left"/>
        <w:rPr>
          <w:rFonts w:eastAsia="仿宋_GB2312"/>
          <w:color w:val="auto"/>
          <w:sz w:val="28"/>
        </w:rPr>
      </w:pPr>
      <w:r>
        <w:rPr>
          <w:rFonts w:eastAsia="仿宋_GB2312"/>
          <w:color w:val="auto"/>
          <w:sz w:val="28"/>
        </w:rPr>
        <w:t>我公司已于年月日取得了</w:t>
      </w:r>
      <w:r>
        <w:rPr>
          <w:rFonts w:hint="eastAsia" w:eastAsia="仿宋_GB2312"/>
          <w:color w:val="auto"/>
          <w:sz w:val="28"/>
          <w:lang w:eastAsia="zh-CN"/>
        </w:rPr>
        <w:t>北京市大兴区瀛海镇集体经营性建设用地入市试点（一期）YZ00-0803-0011地块集体经营性建设用地</w:t>
      </w:r>
      <w:r>
        <w:rPr>
          <w:rFonts w:eastAsia="仿宋_GB2312"/>
          <w:color w:val="auto"/>
          <w:sz w:val="28"/>
        </w:rPr>
        <w:t>挂牌出让的竞买资格，并于</w:t>
      </w:r>
      <w:r>
        <w:rPr>
          <w:rFonts w:hint="eastAsia" w:eastAsia="仿宋_GB2312"/>
          <w:color w:val="auto"/>
          <w:sz w:val="28"/>
          <w:u w:val="single"/>
        </w:rPr>
        <w:t xml:space="preserve">     </w:t>
      </w:r>
      <w:r>
        <w:rPr>
          <w:rFonts w:eastAsia="仿宋_GB2312"/>
          <w:color w:val="auto"/>
          <w:sz w:val="28"/>
        </w:rPr>
        <w:t>年</w:t>
      </w:r>
      <w:r>
        <w:rPr>
          <w:rFonts w:hint="eastAsia" w:eastAsia="仿宋_GB2312"/>
          <w:color w:val="auto"/>
          <w:sz w:val="28"/>
          <w:u w:val="single"/>
        </w:rPr>
        <w:t xml:space="preserve">  </w:t>
      </w:r>
      <w:r>
        <w:rPr>
          <w:rFonts w:eastAsia="仿宋_GB2312"/>
          <w:color w:val="auto"/>
          <w:sz w:val="28"/>
        </w:rPr>
        <w:t>月</w:t>
      </w:r>
      <w:r>
        <w:rPr>
          <w:rFonts w:hint="eastAsia" w:eastAsia="仿宋_GB2312"/>
          <w:color w:val="auto"/>
          <w:sz w:val="28"/>
          <w:u w:val="single"/>
        </w:rPr>
        <w:t xml:space="preserve">  </w:t>
      </w:r>
      <w:r>
        <w:rPr>
          <w:rFonts w:eastAsia="仿宋_GB2312"/>
          <w:color w:val="auto"/>
          <w:sz w:val="28"/>
        </w:rPr>
        <w:t>日参加了该宗地的竞买报价。</w:t>
      </w:r>
    </w:p>
    <w:p>
      <w:pPr>
        <w:ind w:right="-108" w:firstLine="560" w:firstLineChars="200"/>
        <w:jc w:val="left"/>
        <w:rPr>
          <w:rFonts w:eastAsia="仿宋_GB2312"/>
          <w:color w:val="auto"/>
          <w:sz w:val="28"/>
        </w:rPr>
      </w:pPr>
      <w:r>
        <w:rPr>
          <w:rFonts w:eastAsia="仿宋_GB2312"/>
          <w:color w:val="auto"/>
          <w:sz w:val="28"/>
        </w:rPr>
        <w:t>根据挂牌文件的规定，在挂牌竞价截止时仍有两个或两个以上的竞买人要求报价的，则由</w:t>
      </w:r>
      <w:r>
        <w:rPr>
          <w:rFonts w:hint="eastAsia" w:eastAsia="仿宋_GB2312"/>
          <w:color w:val="auto"/>
          <w:sz w:val="28"/>
        </w:rPr>
        <w:t>北京市土地整理储备中心大兴区分中心</w:t>
      </w:r>
      <w:r>
        <w:rPr>
          <w:rFonts w:eastAsia="仿宋_GB2312"/>
          <w:color w:val="auto"/>
          <w:sz w:val="28"/>
        </w:rPr>
        <w:t>对挂牌出让宗地组织现场竞价。为此，我公司申请参加</w:t>
      </w:r>
      <w:r>
        <w:rPr>
          <w:rFonts w:hint="eastAsia" w:eastAsia="仿宋_GB2312"/>
          <w:color w:val="auto"/>
          <w:sz w:val="28"/>
          <w:u w:val="single"/>
        </w:rPr>
        <w:t xml:space="preserve">    </w:t>
      </w:r>
      <w:r>
        <w:rPr>
          <w:rFonts w:eastAsia="仿宋_GB2312"/>
          <w:color w:val="auto"/>
          <w:sz w:val="28"/>
        </w:rPr>
        <w:t>年</w:t>
      </w:r>
      <w:r>
        <w:rPr>
          <w:rFonts w:hint="eastAsia" w:eastAsia="仿宋_GB2312"/>
          <w:color w:val="auto"/>
          <w:sz w:val="28"/>
          <w:u w:val="single"/>
        </w:rPr>
        <w:t xml:space="preserve">  </w:t>
      </w:r>
      <w:r>
        <w:rPr>
          <w:rFonts w:eastAsia="仿宋_GB2312"/>
          <w:color w:val="auto"/>
          <w:sz w:val="28"/>
        </w:rPr>
        <w:t>月</w:t>
      </w:r>
      <w:r>
        <w:rPr>
          <w:rFonts w:hint="eastAsia" w:eastAsia="仿宋_GB2312"/>
          <w:color w:val="auto"/>
          <w:sz w:val="28"/>
          <w:u w:val="single"/>
        </w:rPr>
        <w:t xml:space="preserve">  </w:t>
      </w:r>
      <w:r>
        <w:rPr>
          <w:rFonts w:eastAsia="仿宋_GB2312"/>
          <w:color w:val="auto"/>
          <w:sz w:val="28"/>
        </w:rPr>
        <w:t>日</w:t>
      </w:r>
      <w:r>
        <w:rPr>
          <w:rFonts w:hint="eastAsia" w:eastAsia="仿宋_GB2312"/>
          <w:color w:val="auto"/>
          <w:sz w:val="28"/>
          <w:u w:val="single"/>
        </w:rPr>
        <w:t xml:space="preserve">  </w:t>
      </w:r>
      <w:r>
        <w:rPr>
          <w:rFonts w:eastAsia="仿宋_GB2312"/>
          <w:color w:val="auto"/>
          <w:sz w:val="28"/>
        </w:rPr>
        <w:t>时</w:t>
      </w:r>
      <w:r>
        <w:rPr>
          <w:rFonts w:hint="eastAsia" w:eastAsia="仿宋_GB2312"/>
          <w:color w:val="auto"/>
          <w:sz w:val="28"/>
        </w:rPr>
        <w:t>分</w:t>
      </w:r>
      <w:r>
        <w:rPr>
          <w:rFonts w:hint="eastAsia" w:eastAsia="仿宋_GB2312"/>
          <w:color w:val="auto"/>
          <w:sz w:val="28"/>
          <w:u w:val="single"/>
        </w:rPr>
        <w:t xml:space="preserve">  </w:t>
      </w:r>
      <w:r>
        <w:rPr>
          <w:rFonts w:eastAsia="仿宋_GB2312"/>
          <w:color w:val="auto"/>
          <w:sz w:val="28"/>
        </w:rPr>
        <w:t>分，在</w:t>
      </w:r>
      <w:r>
        <w:rPr>
          <w:rFonts w:hint="eastAsia" w:eastAsia="仿宋_GB2312"/>
          <w:color w:val="auto"/>
          <w:sz w:val="28"/>
        </w:rPr>
        <w:t>北京市大兴区金华寺东路1号</w:t>
      </w:r>
      <w:r>
        <w:rPr>
          <w:rFonts w:eastAsia="仿宋_GB2312"/>
          <w:color w:val="auto"/>
          <w:sz w:val="28"/>
        </w:rPr>
        <w:t>北京市土地交易市场大兴分市场拍卖厅举行的北京市</w:t>
      </w:r>
      <w:r>
        <w:rPr>
          <w:rFonts w:hint="eastAsia" w:eastAsia="仿宋_GB2312"/>
          <w:color w:val="auto"/>
          <w:sz w:val="28"/>
        </w:rPr>
        <w:t>大兴</w:t>
      </w:r>
      <w:r>
        <w:rPr>
          <w:rFonts w:eastAsia="仿宋_GB2312"/>
          <w:color w:val="auto"/>
          <w:sz w:val="28"/>
        </w:rPr>
        <w:t>区集体经营性建设用地使用权挂牌出让的现场竞价。</w:t>
      </w:r>
    </w:p>
    <w:p>
      <w:pPr>
        <w:ind w:firstLine="525"/>
        <w:rPr>
          <w:rFonts w:eastAsia="仿宋_GB2312"/>
          <w:color w:val="auto"/>
          <w:sz w:val="28"/>
        </w:rPr>
      </w:pPr>
      <w:r>
        <w:rPr>
          <w:rFonts w:eastAsia="仿宋_GB2312"/>
          <w:color w:val="auto"/>
          <w:sz w:val="28"/>
        </w:rPr>
        <w:t>如我单位竞得，我们将继续履行我单位已递交《竞买申请书》中的所有承诺。</w:t>
      </w:r>
    </w:p>
    <w:p>
      <w:pPr>
        <w:ind w:firstLine="525"/>
        <w:rPr>
          <w:rFonts w:eastAsia="仿宋_GB2312"/>
          <w:color w:val="auto"/>
          <w:sz w:val="28"/>
        </w:rPr>
      </w:pPr>
    </w:p>
    <w:p>
      <w:pPr>
        <w:rPr>
          <w:rFonts w:eastAsia="仿宋_GB2312"/>
          <w:bCs/>
          <w:color w:val="auto"/>
          <w:sz w:val="28"/>
          <w:u w:val="single"/>
        </w:rPr>
      </w:pPr>
      <w:r>
        <w:rPr>
          <w:rFonts w:eastAsia="仿宋_GB2312"/>
          <w:bCs/>
          <w:color w:val="auto"/>
          <w:sz w:val="28"/>
        </w:rPr>
        <w:t>竞买人盖章（单位）：</w:t>
      </w:r>
    </w:p>
    <w:p>
      <w:pPr>
        <w:ind w:right="4"/>
        <w:rPr>
          <w:rFonts w:eastAsia="仿宋_GB2312"/>
          <w:bCs/>
          <w:color w:val="auto"/>
          <w:sz w:val="28"/>
        </w:rPr>
      </w:pPr>
      <w:r>
        <w:rPr>
          <w:rFonts w:eastAsia="仿宋_GB2312"/>
          <w:bCs/>
          <w:color w:val="auto"/>
          <w:sz w:val="28"/>
        </w:rPr>
        <w:t>法定代表人签名（或委托代理人）：</w:t>
      </w:r>
    </w:p>
    <w:p>
      <w:pPr>
        <w:rPr>
          <w:rFonts w:eastAsia="仿宋_GB2312"/>
          <w:bCs/>
          <w:color w:val="auto"/>
          <w:sz w:val="28"/>
          <w:u w:val="single"/>
        </w:rPr>
      </w:pPr>
    </w:p>
    <w:p>
      <w:pPr>
        <w:rPr>
          <w:rFonts w:eastAsia="仿宋_GB2312"/>
          <w:bCs/>
          <w:color w:val="auto"/>
          <w:sz w:val="28"/>
        </w:rPr>
      </w:pPr>
      <w:r>
        <w:rPr>
          <w:rFonts w:eastAsia="仿宋_GB2312"/>
          <w:bCs/>
          <w:color w:val="auto"/>
          <w:sz w:val="28"/>
        </w:rPr>
        <w:t>申请书填写日期：</w:t>
      </w:r>
      <w:r>
        <w:rPr>
          <w:rFonts w:hint="eastAsia" w:eastAsia="仿宋_GB2312"/>
          <w:bCs/>
          <w:color w:val="auto"/>
          <w:sz w:val="28"/>
        </w:rPr>
        <w:t xml:space="preserve">  </w:t>
      </w:r>
      <w:r>
        <w:rPr>
          <w:rFonts w:eastAsia="仿宋_GB2312"/>
          <w:bCs/>
          <w:color w:val="auto"/>
          <w:sz w:val="28"/>
        </w:rPr>
        <w:t>年</w:t>
      </w:r>
      <w:r>
        <w:rPr>
          <w:rFonts w:hint="eastAsia" w:eastAsia="仿宋_GB2312"/>
          <w:bCs/>
          <w:color w:val="auto"/>
          <w:sz w:val="28"/>
        </w:rPr>
        <w:t xml:space="preserve">  </w:t>
      </w:r>
      <w:r>
        <w:rPr>
          <w:rFonts w:eastAsia="仿宋_GB2312"/>
          <w:bCs/>
          <w:color w:val="auto"/>
          <w:sz w:val="28"/>
        </w:rPr>
        <w:t>月</w:t>
      </w:r>
      <w:r>
        <w:rPr>
          <w:rFonts w:hint="eastAsia" w:eastAsia="仿宋_GB2312"/>
          <w:bCs/>
          <w:color w:val="auto"/>
          <w:sz w:val="28"/>
        </w:rPr>
        <w:t xml:space="preserve">  </w:t>
      </w:r>
      <w:r>
        <w:rPr>
          <w:rFonts w:eastAsia="仿宋_GB2312"/>
          <w:bCs/>
          <w:color w:val="auto"/>
          <w:sz w:val="28"/>
        </w:rPr>
        <w:t>日</w:t>
      </w:r>
    </w:p>
    <w:p>
      <w:pPr>
        <w:rPr>
          <w:rFonts w:eastAsia="仿宋_GB2312"/>
          <w:bCs/>
          <w:color w:val="auto"/>
          <w:sz w:val="28"/>
        </w:rPr>
      </w:pPr>
    </w:p>
    <w:p>
      <w:pPr>
        <w:rPr>
          <w:rFonts w:eastAsia="仿宋_GB2312"/>
          <w:bCs/>
          <w:color w:val="auto"/>
          <w:sz w:val="28"/>
        </w:rPr>
      </w:pPr>
    </w:p>
    <w:p>
      <w:pPr>
        <w:pStyle w:val="2"/>
        <w:spacing w:line="520" w:lineRule="exact"/>
        <w:rPr>
          <w:rFonts w:ascii="宋体" w:hAnsi="宋体"/>
          <w:color w:val="auto"/>
          <w:sz w:val="36"/>
          <w:szCs w:val="36"/>
        </w:rPr>
      </w:pPr>
      <w:bookmarkStart w:id="89" w:name="_Toc294615449"/>
      <w:bookmarkStart w:id="90" w:name="_Toc381091135"/>
      <w:bookmarkStart w:id="91" w:name="_Toc416876839"/>
      <w:bookmarkStart w:id="92" w:name="_Toc419906532"/>
      <w:bookmarkStart w:id="93" w:name="_Toc419380860"/>
      <w:bookmarkStart w:id="94" w:name="_Toc420338798"/>
      <w:bookmarkStart w:id="95" w:name="_Toc416964876"/>
      <w:bookmarkStart w:id="96" w:name="_Toc419906663"/>
      <w:bookmarkStart w:id="97" w:name="_Toc381091354"/>
      <w:bookmarkStart w:id="98" w:name="_Toc272841198"/>
      <w:bookmarkStart w:id="99" w:name="_Toc244316399"/>
      <w:bookmarkStart w:id="100" w:name="_Toc212531042"/>
      <w:bookmarkStart w:id="101" w:name="_Toc270084882"/>
      <w:bookmarkStart w:id="102" w:name="_Toc272043519"/>
      <w:bookmarkStart w:id="103" w:name="_Toc182383999"/>
      <w:bookmarkStart w:id="104" w:name="_Toc212531179"/>
    </w:p>
    <w:p>
      <w:pPr>
        <w:pStyle w:val="2"/>
        <w:spacing w:line="520" w:lineRule="exact"/>
        <w:rPr>
          <w:rFonts w:ascii="宋体" w:hAnsi="宋体"/>
          <w:color w:val="auto"/>
          <w:sz w:val="36"/>
          <w:szCs w:val="36"/>
        </w:rPr>
      </w:pPr>
      <w:bookmarkStart w:id="105" w:name="_Toc16047"/>
      <w:r>
        <w:rPr>
          <w:rFonts w:ascii="宋体" w:hAnsi="宋体"/>
          <w:color w:val="auto"/>
          <w:sz w:val="36"/>
          <w:szCs w:val="36"/>
        </w:rPr>
        <w:t>北京市集体经营性建设用地使用权挂牌出让</w:t>
      </w:r>
      <w:bookmarkEnd w:id="89"/>
      <w:bookmarkEnd w:id="90"/>
      <w:bookmarkEnd w:id="91"/>
      <w:bookmarkEnd w:id="92"/>
      <w:bookmarkEnd w:id="93"/>
      <w:bookmarkEnd w:id="94"/>
      <w:bookmarkEnd w:id="95"/>
      <w:bookmarkEnd w:id="96"/>
      <w:bookmarkEnd w:id="97"/>
      <w:bookmarkEnd w:id="105"/>
    </w:p>
    <w:p>
      <w:pPr>
        <w:pStyle w:val="2"/>
        <w:spacing w:line="520" w:lineRule="exact"/>
        <w:rPr>
          <w:rFonts w:eastAsia="仿宋_GB2312"/>
          <w:color w:val="auto"/>
          <w:sz w:val="36"/>
          <w:szCs w:val="36"/>
        </w:rPr>
      </w:pPr>
      <w:bookmarkStart w:id="106" w:name="_Toc294615450"/>
      <w:bookmarkStart w:id="107" w:name="_Toc22979"/>
      <w:bookmarkStart w:id="108" w:name="_Toc272043518"/>
      <w:r>
        <w:rPr>
          <w:rFonts w:ascii="宋体" w:hAnsi="宋体"/>
          <w:color w:val="auto"/>
          <w:sz w:val="36"/>
          <w:szCs w:val="36"/>
        </w:rPr>
        <w:t>现场报价确认书</w:t>
      </w:r>
      <w:bookmarkEnd w:id="106"/>
      <w:bookmarkEnd w:id="107"/>
      <w:bookmarkEnd w:id="108"/>
    </w:p>
    <w:p>
      <w:pPr>
        <w:spacing w:line="520" w:lineRule="exact"/>
        <w:jc w:val="left"/>
        <w:rPr>
          <w:rFonts w:eastAsia="仿宋_GB2312"/>
          <w:color w:val="auto"/>
          <w:sz w:val="28"/>
        </w:rPr>
      </w:pPr>
      <w:r>
        <w:rPr>
          <w:rFonts w:eastAsia="黑体"/>
          <w:b/>
          <w:bCs/>
          <w:color w:val="auto"/>
          <w:sz w:val="28"/>
        </w:rPr>
        <w:t>时间：</w:t>
      </w:r>
      <w:r>
        <w:rPr>
          <w:rFonts w:hint="eastAsia" w:eastAsia="黑体"/>
          <w:b/>
          <w:bCs/>
          <w:color w:val="auto"/>
          <w:sz w:val="28"/>
        </w:rPr>
        <w:t xml:space="preserve">   </w:t>
      </w:r>
      <w:r>
        <w:rPr>
          <w:rFonts w:eastAsia="仿宋_GB2312"/>
          <w:color w:val="auto"/>
          <w:sz w:val="28"/>
        </w:rPr>
        <w:t>年</w:t>
      </w:r>
      <w:r>
        <w:rPr>
          <w:rFonts w:hint="eastAsia" w:eastAsia="仿宋_GB2312"/>
          <w:color w:val="auto"/>
          <w:sz w:val="28"/>
        </w:rPr>
        <w:t xml:space="preserve">  </w:t>
      </w:r>
      <w:r>
        <w:rPr>
          <w:rFonts w:eastAsia="仿宋_GB2312"/>
          <w:color w:val="auto"/>
          <w:sz w:val="28"/>
        </w:rPr>
        <w:t>月</w:t>
      </w:r>
      <w:r>
        <w:rPr>
          <w:rFonts w:hint="eastAsia" w:eastAsia="仿宋_GB2312"/>
          <w:color w:val="auto"/>
          <w:sz w:val="28"/>
        </w:rPr>
        <w:t xml:space="preserve">  </w:t>
      </w:r>
      <w:r>
        <w:rPr>
          <w:rFonts w:eastAsia="仿宋_GB2312"/>
          <w:color w:val="auto"/>
          <w:sz w:val="28"/>
        </w:rPr>
        <w:t>日</w:t>
      </w:r>
      <w:r>
        <w:rPr>
          <w:rFonts w:hint="eastAsia" w:eastAsia="仿宋_GB2312"/>
          <w:color w:val="auto"/>
          <w:sz w:val="28"/>
        </w:rPr>
        <w:t xml:space="preserve">  </w:t>
      </w:r>
      <w:r>
        <w:rPr>
          <w:rFonts w:eastAsia="仿宋_GB2312"/>
          <w:color w:val="auto"/>
          <w:sz w:val="28"/>
        </w:rPr>
        <w:t>时</w:t>
      </w:r>
      <w:r>
        <w:rPr>
          <w:rFonts w:hint="eastAsia" w:eastAsia="仿宋_GB2312"/>
          <w:color w:val="auto"/>
          <w:sz w:val="28"/>
        </w:rPr>
        <w:t xml:space="preserve">  </w:t>
      </w:r>
      <w:r>
        <w:rPr>
          <w:rFonts w:eastAsia="仿宋_GB2312"/>
          <w:color w:val="auto"/>
          <w:sz w:val="28"/>
        </w:rPr>
        <w:t>分。</w:t>
      </w:r>
    </w:p>
    <w:p>
      <w:pPr>
        <w:spacing w:line="520" w:lineRule="exact"/>
        <w:ind w:right="-108"/>
        <w:jc w:val="left"/>
        <w:rPr>
          <w:rFonts w:eastAsia="黑体"/>
          <w:b/>
          <w:bCs/>
          <w:color w:val="auto"/>
          <w:sz w:val="28"/>
        </w:rPr>
      </w:pPr>
      <w:r>
        <w:rPr>
          <w:rFonts w:eastAsia="黑体"/>
          <w:b/>
          <w:bCs/>
          <w:color w:val="auto"/>
          <w:sz w:val="28"/>
        </w:rPr>
        <w:t>地点：</w:t>
      </w:r>
      <w:r>
        <w:rPr>
          <w:rFonts w:hint="eastAsia" w:eastAsia="仿宋_GB2312"/>
          <w:color w:val="auto"/>
          <w:sz w:val="28"/>
        </w:rPr>
        <w:t>北京市大兴区金华寺东路1号</w:t>
      </w:r>
      <w:r>
        <w:rPr>
          <w:rFonts w:eastAsia="仿宋_GB2312"/>
          <w:color w:val="auto"/>
          <w:sz w:val="28"/>
        </w:rPr>
        <w:t>北京市土地交易市场大兴分市场拍卖厅</w:t>
      </w:r>
    </w:p>
    <w:p>
      <w:pPr>
        <w:spacing w:line="520" w:lineRule="exact"/>
        <w:jc w:val="left"/>
        <w:rPr>
          <w:rFonts w:eastAsia="黑体"/>
          <w:b/>
          <w:bCs/>
          <w:color w:val="auto"/>
          <w:sz w:val="28"/>
        </w:rPr>
      </w:pPr>
      <w:r>
        <w:rPr>
          <w:rFonts w:eastAsia="黑体"/>
          <w:b/>
          <w:bCs/>
          <w:color w:val="auto"/>
          <w:sz w:val="28"/>
        </w:rPr>
        <w:t>出让宗地情况：</w:t>
      </w:r>
    </w:p>
    <w:p>
      <w:pPr>
        <w:tabs>
          <w:tab w:val="left" w:pos="792"/>
        </w:tabs>
        <w:spacing w:line="520" w:lineRule="exact"/>
        <w:ind w:left="1"/>
        <w:rPr>
          <w:rFonts w:hint="eastAsia" w:eastAsia="仿宋_GB2312"/>
          <w:color w:val="auto"/>
          <w:sz w:val="28"/>
          <w:lang w:eastAsia="zh-CN"/>
        </w:rPr>
      </w:pPr>
      <w:r>
        <w:rPr>
          <w:rFonts w:eastAsia="仿宋_GB2312"/>
          <w:b/>
          <w:bCs/>
          <w:color w:val="auto"/>
          <w:sz w:val="28"/>
        </w:rPr>
        <w:t>名称:</w:t>
      </w:r>
      <w:r>
        <w:rPr>
          <w:rFonts w:hint="eastAsia" w:eastAsia="仿宋_GB2312"/>
          <w:color w:val="auto"/>
          <w:sz w:val="28"/>
          <w:lang w:eastAsia="zh-CN"/>
        </w:rPr>
        <w:t>北京市大兴区瀛海镇集体经营性建设用地入市试点（一期）YZ00-0803-0011地块</w:t>
      </w:r>
    </w:p>
    <w:p>
      <w:pPr>
        <w:tabs>
          <w:tab w:val="left" w:pos="792"/>
        </w:tabs>
        <w:spacing w:line="520" w:lineRule="exact"/>
        <w:ind w:left="1"/>
        <w:rPr>
          <w:rFonts w:hint="eastAsia" w:eastAsia="仿宋_GB2312"/>
          <w:color w:val="auto"/>
          <w:sz w:val="28"/>
          <w:highlight w:val="yellow"/>
          <w:lang w:eastAsia="zh-CN"/>
        </w:rPr>
      </w:pPr>
      <w:r>
        <w:rPr>
          <w:rFonts w:eastAsia="仿宋_GB2312"/>
          <w:b/>
          <w:bCs/>
          <w:color w:val="auto"/>
          <w:sz w:val="28"/>
        </w:rPr>
        <w:t>挂牌文件编号</w:t>
      </w:r>
      <w:r>
        <w:rPr>
          <w:rFonts w:eastAsia="仿宋_GB2312"/>
          <w:color w:val="auto"/>
          <w:sz w:val="28"/>
        </w:rPr>
        <w:t>：</w:t>
      </w:r>
      <w:r>
        <w:rPr>
          <w:rFonts w:hint="eastAsia" w:eastAsia="仿宋_GB2312"/>
          <w:color w:val="auto"/>
          <w:sz w:val="28"/>
          <w:lang w:eastAsia="zh-CN"/>
        </w:rPr>
        <w:t>京土集使挂（兴）[2018]001号</w:t>
      </w:r>
    </w:p>
    <w:p>
      <w:pPr>
        <w:spacing w:line="520" w:lineRule="exact"/>
        <w:jc w:val="left"/>
        <w:rPr>
          <w:rFonts w:eastAsia="仿宋_GB2312"/>
          <w:color w:val="auto"/>
          <w:sz w:val="28"/>
          <w:szCs w:val="28"/>
        </w:rPr>
      </w:pPr>
      <w:r>
        <w:rPr>
          <w:rFonts w:eastAsia="仿宋_GB2312"/>
          <w:b/>
          <w:bCs/>
          <w:color w:val="auto"/>
          <w:sz w:val="28"/>
        </w:rPr>
        <w:t>土地用途</w:t>
      </w:r>
      <w:r>
        <w:rPr>
          <w:rFonts w:eastAsia="仿宋_GB2312"/>
          <w:color w:val="auto"/>
          <w:sz w:val="28"/>
        </w:rPr>
        <w:t>：</w:t>
      </w:r>
      <w:r>
        <w:rPr>
          <w:rFonts w:hint="eastAsia" w:eastAsia="仿宋_GB2312"/>
          <w:color w:val="auto"/>
          <w:sz w:val="28"/>
        </w:rPr>
        <w:t>F81</w:t>
      </w:r>
      <w:r>
        <w:rPr>
          <w:rFonts w:hint="eastAsia" w:eastAsia="仿宋_GB2312"/>
          <w:color w:val="auto"/>
          <w:sz w:val="28"/>
          <w:szCs w:val="28"/>
        </w:rPr>
        <w:t>绿隔产业用地</w:t>
      </w:r>
    </w:p>
    <w:p>
      <w:pPr>
        <w:spacing w:line="520" w:lineRule="exact"/>
        <w:jc w:val="left"/>
        <w:rPr>
          <w:rFonts w:eastAsia="仿宋_GB2312"/>
          <w:color w:val="auto"/>
          <w:sz w:val="28"/>
        </w:rPr>
      </w:pPr>
      <w:r>
        <w:rPr>
          <w:rFonts w:eastAsia="仿宋_GB2312"/>
          <w:b/>
          <w:bCs/>
          <w:color w:val="auto"/>
          <w:sz w:val="28"/>
        </w:rPr>
        <w:t>规划建设用地面积</w:t>
      </w:r>
      <w:r>
        <w:rPr>
          <w:rFonts w:eastAsia="仿宋_GB2312"/>
          <w:color w:val="auto"/>
          <w:sz w:val="28"/>
        </w:rPr>
        <w:t>：</w:t>
      </w:r>
      <w:r>
        <w:rPr>
          <w:rFonts w:hint="eastAsia" w:eastAsia="仿宋_GB2312"/>
          <w:color w:val="auto"/>
          <w:sz w:val="28"/>
          <w:lang w:eastAsia="zh-CN"/>
        </w:rPr>
        <w:t>39972.524</w:t>
      </w:r>
      <w:r>
        <w:rPr>
          <w:rFonts w:eastAsia="仿宋_GB2312"/>
          <w:color w:val="auto"/>
          <w:sz w:val="28"/>
        </w:rPr>
        <w:t>平方米</w:t>
      </w:r>
    </w:p>
    <w:p>
      <w:pPr>
        <w:spacing w:line="520" w:lineRule="exact"/>
        <w:ind w:left="1"/>
        <w:jc w:val="left"/>
        <w:rPr>
          <w:rFonts w:eastAsia="仿宋_GB2312"/>
          <w:color w:val="auto"/>
          <w:sz w:val="28"/>
        </w:rPr>
      </w:pPr>
      <w:r>
        <w:rPr>
          <w:rFonts w:eastAsia="仿宋_GB2312"/>
          <w:b/>
          <w:bCs/>
          <w:color w:val="auto"/>
          <w:sz w:val="28"/>
        </w:rPr>
        <w:t>规划总建筑面积：</w:t>
      </w:r>
      <w:r>
        <w:rPr>
          <w:rFonts w:hint="eastAsia" w:eastAsia="仿宋_GB2312"/>
          <w:color w:val="auto"/>
          <w:sz w:val="28"/>
          <w:lang w:eastAsia="zh-CN"/>
        </w:rPr>
        <w:t>95934</w:t>
      </w:r>
      <w:r>
        <w:rPr>
          <w:rFonts w:eastAsia="仿宋_GB2312"/>
          <w:color w:val="auto"/>
          <w:sz w:val="28"/>
        </w:rPr>
        <w:t>平方米</w:t>
      </w:r>
    </w:p>
    <w:p>
      <w:pPr>
        <w:spacing w:line="520" w:lineRule="exact"/>
        <w:ind w:left="1"/>
        <w:jc w:val="left"/>
        <w:rPr>
          <w:rFonts w:eastAsia="仿宋_GB2312"/>
          <w:color w:val="auto"/>
          <w:sz w:val="28"/>
        </w:rPr>
      </w:pPr>
      <w:r>
        <w:rPr>
          <w:rFonts w:eastAsia="仿宋_GB2312"/>
          <w:color w:val="auto"/>
          <w:sz w:val="28"/>
        </w:rPr>
        <w:t>我公司参加上述宗地“</w:t>
      </w:r>
      <w:r>
        <w:rPr>
          <w:rFonts w:eastAsia="黑体"/>
          <w:color w:val="auto"/>
          <w:sz w:val="28"/>
        </w:rPr>
        <w:t>现场竞价”</w:t>
      </w:r>
      <w:r>
        <w:rPr>
          <w:rFonts w:eastAsia="仿宋_GB2312"/>
          <w:color w:val="auto"/>
          <w:sz w:val="28"/>
        </w:rPr>
        <w:t>的报价金额</w:t>
      </w:r>
      <w:r>
        <w:rPr>
          <w:rFonts w:hint="eastAsia" w:eastAsia="仿宋_GB2312"/>
          <w:color w:val="auto"/>
          <w:sz w:val="28"/>
        </w:rPr>
        <w:t>为</w:t>
      </w:r>
      <w:r>
        <w:rPr>
          <w:rFonts w:eastAsia="仿宋_GB2312"/>
          <w:color w:val="auto"/>
          <w:sz w:val="28"/>
        </w:rPr>
        <w:t>：</w:t>
      </w:r>
    </w:p>
    <w:p>
      <w:pPr>
        <w:spacing w:line="520" w:lineRule="exact"/>
        <w:ind w:left="420" w:leftChars="200" w:firstLine="140" w:firstLineChars="50"/>
        <w:jc w:val="left"/>
        <w:rPr>
          <w:rFonts w:eastAsia="仿宋_GB2312"/>
          <w:color w:val="auto"/>
          <w:sz w:val="28"/>
        </w:rPr>
      </w:pPr>
      <w:r>
        <w:rPr>
          <w:rFonts w:eastAsia="仿宋_GB2312"/>
          <w:color w:val="auto"/>
          <w:sz w:val="28"/>
        </w:rPr>
        <w:t>人民币：</w:t>
      </w:r>
      <w:r>
        <w:rPr>
          <w:rFonts w:hint="eastAsia" w:eastAsia="仿宋_GB2312"/>
          <w:color w:val="auto"/>
          <w:sz w:val="28"/>
          <w:u w:val="single"/>
        </w:rPr>
        <w:t xml:space="preserve">    </w:t>
      </w:r>
      <w:r>
        <w:rPr>
          <w:rFonts w:eastAsia="仿宋_GB2312"/>
          <w:color w:val="auto"/>
          <w:sz w:val="28"/>
        </w:rPr>
        <w:t>亿</w:t>
      </w:r>
      <w:r>
        <w:rPr>
          <w:rFonts w:hint="eastAsia" w:eastAsia="仿宋_GB2312"/>
          <w:color w:val="auto"/>
          <w:sz w:val="28"/>
          <w:u w:val="single"/>
        </w:rPr>
        <w:t xml:space="preserve">   </w:t>
      </w:r>
      <w:r>
        <w:rPr>
          <w:rFonts w:eastAsia="仿宋_GB2312"/>
          <w:color w:val="auto"/>
          <w:sz w:val="28"/>
        </w:rPr>
        <w:t>仟</w:t>
      </w:r>
      <w:r>
        <w:rPr>
          <w:rFonts w:hint="eastAsia" w:eastAsia="仿宋_GB2312"/>
          <w:color w:val="auto"/>
          <w:sz w:val="28"/>
          <w:u w:val="single"/>
        </w:rPr>
        <w:t xml:space="preserve">   </w:t>
      </w:r>
      <w:r>
        <w:rPr>
          <w:rFonts w:eastAsia="仿宋_GB2312"/>
          <w:color w:val="auto"/>
          <w:sz w:val="28"/>
        </w:rPr>
        <w:t>佰</w:t>
      </w:r>
      <w:r>
        <w:rPr>
          <w:rFonts w:hint="eastAsia" w:eastAsia="仿宋_GB2312"/>
          <w:color w:val="auto"/>
          <w:sz w:val="28"/>
          <w:u w:val="single"/>
        </w:rPr>
        <w:t xml:space="preserve">   </w:t>
      </w:r>
      <w:r>
        <w:rPr>
          <w:rFonts w:eastAsia="仿宋_GB2312"/>
          <w:color w:val="auto"/>
          <w:sz w:val="28"/>
        </w:rPr>
        <w:t>拾</w:t>
      </w:r>
      <w:r>
        <w:rPr>
          <w:rFonts w:hint="eastAsia" w:eastAsia="仿宋_GB2312"/>
          <w:color w:val="auto"/>
          <w:sz w:val="28"/>
          <w:u w:val="single"/>
        </w:rPr>
        <w:t xml:space="preserve">   </w:t>
      </w:r>
      <w:r>
        <w:rPr>
          <w:rFonts w:eastAsia="仿宋_GB2312"/>
          <w:color w:val="auto"/>
          <w:sz w:val="28"/>
        </w:rPr>
        <w:t>万</w:t>
      </w:r>
      <w:r>
        <w:rPr>
          <w:rFonts w:hint="eastAsia" w:eastAsia="仿宋_GB2312"/>
          <w:color w:val="auto"/>
          <w:sz w:val="28"/>
          <w:u w:val="single"/>
        </w:rPr>
        <w:t xml:space="preserve">   </w:t>
      </w:r>
      <w:r>
        <w:rPr>
          <w:rFonts w:eastAsia="仿宋_GB2312"/>
          <w:color w:val="auto"/>
          <w:sz w:val="28"/>
        </w:rPr>
        <w:t>仟</w:t>
      </w:r>
      <w:r>
        <w:rPr>
          <w:rFonts w:hint="eastAsia" w:eastAsia="仿宋_GB2312"/>
          <w:color w:val="auto"/>
          <w:sz w:val="28"/>
          <w:u w:val="single"/>
        </w:rPr>
        <w:t xml:space="preserve">   </w:t>
      </w:r>
      <w:r>
        <w:rPr>
          <w:rFonts w:eastAsia="仿宋_GB2312"/>
          <w:color w:val="auto"/>
          <w:sz w:val="28"/>
        </w:rPr>
        <w:t>佰</w:t>
      </w:r>
      <w:r>
        <w:rPr>
          <w:rFonts w:hint="eastAsia" w:eastAsia="仿宋_GB2312"/>
          <w:color w:val="auto"/>
          <w:sz w:val="28"/>
          <w:u w:val="single"/>
        </w:rPr>
        <w:t xml:space="preserve">   </w:t>
      </w:r>
      <w:r>
        <w:rPr>
          <w:rFonts w:eastAsia="仿宋_GB2312"/>
          <w:color w:val="auto"/>
          <w:sz w:val="28"/>
        </w:rPr>
        <w:t>拾</w:t>
      </w:r>
      <w:r>
        <w:rPr>
          <w:rFonts w:hint="eastAsia" w:eastAsia="仿宋_GB2312"/>
          <w:color w:val="auto"/>
          <w:sz w:val="28"/>
          <w:u w:val="single"/>
        </w:rPr>
        <w:t xml:space="preserve">   </w:t>
      </w:r>
      <w:r>
        <w:rPr>
          <w:rFonts w:eastAsia="仿宋_GB2312"/>
          <w:color w:val="auto"/>
          <w:sz w:val="28"/>
        </w:rPr>
        <w:t>元整（小写￥：</w:t>
      </w:r>
      <w:r>
        <w:rPr>
          <w:rFonts w:hint="eastAsia" w:eastAsia="仿宋_GB2312"/>
          <w:color w:val="auto"/>
          <w:sz w:val="28"/>
          <w:u w:val="single"/>
        </w:rPr>
        <w:t xml:space="preserve">        </w:t>
      </w:r>
      <w:r>
        <w:rPr>
          <w:rFonts w:eastAsia="仿宋_GB2312"/>
          <w:color w:val="auto"/>
          <w:sz w:val="28"/>
        </w:rPr>
        <w:t>万元）</w:t>
      </w:r>
    </w:p>
    <w:p>
      <w:pPr>
        <w:tabs>
          <w:tab w:val="left" w:pos="720"/>
        </w:tabs>
        <w:spacing w:line="520" w:lineRule="exact"/>
        <w:ind w:firstLine="560" w:firstLineChars="200"/>
        <w:rPr>
          <w:rFonts w:eastAsia="仿宋_GB2312"/>
          <w:color w:val="auto"/>
          <w:sz w:val="28"/>
        </w:rPr>
      </w:pPr>
      <w:r>
        <w:rPr>
          <w:rFonts w:eastAsia="仿宋_GB2312"/>
          <w:color w:val="auto"/>
          <w:sz w:val="28"/>
        </w:rPr>
        <w:t>如我公司竞得上述宗地，我公司同意按上述金额及该宗地挂牌文件的有关规定，签订《集体经营性建设用地使用权出让合同》。</w:t>
      </w:r>
    </w:p>
    <w:p>
      <w:pPr>
        <w:pStyle w:val="10"/>
        <w:spacing w:line="520" w:lineRule="exact"/>
        <w:ind w:firstLine="560" w:firstLineChars="200"/>
        <w:rPr>
          <w:rFonts w:ascii="Times New Roman"/>
          <w:color w:val="auto"/>
          <w:sz w:val="28"/>
        </w:rPr>
      </w:pPr>
      <w:r>
        <w:rPr>
          <w:rFonts w:ascii="Times New Roman"/>
          <w:color w:val="auto"/>
          <w:sz w:val="28"/>
        </w:rPr>
        <w:t>本确认书一式</w:t>
      </w:r>
      <w:r>
        <w:rPr>
          <w:rFonts w:hint="eastAsia" w:ascii="Times New Roman"/>
          <w:color w:val="auto"/>
          <w:sz w:val="28"/>
        </w:rPr>
        <w:t>叁</w:t>
      </w:r>
      <w:r>
        <w:rPr>
          <w:rFonts w:ascii="Times New Roman"/>
          <w:color w:val="auto"/>
          <w:sz w:val="28"/>
        </w:rPr>
        <w:t>份，由我公司与</w:t>
      </w:r>
      <w:r>
        <w:rPr>
          <w:rFonts w:hint="eastAsia" w:ascii="Times New Roman"/>
          <w:color w:val="auto"/>
          <w:sz w:val="28"/>
        </w:rPr>
        <w:t>北京市土地整理储备中心大兴区分中心、</w:t>
      </w:r>
      <w:r>
        <w:rPr>
          <w:rFonts w:hint="eastAsia" w:ascii="Times New Roman"/>
          <w:color w:val="auto"/>
          <w:sz w:val="28"/>
          <w:lang w:eastAsia="zh-CN"/>
        </w:rPr>
        <w:t>北京汇瀛恒业有限公司</w:t>
      </w:r>
      <w:r>
        <w:rPr>
          <w:rFonts w:ascii="Times New Roman"/>
          <w:color w:val="auto"/>
          <w:sz w:val="28"/>
        </w:rPr>
        <w:t>各持一份。</w:t>
      </w:r>
    </w:p>
    <w:p>
      <w:pPr>
        <w:spacing w:line="520" w:lineRule="exact"/>
        <w:rPr>
          <w:rFonts w:eastAsia="仿宋_GB2312"/>
          <w:color w:val="auto"/>
          <w:sz w:val="28"/>
        </w:rPr>
      </w:pPr>
      <w:r>
        <w:rPr>
          <w:rFonts w:eastAsia="仿宋_GB2312"/>
          <w:color w:val="auto"/>
          <w:sz w:val="28"/>
        </w:rPr>
        <w:t>单位名称（盖章）：</w:t>
      </w:r>
    </w:p>
    <w:p>
      <w:pPr>
        <w:spacing w:line="520" w:lineRule="exact"/>
        <w:rPr>
          <w:rFonts w:eastAsia="仿宋_GB2312"/>
          <w:color w:val="auto"/>
          <w:sz w:val="28"/>
        </w:rPr>
      </w:pPr>
      <w:r>
        <w:rPr>
          <w:rFonts w:eastAsia="仿宋_GB2312"/>
          <w:color w:val="auto"/>
          <w:sz w:val="28"/>
        </w:rPr>
        <w:t>法定代表人（或代理人）：</w:t>
      </w:r>
    </w:p>
    <w:p>
      <w:pPr>
        <w:spacing w:line="520" w:lineRule="exact"/>
        <w:ind w:firstLine="5740" w:firstLineChars="2050"/>
        <w:rPr>
          <w:rFonts w:eastAsia="仿宋_GB2312"/>
          <w:color w:val="auto"/>
          <w:sz w:val="28"/>
        </w:rPr>
      </w:pPr>
    </w:p>
    <w:p>
      <w:pPr>
        <w:spacing w:line="520" w:lineRule="exact"/>
        <w:ind w:firstLine="5740" w:firstLineChars="2050"/>
        <w:rPr>
          <w:rFonts w:eastAsia="仿宋_GB2312"/>
          <w:color w:val="auto"/>
          <w:sz w:val="28"/>
        </w:rPr>
      </w:pPr>
      <w:r>
        <w:rPr>
          <w:rFonts w:eastAsia="仿宋_GB2312"/>
          <w:color w:val="auto"/>
          <w:sz w:val="28"/>
        </w:rPr>
        <w:t>年</w:t>
      </w:r>
      <w:r>
        <w:rPr>
          <w:rFonts w:hint="eastAsia" w:eastAsia="仿宋_GB2312"/>
          <w:color w:val="auto"/>
          <w:sz w:val="28"/>
        </w:rPr>
        <w:t xml:space="preserve">   </w:t>
      </w:r>
      <w:r>
        <w:rPr>
          <w:rFonts w:eastAsia="仿宋_GB2312"/>
          <w:color w:val="auto"/>
          <w:sz w:val="28"/>
        </w:rPr>
        <w:t>月</w:t>
      </w:r>
      <w:r>
        <w:rPr>
          <w:rFonts w:hint="eastAsia" w:eastAsia="仿宋_GB2312"/>
          <w:color w:val="auto"/>
          <w:sz w:val="28"/>
        </w:rPr>
        <w:t xml:space="preserve">   </w:t>
      </w:r>
      <w:r>
        <w:rPr>
          <w:rFonts w:eastAsia="仿宋_GB2312"/>
          <w:color w:val="auto"/>
          <w:sz w:val="28"/>
        </w:rPr>
        <w:t>日</w:t>
      </w:r>
    </w:p>
    <w:bookmarkEnd w:id="98"/>
    <w:bookmarkEnd w:id="99"/>
    <w:bookmarkEnd w:id="100"/>
    <w:bookmarkEnd w:id="101"/>
    <w:bookmarkEnd w:id="102"/>
    <w:bookmarkEnd w:id="103"/>
    <w:bookmarkEnd w:id="104"/>
    <w:p>
      <w:pPr>
        <w:pStyle w:val="2"/>
        <w:spacing w:line="420" w:lineRule="exact"/>
        <w:rPr>
          <w:rStyle w:val="48"/>
          <w:rFonts w:eastAsia="仿宋_GB2312"/>
          <w:b w:val="0"/>
          <w:bCs w:val="0"/>
          <w:color w:val="auto"/>
          <w:spacing w:val="-24"/>
          <w:sz w:val="36"/>
          <w:szCs w:val="36"/>
        </w:rPr>
      </w:pPr>
      <w:bookmarkStart w:id="109" w:name="_Toc272043521"/>
      <w:bookmarkStart w:id="110" w:name="_Toc244316401"/>
      <w:bookmarkStart w:id="111" w:name="_Toc270084886"/>
      <w:bookmarkStart w:id="112" w:name="_Toc272841200"/>
    </w:p>
    <w:p>
      <w:pPr>
        <w:pStyle w:val="2"/>
        <w:spacing w:line="420" w:lineRule="exact"/>
        <w:rPr>
          <w:rFonts w:eastAsia="仿宋_GB2312"/>
          <w:color w:val="auto"/>
          <w:spacing w:val="-24"/>
          <w:sz w:val="36"/>
          <w:szCs w:val="36"/>
        </w:rPr>
      </w:pPr>
      <w:bookmarkStart w:id="113" w:name="_Toc26128"/>
      <w:r>
        <w:rPr>
          <w:rStyle w:val="48"/>
          <w:rFonts w:eastAsia="仿宋_GB2312"/>
          <w:b w:val="0"/>
          <w:bCs w:val="0"/>
          <w:color w:val="auto"/>
          <w:spacing w:val="-24"/>
          <w:sz w:val="36"/>
          <w:szCs w:val="36"/>
        </w:rPr>
        <w:t>北京市集体经营性建设用地使用权挂牌出让</w:t>
      </w:r>
      <w:bookmarkStart w:id="114" w:name="_Toc272043522"/>
      <w:bookmarkStart w:id="115" w:name="_Toc67191358"/>
      <w:bookmarkStart w:id="116" w:name="_Toc42583217"/>
      <w:bookmarkStart w:id="117" w:name="_Toc255916602"/>
      <w:bookmarkStart w:id="118" w:name="_Toc41366872"/>
      <w:bookmarkStart w:id="119" w:name="_Toc41366807"/>
      <w:bookmarkEnd w:id="109"/>
      <w:bookmarkEnd w:id="110"/>
      <w:bookmarkEnd w:id="111"/>
      <w:bookmarkEnd w:id="112"/>
      <w:r>
        <w:rPr>
          <w:rStyle w:val="48"/>
          <w:rFonts w:eastAsia="仿宋_GB2312"/>
          <w:b w:val="0"/>
          <w:bCs w:val="0"/>
          <w:color w:val="auto"/>
          <w:spacing w:val="-24"/>
          <w:sz w:val="36"/>
          <w:szCs w:val="36"/>
        </w:rPr>
        <w:t>成交确认书</w:t>
      </w:r>
      <w:bookmarkEnd w:id="113"/>
      <w:bookmarkEnd w:id="114"/>
      <w:bookmarkEnd w:id="115"/>
      <w:bookmarkEnd w:id="116"/>
      <w:bookmarkEnd w:id="117"/>
      <w:bookmarkEnd w:id="118"/>
      <w:bookmarkEnd w:id="119"/>
    </w:p>
    <w:p>
      <w:pPr>
        <w:ind w:firstLine="4920" w:firstLineChars="2050"/>
        <w:rPr>
          <w:rFonts w:hint="eastAsia" w:eastAsia="仿宋_GB2312"/>
          <w:color w:val="auto"/>
          <w:sz w:val="24"/>
          <w:lang w:eastAsia="zh-CN"/>
        </w:rPr>
      </w:pPr>
      <w:r>
        <w:rPr>
          <w:rFonts w:hint="eastAsia" w:eastAsia="仿宋_GB2312"/>
          <w:color w:val="auto"/>
          <w:sz w:val="24"/>
          <w:lang w:eastAsia="zh-CN"/>
        </w:rPr>
        <w:t>京土集使挂（兴）[2018]001号</w:t>
      </w:r>
    </w:p>
    <w:p>
      <w:pPr>
        <w:rPr>
          <w:rFonts w:eastAsia="仿宋_GB2312"/>
          <w:color w:val="auto"/>
          <w:sz w:val="24"/>
        </w:rPr>
      </w:pPr>
    </w:p>
    <w:p>
      <w:pPr>
        <w:rPr>
          <w:rFonts w:eastAsia="仿宋_GB2312"/>
          <w:color w:val="auto"/>
          <w:sz w:val="24"/>
          <w:u w:val="single"/>
        </w:rPr>
      </w:pPr>
      <w:r>
        <w:rPr>
          <w:rFonts w:hint="eastAsia" w:eastAsia="仿宋_GB2312"/>
          <w:color w:val="auto"/>
          <w:sz w:val="24"/>
          <w:u w:val="single"/>
        </w:rPr>
        <w:t xml:space="preserve">                       ：</w:t>
      </w:r>
    </w:p>
    <w:p>
      <w:pPr>
        <w:tabs>
          <w:tab w:val="left" w:pos="2700"/>
        </w:tabs>
        <w:spacing w:line="420" w:lineRule="exact"/>
        <w:ind w:firstLine="630" w:firstLineChars="225"/>
        <w:rPr>
          <w:rFonts w:eastAsia="仿宋_GB2312"/>
          <w:color w:val="auto"/>
          <w:sz w:val="28"/>
        </w:rPr>
      </w:pPr>
      <w:r>
        <w:rPr>
          <w:rFonts w:eastAsia="仿宋_GB2312"/>
          <w:color w:val="auto"/>
          <w:sz w:val="28"/>
        </w:rPr>
        <w:t>根据《</w:t>
      </w:r>
      <w:r>
        <w:rPr>
          <w:rFonts w:hint="eastAsia" w:eastAsia="仿宋_GB2312"/>
          <w:color w:val="auto"/>
          <w:sz w:val="28"/>
          <w:szCs w:val="28"/>
          <w:lang w:eastAsia="zh-CN"/>
        </w:rPr>
        <w:t>北京市大兴区瀛海镇集体经营性建设用地入市试点（一期）YZ00-0803-0011地块</w:t>
      </w:r>
      <w:r>
        <w:rPr>
          <w:rFonts w:hint="eastAsia" w:eastAsia="仿宋_GB2312"/>
          <w:color w:val="auto"/>
          <w:sz w:val="28"/>
          <w:lang w:eastAsia="zh-CN"/>
        </w:rPr>
        <w:t>集体经营性建设用地</w:t>
      </w:r>
      <w:r>
        <w:rPr>
          <w:rFonts w:hint="eastAsia" w:eastAsia="仿宋_GB2312"/>
          <w:color w:val="auto"/>
          <w:sz w:val="28"/>
          <w:szCs w:val="28"/>
        </w:rPr>
        <w:t>使用权</w:t>
      </w:r>
      <w:r>
        <w:rPr>
          <w:rFonts w:eastAsia="仿宋_GB2312"/>
          <w:color w:val="auto"/>
          <w:sz w:val="28"/>
        </w:rPr>
        <w:t>出让挂牌文件》（</w:t>
      </w:r>
      <w:r>
        <w:rPr>
          <w:rFonts w:hint="eastAsia" w:eastAsia="仿宋_GB2312"/>
          <w:color w:val="auto"/>
          <w:sz w:val="28"/>
          <w:lang w:eastAsia="zh-CN"/>
        </w:rPr>
        <w:t>京土集使挂（兴）[2018]001号</w:t>
      </w:r>
      <w:r>
        <w:rPr>
          <w:rFonts w:eastAsia="仿宋_GB2312"/>
          <w:color w:val="auto"/>
          <w:sz w:val="28"/>
        </w:rPr>
        <w:t>）规定，在该宗地的竞价期限（</w:t>
      </w:r>
      <w:r>
        <w:rPr>
          <w:rFonts w:hint="eastAsia" w:eastAsia="仿宋_GB2312"/>
          <w:color w:val="auto"/>
          <w:sz w:val="28"/>
        </w:rPr>
        <w:t>201</w:t>
      </w:r>
      <w:r>
        <w:rPr>
          <w:rFonts w:hint="eastAsia" w:eastAsia="仿宋_GB2312"/>
          <w:color w:val="auto"/>
          <w:sz w:val="28"/>
          <w:lang w:val="en-US" w:eastAsia="zh-CN"/>
        </w:rPr>
        <w:t xml:space="preserve">  </w:t>
      </w:r>
      <w:r>
        <w:rPr>
          <w:rFonts w:hint="eastAsia" w:eastAsia="仿宋_GB2312"/>
          <w:color w:val="auto"/>
          <w:sz w:val="28"/>
        </w:rPr>
        <w:t>年</w:t>
      </w:r>
      <w:r>
        <w:rPr>
          <w:rFonts w:hint="eastAsia" w:eastAsia="仿宋_GB2312"/>
          <w:color w:val="auto"/>
          <w:sz w:val="28"/>
          <w:lang w:val="en-US" w:eastAsia="zh-CN"/>
        </w:rPr>
        <w:t xml:space="preserve">  </w:t>
      </w:r>
      <w:r>
        <w:rPr>
          <w:rFonts w:hint="eastAsia" w:eastAsia="仿宋_GB2312"/>
          <w:color w:val="auto"/>
          <w:sz w:val="28"/>
        </w:rPr>
        <w:t>月</w:t>
      </w:r>
      <w:r>
        <w:rPr>
          <w:rFonts w:hint="eastAsia" w:eastAsia="仿宋_GB2312"/>
          <w:color w:val="auto"/>
          <w:sz w:val="28"/>
          <w:lang w:val="en-US" w:eastAsia="zh-CN"/>
        </w:rPr>
        <w:t xml:space="preserve">  </w:t>
      </w:r>
      <w:r>
        <w:rPr>
          <w:rFonts w:hint="eastAsia" w:eastAsia="仿宋_GB2312"/>
          <w:color w:val="auto"/>
          <w:sz w:val="28"/>
        </w:rPr>
        <w:t>日</w:t>
      </w:r>
      <w:r>
        <w:rPr>
          <w:rFonts w:eastAsia="仿宋_GB2312"/>
          <w:color w:val="auto"/>
          <w:sz w:val="28"/>
        </w:rPr>
        <w:t>9：00时—</w:t>
      </w:r>
      <w:r>
        <w:rPr>
          <w:rFonts w:hint="eastAsia" w:eastAsia="仿宋_GB2312"/>
          <w:color w:val="auto"/>
          <w:sz w:val="28"/>
        </w:rPr>
        <w:t>201</w:t>
      </w:r>
      <w:r>
        <w:rPr>
          <w:rFonts w:hint="eastAsia" w:eastAsia="仿宋_GB2312"/>
          <w:color w:val="auto"/>
          <w:sz w:val="28"/>
          <w:lang w:val="en-US" w:eastAsia="zh-CN"/>
        </w:rPr>
        <w:t xml:space="preserve">  </w:t>
      </w:r>
      <w:r>
        <w:rPr>
          <w:rFonts w:hint="eastAsia" w:eastAsia="仿宋_GB2312"/>
          <w:color w:val="auto"/>
          <w:sz w:val="28"/>
        </w:rPr>
        <w:t>年</w:t>
      </w:r>
      <w:r>
        <w:rPr>
          <w:rFonts w:hint="eastAsia" w:eastAsia="仿宋_GB2312"/>
          <w:color w:val="auto"/>
          <w:sz w:val="28"/>
          <w:lang w:val="en-US" w:eastAsia="zh-CN"/>
        </w:rPr>
        <w:t xml:space="preserve">  </w:t>
      </w:r>
      <w:r>
        <w:rPr>
          <w:rFonts w:hint="eastAsia" w:eastAsia="仿宋_GB2312"/>
          <w:color w:val="auto"/>
          <w:sz w:val="28"/>
        </w:rPr>
        <w:t>月</w:t>
      </w:r>
      <w:r>
        <w:rPr>
          <w:rFonts w:hint="eastAsia" w:eastAsia="仿宋_GB2312"/>
          <w:color w:val="auto"/>
          <w:sz w:val="28"/>
          <w:lang w:val="en-US" w:eastAsia="zh-CN"/>
        </w:rPr>
        <w:t xml:space="preserve">  </w:t>
      </w:r>
      <w:r>
        <w:rPr>
          <w:rFonts w:hint="eastAsia" w:eastAsia="仿宋_GB2312"/>
          <w:color w:val="auto"/>
          <w:sz w:val="28"/>
        </w:rPr>
        <w:t>日</w:t>
      </w:r>
      <w:r>
        <w:rPr>
          <w:rFonts w:eastAsia="仿宋_GB2312"/>
          <w:color w:val="auto"/>
          <w:sz w:val="28"/>
        </w:rPr>
        <w:t>15：00时）内，有</w:t>
      </w:r>
      <w:r>
        <w:rPr>
          <w:rFonts w:hint="eastAsia" w:eastAsia="仿宋_GB2312"/>
          <w:color w:val="auto"/>
          <w:sz w:val="28"/>
          <w:u w:val="single"/>
        </w:rPr>
        <w:t xml:space="preserve">   </w:t>
      </w:r>
      <w:r>
        <w:rPr>
          <w:rFonts w:eastAsia="仿宋_GB2312"/>
          <w:color w:val="auto"/>
          <w:sz w:val="28"/>
        </w:rPr>
        <w:t>家单位参加竞买，按照规定进入现场竞价程序。通过现场竞价，现确认你单位为</w:t>
      </w:r>
      <w:r>
        <w:rPr>
          <w:rFonts w:hint="eastAsia" w:eastAsia="仿宋_GB2312"/>
          <w:color w:val="auto"/>
          <w:sz w:val="28"/>
          <w:szCs w:val="28"/>
          <w:lang w:eastAsia="zh-CN"/>
        </w:rPr>
        <w:t>北京市大兴区瀛海镇集体经营性建设用地入市试点（一期）YZ00-0803-0011地块</w:t>
      </w:r>
      <w:r>
        <w:rPr>
          <w:rFonts w:hint="eastAsia" w:eastAsia="仿宋_GB2312"/>
          <w:color w:val="auto"/>
          <w:sz w:val="28"/>
          <w:szCs w:val="28"/>
        </w:rPr>
        <w:t>使用权</w:t>
      </w:r>
      <w:r>
        <w:rPr>
          <w:rFonts w:eastAsia="仿宋_GB2312"/>
          <w:color w:val="auto"/>
          <w:sz w:val="28"/>
        </w:rPr>
        <w:t>挂牌出让的竞得人。</w:t>
      </w:r>
    </w:p>
    <w:p>
      <w:pPr>
        <w:tabs>
          <w:tab w:val="left" w:pos="2700"/>
        </w:tabs>
        <w:spacing w:line="420" w:lineRule="exact"/>
        <w:ind w:firstLine="630" w:firstLineChars="225"/>
        <w:rPr>
          <w:rFonts w:eastAsia="仿宋_GB2312"/>
          <w:color w:val="auto"/>
          <w:sz w:val="28"/>
        </w:rPr>
      </w:pPr>
      <w:r>
        <w:rPr>
          <w:rFonts w:hint="eastAsia" w:eastAsia="仿宋_GB2312"/>
          <w:color w:val="auto"/>
          <w:sz w:val="28"/>
          <w:szCs w:val="28"/>
          <w:lang w:eastAsia="zh-CN"/>
        </w:rPr>
        <w:t>北京市大兴区瀛海镇集体经营性建设用地入市试点（一期）YZ00-0803-0011地块</w:t>
      </w:r>
      <w:r>
        <w:rPr>
          <w:rFonts w:hint="eastAsia" w:eastAsia="仿宋_GB2312"/>
          <w:color w:val="auto"/>
          <w:sz w:val="28"/>
          <w:szCs w:val="28"/>
        </w:rPr>
        <w:t>使用权</w:t>
      </w:r>
      <w:r>
        <w:rPr>
          <w:rFonts w:eastAsia="仿宋_GB2312"/>
          <w:color w:val="auto"/>
          <w:sz w:val="28"/>
        </w:rPr>
        <w:t>挂牌出让的成交价款人民币</w:t>
      </w:r>
      <w:r>
        <w:rPr>
          <w:rFonts w:hint="eastAsia" w:eastAsia="仿宋_GB2312"/>
          <w:color w:val="auto"/>
          <w:sz w:val="28"/>
          <w:u w:val="single"/>
        </w:rPr>
        <w:t xml:space="preserve">  </w:t>
      </w:r>
      <w:r>
        <w:rPr>
          <w:rFonts w:eastAsia="仿宋_GB2312"/>
          <w:color w:val="auto"/>
          <w:sz w:val="28"/>
        </w:rPr>
        <w:t>亿</w:t>
      </w:r>
      <w:r>
        <w:rPr>
          <w:rFonts w:hint="eastAsia" w:eastAsia="仿宋_GB2312"/>
          <w:color w:val="auto"/>
          <w:sz w:val="28"/>
        </w:rPr>
        <w:t xml:space="preserve">  仟</w:t>
      </w:r>
      <w:r>
        <w:rPr>
          <w:rFonts w:hint="eastAsia" w:eastAsia="仿宋_GB2312"/>
          <w:color w:val="auto"/>
          <w:sz w:val="28"/>
          <w:u w:val="single"/>
        </w:rPr>
        <w:t xml:space="preserve">   </w:t>
      </w:r>
      <w:r>
        <w:rPr>
          <w:rFonts w:eastAsia="仿宋_GB2312"/>
          <w:color w:val="auto"/>
          <w:sz w:val="28"/>
        </w:rPr>
        <w:t>仟</w:t>
      </w:r>
      <w:r>
        <w:rPr>
          <w:rFonts w:hint="eastAsia" w:eastAsia="仿宋_GB2312"/>
          <w:color w:val="auto"/>
          <w:sz w:val="28"/>
          <w:u w:val="single"/>
        </w:rPr>
        <w:t xml:space="preserve">   </w:t>
      </w:r>
      <w:r>
        <w:rPr>
          <w:rFonts w:eastAsia="仿宋_GB2312"/>
          <w:color w:val="auto"/>
          <w:sz w:val="28"/>
        </w:rPr>
        <w:t>佰</w:t>
      </w:r>
      <w:r>
        <w:rPr>
          <w:rFonts w:hint="eastAsia" w:eastAsia="仿宋_GB2312"/>
          <w:color w:val="auto"/>
          <w:sz w:val="28"/>
          <w:u w:val="single"/>
        </w:rPr>
        <w:t xml:space="preserve">   </w:t>
      </w:r>
      <w:r>
        <w:rPr>
          <w:rFonts w:eastAsia="仿宋_GB2312"/>
          <w:color w:val="auto"/>
          <w:sz w:val="28"/>
        </w:rPr>
        <w:t>拾</w:t>
      </w:r>
      <w:r>
        <w:rPr>
          <w:rFonts w:hint="eastAsia" w:eastAsia="仿宋_GB2312"/>
          <w:color w:val="auto"/>
          <w:sz w:val="28"/>
          <w:u w:val="single"/>
        </w:rPr>
        <w:t xml:space="preserve">   </w:t>
      </w:r>
      <w:r>
        <w:rPr>
          <w:rFonts w:eastAsia="仿宋_GB2312"/>
          <w:color w:val="auto"/>
          <w:sz w:val="28"/>
        </w:rPr>
        <w:t>万</w:t>
      </w:r>
      <w:r>
        <w:rPr>
          <w:rFonts w:hint="eastAsia" w:eastAsia="仿宋_GB2312"/>
          <w:color w:val="auto"/>
          <w:sz w:val="28"/>
          <w:u w:val="single"/>
        </w:rPr>
        <w:t xml:space="preserve">   </w:t>
      </w:r>
      <w:r>
        <w:rPr>
          <w:rFonts w:eastAsia="仿宋_GB2312"/>
          <w:color w:val="auto"/>
          <w:sz w:val="28"/>
        </w:rPr>
        <w:t>仟</w:t>
      </w:r>
      <w:r>
        <w:rPr>
          <w:rFonts w:hint="eastAsia" w:eastAsia="仿宋_GB2312"/>
          <w:color w:val="auto"/>
          <w:sz w:val="28"/>
          <w:u w:val="single"/>
        </w:rPr>
        <w:t xml:space="preserve">   </w:t>
      </w:r>
      <w:r>
        <w:rPr>
          <w:rFonts w:eastAsia="仿宋_GB2312"/>
          <w:color w:val="auto"/>
          <w:sz w:val="28"/>
        </w:rPr>
        <w:t>佰</w:t>
      </w:r>
      <w:r>
        <w:rPr>
          <w:rFonts w:hint="eastAsia" w:eastAsia="仿宋_GB2312"/>
          <w:color w:val="auto"/>
          <w:sz w:val="28"/>
          <w:u w:val="single"/>
        </w:rPr>
        <w:t xml:space="preserve">   </w:t>
      </w:r>
      <w:r>
        <w:rPr>
          <w:rFonts w:eastAsia="仿宋_GB2312"/>
          <w:color w:val="auto"/>
          <w:sz w:val="28"/>
        </w:rPr>
        <w:t>拾</w:t>
      </w:r>
      <w:r>
        <w:rPr>
          <w:rFonts w:hint="eastAsia" w:eastAsia="仿宋_GB2312"/>
          <w:color w:val="auto"/>
          <w:sz w:val="28"/>
          <w:u w:val="single"/>
        </w:rPr>
        <w:t xml:space="preserve">   </w:t>
      </w:r>
      <w:r>
        <w:rPr>
          <w:rFonts w:eastAsia="仿宋_GB2312"/>
          <w:color w:val="auto"/>
          <w:sz w:val="28"/>
        </w:rPr>
        <w:t>元整（小写人民币￥</w:t>
      </w:r>
      <w:r>
        <w:rPr>
          <w:rFonts w:hint="eastAsia" w:eastAsia="仿宋_GB2312"/>
          <w:color w:val="auto"/>
          <w:sz w:val="28"/>
          <w:u w:val="single"/>
        </w:rPr>
        <w:t xml:space="preserve">           </w:t>
      </w:r>
      <w:r>
        <w:rPr>
          <w:rFonts w:hint="eastAsia" w:eastAsia="仿宋_GB2312"/>
          <w:color w:val="auto"/>
          <w:sz w:val="28"/>
        </w:rPr>
        <w:t>万</w:t>
      </w:r>
      <w:r>
        <w:rPr>
          <w:rFonts w:eastAsia="仿宋_GB2312"/>
          <w:color w:val="auto"/>
          <w:sz w:val="28"/>
        </w:rPr>
        <w:t>元）</w:t>
      </w:r>
      <w:r>
        <w:rPr>
          <w:rFonts w:hint="eastAsia" w:eastAsia="仿宋_GB2312"/>
          <w:color w:val="auto"/>
          <w:sz w:val="28"/>
        </w:rPr>
        <w:t>，其他事宜以挂牌文件为准。</w:t>
      </w:r>
    </w:p>
    <w:p>
      <w:pPr>
        <w:tabs>
          <w:tab w:val="left" w:pos="2700"/>
        </w:tabs>
        <w:spacing w:line="420" w:lineRule="exact"/>
        <w:ind w:firstLine="630" w:firstLineChars="225"/>
        <w:rPr>
          <w:rFonts w:eastAsia="仿宋_GB2312"/>
          <w:color w:val="auto"/>
          <w:sz w:val="28"/>
        </w:rPr>
      </w:pPr>
      <w:r>
        <w:rPr>
          <w:rFonts w:hint="eastAsia" w:eastAsia="仿宋_GB2312"/>
          <w:color w:val="auto"/>
          <w:sz w:val="28"/>
        </w:rPr>
        <w:t>请在本</w:t>
      </w:r>
      <w:r>
        <w:rPr>
          <w:rFonts w:eastAsia="仿宋_GB2312"/>
          <w:color w:val="auto"/>
          <w:sz w:val="28"/>
        </w:rPr>
        <w:t>《成交确认书》签发之日起</w:t>
      </w:r>
      <w:r>
        <w:rPr>
          <w:rFonts w:hint="eastAsia" w:eastAsia="仿宋_GB2312"/>
          <w:color w:val="auto"/>
          <w:sz w:val="28"/>
        </w:rPr>
        <w:t>10</w:t>
      </w:r>
      <w:r>
        <w:rPr>
          <w:rFonts w:eastAsia="仿宋_GB2312"/>
          <w:color w:val="auto"/>
          <w:sz w:val="28"/>
        </w:rPr>
        <w:t>个工作日内</w:t>
      </w:r>
      <w:r>
        <w:rPr>
          <w:rFonts w:hint="eastAsia" w:eastAsia="仿宋_GB2312"/>
          <w:color w:val="auto"/>
          <w:sz w:val="28"/>
        </w:rPr>
        <w:t>与</w:t>
      </w:r>
      <w:r>
        <w:rPr>
          <w:rFonts w:hint="eastAsia" w:eastAsia="仿宋_GB2312"/>
          <w:color w:val="auto"/>
          <w:sz w:val="28"/>
          <w:lang w:eastAsia="zh-CN"/>
        </w:rPr>
        <w:t>北京汇瀛恒业有限公司</w:t>
      </w:r>
      <w:r>
        <w:rPr>
          <w:rFonts w:hint="eastAsia" w:eastAsia="仿宋_GB2312"/>
          <w:color w:val="auto"/>
          <w:sz w:val="28"/>
        </w:rPr>
        <w:t>办</w:t>
      </w:r>
      <w:r>
        <w:rPr>
          <w:rFonts w:eastAsia="仿宋_GB2312"/>
          <w:color w:val="auto"/>
          <w:sz w:val="28"/>
        </w:rPr>
        <w:t>理《集体经营性建设用地使用权出让合同》的签订手续</w:t>
      </w:r>
      <w:r>
        <w:rPr>
          <w:rFonts w:hint="eastAsia" w:eastAsia="仿宋_GB2312"/>
          <w:color w:val="auto"/>
          <w:sz w:val="28"/>
        </w:rPr>
        <w:t>，</w:t>
      </w:r>
      <w:r>
        <w:rPr>
          <w:rFonts w:eastAsia="仿宋_GB2312"/>
          <w:color w:val="auto"/>
          <w:sz w:val="28"/>
        </w:rPr>
        <w:t>并按合同</w:t>
      </w:r>
      <w:r>
        <w:rPr>
          <w:rFonts w:hint="eastAsia" w:eastAsia="仿宋_GB2312"/>
          <w:color w:val="auto"/>
          <w:sz w:val="28"/>
        </w:rPr>
        <w:t>及《挂牌文件》</w:t>
      </w:r>
      <w:r>
        <w:rPr>
          <w:rFonts w:eastAsia="仿宋_GB2312"/>
          <w:color w:val="auto"/>
          <w:sz w:val="28"/>
        </w:rPr>
        <w:t>的规定缴纳相应价款。如因你方原因，不能按期签订上述合同</w:t>
      </w:r>
      <w:r>
        <w:rPr>
          <w:rFonts w:hint="eastAsia" w:eastAsia="仿宋_GB2312"/>
          <w:color w:val="auto"/>
          <w:sz w:val="28"/>
        </w:rPr>
        <w:t>及相关文件</w:t>
      </w:r>
      <w:r>
        <w:rPr>
          <w:rFonts w:eastAsia="仿宋_GB2312"/>
          <w:color w:val="auto"/>
          <w:sz w:val="28"/>
        </w:rPr>
        <w:t>的，我中心可取消你单位竞得资格，你单位已交纳的竞买保证金人民币</w:t>
      </w:r>
      <w:r>
        <w:rPr>
          <w:rFonts w:hint="eastAsia" w:eastAsia="仿宋_GB2312"/>
          <w:color w:val="auto"/>
          <w:sz w:val="28"/>
          <w:u w:val="single"/>
        </w:rPr>
        <w:t xml:space="preserve">    </w:t>
      </w:r>
      <w:r>
        <w:rPr>
          <w:rFonts w:hint="eastAsia" w:eastAsia="仿宋_GB2312"/>
          <w:color w:val="auto"/>
          <w:sz w:val="28"/>
        </w:rPr>
        <w:t>万元</w:t>
      </w:r>
      <w:r>
        <w:rPr>
          <w:rFonts w:eastAsia="仿宋_GB2312"/>
          <w:color w:val="auto"/>
          <w:sz w:val="28"/>
        </w:rPr>
        <w:t>将不予退还。</w:t>
      </w:r>
    </w:p>
    <w:p>
      <w:pPr>
        <w:tabs>
          <w:tab w:val="left" w:pos="2700"/>
        </w:tabs>
        <w:spacing w:line="420" w:lineRule="exact"/>
        <w:ind w:firstLine="630" w:firstLineChars="225"/>
        <w:jc w:val="right"/>
        <w:rPr>
          <w:rFonts w:eastAsia="仿宋_GB2312"/>
          <w:color w:val="auto"/>
          <w:sz w:val="28"/>
        </w:rPr>
      </w:pPr>
    </w:p>
    <w:p>
      <w:pPr>
        <w:tabs>
          <w:tab w:val="left" w:pos="2700"/>
        </w:tabs>
        <w:spacing w:line="420" w:lineRule="exact"/>
        <w:ind w:firstLine="630" w:firstLineChars="225"/>
        <w:jc w:val="right"/>
        <w:rPr>
          <w:rFonts w:eastAsia="仿宋_GB2312"/>
          <w:color w:val="auto"/>
          <w:sz w:val="28"/>
        </w:rPr>
      </w:pPr>
    </w:p>
    <w:p>
      <w:pPr>
        <w:tabs>
          <w:tab w:val="left" w:pos="2700"/>
        </w:tabs>
        <w:spacing w:line="420" w:lineRule="exact"/>
        <w:ind w:firstLine="630" w:firstLineChars="225"/>
        <w:jc w:val="right"/>
        <w:rPr>
          <w:rFonts w:eastAsia="仿宋_GB2312"/>
          <w:color w:val="auto"/>
          <w:sz w:val="28"/>
        </w:rPr>
      </w:pPr>
    </w:p>
    <w:p>
      <w:pPr>
        <w:tabs>
          <w:tab w:val="left" w:pos="2700"/>
        </w:tabs>
        <w:spacing w:line="420" w:lineRule="exact"/>
        <w:ind w:firstLine="630" w:firstLineChars="225"/>
        <w:jc w:val="right"/>
        <w:rPr>
          <w:rFonts w:eastAsia="仿宋_GB2312"/>
          <w:color w:val="auto"/>
          <w:sz w:val="28"/>
        </w:rPr>
      </w:pPr>
    </w:p>
    <w:p>
      <w:pPr>
        <w:tabs>
          <w:tab w:val="left" w:pos="2700"/>
        </w:tabs>
        <w:spacing w:line="420" w:lineRule="exact"/>
        <w:rPr>
          <w:rFonts w:hint="eastAsia" w:eastAsia="仿宋_GB2312"/>
          <w:color w:val="auto"/>
          <w:sz w:val="28"/>
        </w:rPr>
      </w:pPr>
      <w:r>
        <w:rPr>
          <w:rFonts w:hint="eastAsia" w:eastAsia="仿宋_GB2312"/>
          <w:color w:val="auto"/>
          <w:sz w:val="28"/>
          <w:lang w:val="en-US" w:eastAsia="zh-CN"/>
        </w:rPr>
        <w:t xml:space="preserve">                              </w:t>
      </w:r>
      <w:r>
        <w:rPr>
          <w:rFonts w:hint="eastAsia" w:eastAsia="仿宋_GB2312"/>
          <w:color w:val="auto"/>
          <w:sz w:val="28"/>
          <w:lang w:eastAsia="zh-CN"/>
        </w:rPr>
        <w:t>北京汇瀛恒业有限公司</w:t>
      </w:r>
      <w:r>
        <w:rPr>
          <w:rFonts w:hint="eastAsia" w:eastAsia="仿宋_GB2312"/>
          <w:color w:val="auto"/>
          <w:sz w:val="28"/>
        </w:rPr>
        <w:t xml:space="preserve">  </w:t>
      </w:r>
    </w:p>
    <w:p>
      <w:pPr>
        <w:tabs>
          <w:tab w:val="left" w:pos="2700"/>
        </w:tabs>
        <w:spacing w:line="420" w:lineRule="exact"/>
        <w:rPr>
          <w:rFonts w:hint="eastAsia" w:eastAsia="仿宋_GB2312"/>
          <w:color w:val="auto"/>
          <w:sz w:val="28"/>
          <w:lang w:eastAsia="zh-CN"/>
        </w:rPr>
      </w:pPr>
      <w:r>
        <w:rPr>
          <w:rFonts w:hint="eastAsia" w:eastAsia="仿宋_GB2312"/>
          <w:color w:val="auto"/>
          <w:sz w:val="28"/>
          <w:lang w:val="en-US" w:eastAsia="zh-CN"/>
        </w:rPr>
        <w:t xml:space="preserve">                     </w:t>
      </w:r>
      <w:r>
        <w:rPr>
          <w:rFonts w:hint="eastAsia" w:eastAsia="仿宋_GB2312"/>
          <w:color w:val="auto"/>
          <w:sz w:val="28"/>
          <w:lang w:eastAsia="zh-CN"/>
        </w:rPr>
        <w:t>北京市规划和国土资源管理委员会大兴分局</w:t>
      </w:r>
    </w:p>
    <w:p>
      <w:pPr>
        <w:tabs>
          <w:tab w:val="left" w:pos="2880"/>
        </w:tabs>
        <w:spacing w:line="420" w:lineRule="exact"/>
        <w:ind w:firstLine="5880" w:firstLineChars="2100"/>
        <w:rPr>
          <w:rFonts w:eastAsia="仿宋_GB2312"/>
          <w:color w:val="auto"/>
          <w:sz w:val="28"/>
        </w:rPr>
      </w:pPr>
      <w:r>
        <w:rPr>
          <w:rFonts w:hint="eastAsia" w:eastAsia="仿宋_GB2312"/>
          <w:color w:val="auto"/>
          <w:sz w:val="28"/>
        </w:rPr>
        <w:t>201</w:t>
      </w:r>
      <w:r>
        <w:rPr>
          <w:rFonts w:hint="eastAsia" w:eastAsia="仿宋_GB2312"/>
          <w:color w:val="auto"/>
          <w:sz w:val="28"/>
          <w:lang w:val="en-US" w:eastAsia="zh-CN"/>
        </w:rPr>
        <w:t xml:space="preserve"> </w:t>
      </w:r>
      <w:r>
        <w:rPr>
          <w:rFonts w:eastAsia="仿宋_GB2312"/>
          <w:color w:val="auto"/>
          <w:sz w:val="28"/>
        </w:rPr>
        <w:t>年</w:t>
      </w:r>
      <w:r>
        <w:rPr>
          <w:rFonts w:hint="eastAsia" w:eastAsia="仿宋_GB2312"/>
          <w:color w:val="auto"/>
          <w:sz w:val="28"/>
        </w:rPr>
        <w:t xml:space="preserve">  </w:t>
      </w:r>
      <w:r>
        <w:rPr>
          <w:rFonts w:eastAsia="仿宋_GB2312"/>
          <w:color w:val="auto"/>
          <w:sz w:val="28"/>
        </w:rPr>
        <w:t>月</w:t>
      </w:r>
      <w:r>
        <w:rPr>
          <w:rFonts w:hint="eastAsia" w:eastAsia="仿宋_GB2312"/>
          <w:color w:val="auto"/>
          <w:sz w:val="28"/>
        </w:rPr>
        <w:t xml:space="preserve">   </w:t>
      </w:r>
      <w:r>
        <w:rPr>
          <w:rFonts w:eastAsia="仿宋_GB2312"/>
          <w:color w:val="auto"/>
          <w:sz w:val="28"/>
        </w:rPr>
        <w:t>日</w:t>
      </w:r>
    </w:p>
    <w:p>
      <w:pPr>
        <w:tabs>
          <w:tab w:val="left" w:pos="2880"/>
        </w:tabs>
        <w:spacing w:line="420" w:lineRule="exact"/>
        <w:rPr>
          <w:rFonts w:eastAsia="仿宋_GB2312"/>
          <w:color w:val="auto"/>
          <w:sz w:val="28"/>
        </w:rPr>
      </w:pPr>
      <w:r>
        <w:rPr>
          <w:rFonts w:hint="eastAsia" w:eastAsia="仿宋_GB2312"/>
          <w:color w:val="auto"/>
          <w:sz w:val="28"/>
        </w:rPr>
        <w:t>抄报：区试点领导小组</w:t>
      </w:r>
    </w:p>
    <w:p>
      <w:pPr>
        <w:tabs>
          <w:tab w:val="left" w:pos="2880"/>
        </w:tabs>
        <w:spacing w:line="420" w:lineRule="exact"/>
        <w:rPr>
          <w:rFonts w:eastAsia="仿宋_GB2312"/>
          <w:color w:val="auto"/>
          <w:sz w:val="28"/>
        </w:rPr>
      </w:pPr>
      <w:r>
        <w:rPr>
          <w:rFonts w:hint="eastAsia" w:eastAsia="仿宋_GB2312"/>
          <w:color w:val="auto"/>
          <w:sz w:val="28"/>
        </w:rPr>
        <w:t>抄送：试点成员单位</w:t>
      </w:r>
    </w:p>
    <w:p>
      <w:pPr>
        <w:spacing w:line="540" w:lineRule="exact"/>
        <w:rPr>
          <w:rFonts w:eastAsia="仿宋_GB2312"/>
          <w:color w:val="auto"/>
          <w:sz w:val="28"/>
        </w:rPr>
      </w:pPr>
    </w:p>
    <w:p>
      <w:pPr>
        <w:autoSpaceDE w:val="0"/>
        <w:autoSpaceDN w:val="0"/>
        <w:adjustRightInd w:val="0"/>
        <w:snapToGrid w:val="0"/>
        <w:jc w:val="center"/>
        <w:textAlignment w:val="baseline"/>
        <w:rPr>
          <w:rFonts w:eastAsia="方正小标宋简体"/>
          <w:b/>
          <w:color w:val="auto"/>
          <w:kern w:val="0"/>
          <w:sz w:val="66"/>
        </w:rPr>
      </w:pPr>
      <w:r>
        <w:rPr>
          <w:rFonts w:eastAsia="方正小标宋简体"/>
          <w:b/>
          <w:color w:val="auto"/>
          <w:kern w:val="0"/>
          <w:sz w:val="66"/>
        </w:rPr>
        <w:t>北京市集体经营性建设用地</w:t>
      </w:r>
    </w:p>
    <w:p>
      <w:pPr>
        <w:autoSpaceDE w:val="0"/>
        <w:autoSpaceDN w:val="0"/>
        <w:adjustRightInd w:val="0"/>
        <w:snapToGrid w:val="0"/>
        <w:jc w:val="center"/>
        <w:textAlignment w:val="baseline"/>
        <w:rPr>
          <w:rFonts w:eastAsia="方正小标宋简体"/>
          <w:b/>
          <w:color w:val="auto"/>
          <w:sz w:val="66"/>
        </w:rPr>
      </w:pPr>
      <w:r>
        <w:rPr>
          <w:rFonts w:eastAsia="方正小标宋简体"/>
          <w:b/>
          <w:color w:val="auto"/>
          <w:kern w:val="0"/>
          <w:sz w:val="66"/>
        </w:rPr>
        <w:t>使用合同</w:t>
      </w:r>
    </w:p>
    <w:p>
      <w:pPr>
        <w:jc w:val="center"/>
        <w:rPr>
          <w:color w:val="auto"/>
          <w:sz w:val="48"/>
        </w:rPr>
      </w:pPr>
      <w:r>
        <w:rPr>
          <w:color w:val="auto"/>
          <w:sz w:val="48"/>
        </w:rPr>
        <w:t>（</w:t>
      </w:r>
      <w:r>
        <w:rPr>
          <w:rFonts w:hint="eastAsia"/>
          <w:color w:val="auto"/>
          <w:sz w:val="48"/>
        </w:rPr>
        <w:t>范本</w:t>
      </w:r>
      <w:r>
        <w:rPr>
          <w:color w:val="auto"/>
          <w:sz w:val="48"/>
        </w:rPr>
        <w:t>）</w:t>
      </w:r>
    </w:p>
    <w:p>
      <w:pPr>
        <w:jc w:val="center"/>
        <w:rPr>
          <w:color w:val="auto"/>
          <w:sz w:val="36"/>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sz w:val="44"/>
        </w:rPr>
      </w:pPr>
    </w:p>
    <w:p>
      <w:pPr>
        <w:spacing w:beforeLines="50" w:afterLines="50" w:line="580" w:lineRule="exact"/>
        <w:jc w:val="center"/>
        <w:rPr>
          <w:rFonts w:eastAsia="黑体"/>
          <w:color w:val="auto"/>
          <w:kern w:val="0"/>
          <w:sz w:val="36"/>
        </w:rPr>
      </w:pPr>
      <w:r>
        <w:rPr>
          <w:rFonts w:eastAsia="黑体"/>
          <w:color w:val="auto"/>
          <w:spacing w:val="83"/>
          <w:kern w:val="0"/>
          <w:sz w:val="32"/>
        </w:rPr>
        <w:br w:type="page"/>
      </w:r>
      <w:r>
        <w:rPr>
          <w:rFonts w:hint="eastAsia" w:eastAsia="黑体"/>
          <w:color w:val="auto"/>
          <w:kern w:val="0"/>
          <w:sz w:val="36"/>
        </w:rPr>
        <w:t>合同说明</w:t>
      </w:r>
    </w:p>
    <w:p>
      <w:pPr>
        <w:numPr>
          <w:ilvl w:val="0"/>
          <w:numId w:val="2"/>
        </w:numPr>
        <w:spacing w:line="500" w:lineRule="exact"/>
        <w:ind w:left="0" w:firstLine="640" w:firstLineChars="200"/>
        <w:textAlignment w:val="baseline"/>
        <w:rPr>
          <w:rFonts w:ascii="仿宋_GB2312" w:hAnsi="仿宋_GB2312" w:eastAsia="仿宋_GB2312"/>
          <w:color w:val="auto"/>
          <w:kern w:val="0"/>
          <w:sz w:val="32"/>
        </w:rPr>
      </w:pPr>
      <w:r>
        <w:rPr>
          <w:rFonts w:hint="eastAsia" w:ascii="仿宋_GB2312" w:hAnsi="仿宋_GB2312" w:eastAsia="仿宋_GB2312"/>
          <w:color w:val="auto"/>
          <w:kern w:val="0"/>
          <w:sz w:val="32"/>
        </w:rPr>
        <w:t>本使用合同为北京市国土资源局监制的标准合同。北京市集体经营性建设用地入市签订的土地交易合同，均应使用本标准合同。</w:t>
      </w:r>
    </w:p>
    <w:p>
      <w:pPr>
        <w:numPr>
          <w:ilvl w:val="0"/>
          <w:numId w:val="2"/>
        </w:numPr>
        <w:spacing w:line="500" w:lineRule="exact"/>
        <w:ind w:left="0" w:firstLine="640" w:firstLineChars="200"/>
        <w:textAlignment w:val="baseline"/>
        <w:rPr>
          <w:rFonts w:ascii="仿宋_GB2312" w:hAnsi="仿宋_GB2312" w:eastAsia="仿宋_GB2312"/>
          <w:color w:val="auto"/>
          <w:kern w:val="0"/>
          <w:sz w:val="32"/>
        </w:rPr>
      </w:pPr>
      <w:r>
        <w:rPr>
          <w:rFonts w:hint="eastAsia" w:ascii="仿宋_GB2312" w:hAnsi="仿宋_GB2312" w:eastAsia="仿宋_GB2312"/>
          <w:color w:val="auto"/>
          <w:kern w:val="0"/>
          <w:sz w:val="32"/>
        </w:rPr>
        <w:t>本合同条款分为标准条款、待定条款和其他约定条款。标准条款及待定条款为监管部门依法进行监管的内容，合同双方不得更改标准条款内容，可依法对待定条款进行约定，但不得删减。合同双方可增加与现有条款不冲突的其他约定条款。</w:t>
      </w:r>
    </w:p>
    <w:p>
      <w:pPr>
        <w:numPr>
          <w:ilvl w:val="0"/>
          <w:numId w:val="2"/>
        </w:numPr>
        <w:spacing w:line="500" w:lineRule="exact"/>
        <w:ind w:left="0" w:firstLine="640" w:firstLineChars="200"/>
        <w:textAlignment w:val="baseline"/>
        <w:rPr>
          <w:rFonts w:ascii="仿宋_GB2312" w:hAnsi="仿宋_GB2312" w:eastAsia="仿宋_GB2312"/>
          <w:color w:val="auto"/>
          <w:kern w:val="0"/>
          <w:sz w:val="32"/>
        </w:rPr>
      </w:pPr>
      <w:r>
        <w:rPr>
          <w:rFonts w:hint="eastAsia" w:ascii="仿宋_GB2312" w:hAnsi="仿宋_GB2312" w:eastAsia="仿宋_GB2312"/>
          <w:color w:val="auto"/>
          <w:kern w:val="0"/>
          <w:sz w:val="32"/>
        </w:rPr>
        <w:t>本标准合同项下的标准条款包括：第1、2、3、4、17、23、25、26、28、29、30、32、35、37、38、39、40条。其他条款为待定条款。</w:t>
      </w:r>
    </w:p>
    <w:p>
      <w:pPr>
        <w:numPr>
          <w:ilvl w:val="0"/>
          <w:numId w:val="2"/>
        </w:numPr>
        <w:spacing w:line="500" w:lineRule="exact"/>
        <w:ind w:left="0" w:firstLine="640" w:firstLineChars="200"/>
        <w:textAlignment w:val="baseline"/>
        <w:rPr>
          <w:rFonts w:ascii="仿宋_GB2312" w:hAnsi="仿宋_GB2312" w:eastAsia="仿宋_GB2312"/>
          <w:color w:val="auto"/>
          <w:kern w:val="0"/>
          <w:sz w:val="32"/>
        </w:rPr>
      </w:pPr>
      <w:r>
        <w:rPr>
          <w:rFonts w:hint="eastAsia" w:ascii="仿宋_GB2312" w:hAnsi="仿宋_GB2312" w:eastAsia="仿宋_GB2312"/>
          <w:color w:val="auto"/>
          <w:kern w:val="0"/>
          <w:sz w:val="32"/>
        </w:rPr>
        <w:t>本合同中待定条款的约定，应符合以下要求，否则合同相应条款无效：</w:t>
      </w:r>
    </w:p>
    <w:p>
      <w:pPr>
        <w:numPr>
          <w:ilvl w:val="0"/>
          <w:numId w:val="8"/>
        </w:numPr>
        <w:spacing w:line="500" w:lineRule="exact"/>
        <w:ind w:firstLine="640" w:firstLineChars="200"/>
        <w:textAlignment w:val="baseline"/>
        <w:rPr>
          <w:rFonts w:ascii="仿宋_GB2312" w:hAnsi="仿宋_GB2312" w:eastAsia="仿宋_GB2312"/>
          <w:color w:val="auto"/>
          <w:kern w:val="0"/>
          <w:sz w:val="32"/>
        </w:rPr>
      </w:pPr>
      <w:r>
        <w:rPr>
          <w:rFonts w:hint="eastAsia" w:ascii="仿宋_GB2312" w:hAnsi="仿宋_GB2312" w:eastAsia="仿宋_GB2312"/>
          <w:color w:val="auto"/>
          <w:kern w:val="0"/>
          <w:sz w:val="32"/>
        </w:rPr>
        <w:t>土地用途：应与批准的集体经营性建设用地入市方案确定的土地用途一致。</w:t>
      </w:r>
    </w:p>
    <w:p>
      <w:pPr>
        <w:numPr>
          <w:ilvl w:val="0"/>
          <w:numId w:val="8"/>
        </w:numPr>
        <w:spacing w:line="500" w:lineRule="exact"/>
        <w:ind w:firstLine="640" w:firstLineChars="200"/>
        <w:textAlignment w:val="baseline"/>
        <w:rPr>
          <w:rFonts w:ascii="仿宋_GB2312" w:hAnsi="仿宋_GB2312" w:eastAsia="仿宋_GB2312"/>
          <w:color w:val="auto"/>
          <w:kern w:val="0"/>
          <w:sz w:val="32"/>
        </w:rPr>
      </w:pPr>
      <w:r>
        <w:rPr>
          <w:rFonts w:hint="eastAsia" w:ascii="仿宋_GB2312" w:hAnsi="仿宋_GB2312" w:eastAsia="仿宋_GB2312"/>
          <w:color w:val="auto"/>
          <w:kern w:val="0"/>
          <w:sz w:val="32"/>
        </w:rPr>
        <w:t>使用年限：不得超过土地用途的出让最高年限。</w:t>
      </w:r>
    </w:p>
    <w:p>
      <w:pPr>
        <w:numPr>
          <w:ilvl w:val="0"/>
          <w:numId w:val="8"/>
        </w:numPr>
        <w:spacing w:line="500" w:lineRule="exact"/>
        <w:ind w:firstLine="640" w:firstLineChars="200"/>
        <w:textAlignment w:val="baseline"/>
        <w:rPr>
          <w:rFonts w:ascii="仿宋_GB2312" w:hAnsi="仿宋_GB2312" w:eastAsia="仿宋_GB2312"/>
          <w:color w:val="auto"/>
          <w:kern w:val="0"/>
          <w:sz w:val="32"/>
        </w:rPr>
      </w:pPr>
      <w:r>
        <w:rPr>
          <w:rFonts w:hint="eastAsia" w:ascii="仿宋_GB2312" w:hAnsi="仿宋_GB2312" w:eastAsia="仿宋_GB2312"/>
          <w:color w:val="auto"/>
          <w:kern w:val="0"/>
          <w:sz w:val="32"/>
        </w:rPr>
        <w:t>土地增值收益调节金、土地闲置费：应按照国家有关规定标准执行。</w:t>
      </w:r>
    </w:p>
    <w:p>
      <w:pPr>
        <w:numPr>
          <w:ilvl w:val="0"/>
          <w:numId w:val="8"/>
        </w:numPr>
        <w:spacing w:line="500" w:lineRule="exact"/>
        <w:ind w:firstLine="640" w:firstLineChars="200"/>
        <w:textAlignment w:val="baseline"/>
        <w:rPr>
          <w:rFonts w:ascii="仿宋_GB2312" w:hAnsi="仿宋_GB2312" w:eastAsia="仿宋_GB2312"/>
          <w:color w:val="auto"/>
          <w:kern w:val="0"/>
          <w:sz w:val="32"/>
        </w:rPr>
      </w:pPr>
      <w:r>
        <w:rPr>
          <w:rFonts w:hint="eastAsia" w:ascii="仿宋_GB2312" w:hAnsi="仿宋_GB2312" w:eastAsia="仿宋_GB2312"/>
          <w:color w:val="auto"/>
          <w:kern w:val="0"/>
          <w:sz w:val="32"/>
        </w:rPr>
        <w:t>公共配套设施费：应与建设项目立项批准文件要求一致。</w:t>
      </w:r>
    </w:p>
    <w:p>
      <w:pPr>
        <w:numPr>
          <w:ilvl w:val="0"/>
          <w:numId w:val="8"/>
        </w:numPr>
        <w:spacing w:line="500" w:lineRule="exact"/>
        <w:ind w:firstLine="640" w:firstLineChars="200"/>
        <w:textAlignment w:val="baseline"/>
        <w:rPr>
          <w:rFonts w:ascii="仿宋_GB2312" w:hAnsi="仿宋_GB2312" w:eastAsia="仿宋_GB2312"/>
          <w:color w:val="auto"/>
          <w:kern w:val="0"/>
          <w:sz w:val="32"/>
        </w:rPr>
      </w:pPr>
      <w:r>
        <w:rPr>
          <w:rFonts w:hint="eastAsia" w:ascii="仿宋_GB2312" w:hAnsi="仿宋_GB2312" w:eastAsia="仿宋_GB2312"/>
          <w:color w:val="auto"/>
          <w:kern w:val="0"/>
          <w:sz w:val="32"/>
        </w:rPr>
        <w:t>宗地开、竣工时间：不迟于批准的集体经营性建设用地入市方案中确定的时间。</w:t>
      </w:r>
    </w:p>
    <w:p>
      <w:pPr>
        <w:numPr>
          <w:ilvl w:val="0"/>
          <w:numId w:val="8"/>
        </w:numPr>
        <w:spacing w:line="500" w:lineRule="exact"/>
        <w:ind w:firstLine="640" w:firstLineChars="200"/>
        <w:textAlignment w:val="baseline"/>
        <w:rPr>
          <w:rFonts w:ascii="仿宋_GB2312" w:hAnsi="仿宋_GB2312" w:eastAsia="仿宋_GB2312"/>
          <w:color w:val="auto"/>
          <w:kern w:val="0"/>
          <w:sz w:val="32"/>
        </w:rPr>
      </w:pPr>
      <w:r>
        <w:rPr>
          <w:rFonts w:hint="eastAsia" w:ascii="仿宋_GB2312" w:hAnsi="仿宋_GB2312" w:eastAsia="仿宋_GB2312"/>
          <w:color w:val="auto"/>
          <w:kern w:val="0"/>
          <w:sz w:val="32"/>
        </w:rPr>
        <w:t>宗地开发投资强度：应与建设项目立项批准文件一致。</w:t>
      </w:r>
    </w:p>
    <w:p>
      <w:pPr>
        <w:numPr>
          <w:ilvl w:val="0"/>
          <w:numId w:val="8"/>
        </w:numPr>
        <w:spacing w:line="500" w:lineRule="exact"/>
        <w:ind w:firstLine="640" w:firstLineChars="200"/>
        <w:textAlignment w:val="baseline"/>
        <w:rPr>
          <w:rFonts w:ascii="仿宋_GB2312" w:hAnsi="仿宋_GB2312" w:eastAsia="仿宋_GB2312"/>
          <w:color w:val="auto"/>
          <w:kern w:val="0"/>
          <w:sz w:val="32"/>
        </w:rPr>
      </w:pPr>
      <w:r>
        <w:rPr>
          <w:rFonts w:hint="eastAsia" w:ascii="仿宋_GB2312" w:hAnsi="仿宋_GB2312" w:eastAsia="仿宋_GB2312"/>
          <w:color w:val="auto"/>
          <w:kern w:val="0"/>
          <w:sz w:val="32"/>
        </w:rPr>
        <w:t>宗地范围内新增建筑物、构筑物及其附属设施、宗地建设配套的建设标准：应与规划部门批准的宗地规划条件一致。</w:t>
      </w:r>
    </w:p>
    <w:p>
      <w:pPr>
        <w:autoSpaceDE w:val="0"/>
        <w:autoSpaceDN w:val="0"/>
        <w:adjustRightInd w:val="0"/>
        <w:snapToGrid w:val="0"/>
        <w:jc w:val="center"/>
        <w:rPr>
          <w:rFonts w:eastAsia="黑体"/>
          <w:color w:val="auto"/>
          <w:spacing w:val="83"/>
          <w:kern w:val="0"/>
          <w:sz w:val="32"/>
        </w:rPr>
      </w:pPr>
      <w:r>
        <w:rPr>
          <w:rFonts w:eastAsia="黑体"/>
          <w:color w:val="auto"/>
          <w:spacing w:val="83"/>
          <w:kern w:val="0"/>
          <w:sz w:val="32"/>
        </w:rPr>
        <w:br w:type="page"/>
      </w:r>
    </w:p>
    <w:p>
      <w:pPr>
        <w:autoSpaceDE w:val="0"/>
        <w:autoSpaceDN w:val="0"/>
        <w:adjustRightInd w:val="0"/>
        <w:snapToGrid w:val="0"/>
        <w:jc w:val="left"/>
        <w:rPr>
          <w:rFonts w:eastAsia="仿宋_GB2312"/>
          <w:strike/>
          <w:color w:val="auto"/>
          <w:sz w:val="32"/>
        </w:rPr>
      </w:pPr>
      <w:r>
        <w:rPr>
          <w:rFonts w:eastAsia="仿宋_GB2312"/>
          <w:color w:val="auto"/>
          <w:sz w:val="32"/>
        </w:rPr>
        <w:t>合同编号：</w:t>
      </w:r>
      <w:r>
        <w:rPr>
          <w:rFonts w:eastAsia="仿宋_GB2312"/>
          <w:color w:val="auto"/>
          <w:sz w:val="32"/>
          <w:u w:val="single"/>
        </w:rPr>
        <w:t xml:space="preserve"> 京 集地出【合】字（      ）第      号 </w:t>
      </w:r>
    </w:p>
    <w:p>
      <w:pPr>
        <w:rPr>
          <w:strike/>
          <w:color w:val="auto"/>
          <w:sz w:val="32"/>
        </w:rPr>
      </w:pPr>
    </w:p>
    <w:p>
      <w:pPr>
        <w:jc w:val="center"/>
        <w:rPr>
          <w:rFonts w:eastAsia="黑体"/>
          <w:b/>
          <w:color w:val="auto"/>
          <w:sz w:val="44"/>
        </w:rPr>
      </w:pPr>
      <w:r>
        <w:rPr>
          <w:rFonts w:eastAsia="方正小标宋简体"/>
          <w:b/>
          <w:color w:val="auto"/>
          <w:kern w:val="0"/>
          <w:sz w:val="48"/>
        </w:rPr>
        <w:t>北京市集体经营性建设用地使用合同</w:t>
      </w:r>
    </w:p>
    <w:p>
      <w:pPr>
        <w:rPr>
          <w:rFonts w:eastAsia="仿宋_GB2312"/>
          <w:color w:val="auto"/>
          <w:sz w:val="32"/>
        </w:rPr>
      </w:pPr>
    </w:p>
    <w:p>
      <w:pPr>
        <w:jc w:val="left"/>
        <w:rPr>
          <w:rFonts w:eastAsia="仿宋_GB2312"/>
          <w:color w:val="auto"/>
          <w:sz w:val="32"/>
        </w:rPr>
      </w:pPr>
      <w:r>
        <w:rPr>
          <w:rFonts w:eastAsia="仿宋_GB2312"/>
          <w:color w:val="auto"/>
          <w:sz w:val="32"/>
        </w:rPr>
        <w:t>本合同双方当事人：</w:t>
      </w:r>
    </w:p>
    <w:p>
      <w:pPr>
        <w:jc w:val="left"/>
        <w:rPr>
          <w:rFonts w:eastAsia="仿宋_GB2312"/>
          <w:strike/>
          <w:color w:val="auto"/>
          <w:kern w:val="0"/>
          <w:sz w:val="32"/>
          <w:u w:val="single"/>
        </w:rPr>
      </w:pPr>
      <w:r>
        <w:rPr>
          <w:rFonts w:eastAsia="仿宋_GB2312"/>
          <w:color w:val="auto"/>
          <w:sz w:val="32"/>
        </w:rPr>
        <w:t>出 让 人：；</w:t>
      </w:r>
    </w:p>
    <w:p>
      <w:pPr>
        <w:jc w:val="left"/>
        <w:rPr>
          <w:rFonts w:eastAsia="仿宋_GB2312"/>
          <w:strike/>
          <w:color w:val="auto"/>
          <w:sz w:val="32"/>
        </w:rPr>
      </w:pPr>
      <w:r>
        <w:rPr>
          <w:rFonts w:eastAsia="仿宋_GB2312"/>
          <w:color w:val="auto"/>
          <w:sz w:val="32"/>
        </w:rPr>
        <w:t>通讯地址：；</w:t>
      </w:r>
    </w:p>
    <w:p>
      <w:pPr>
        <w:jc w:val="left"/>
        <w:rPr>
          <w:rFonts w:eastAsia="仿宋_GB2312"/>
          <w:strike/>
          <w:color w:val="auto"/>
          <w:kern w:val="0"/>
          <w:sz w:val="32"/>
          <w:u w:val="single"/>
        </w:rPr>
      </w:pPr>
      <w:r>
        <w:rPr>
          <w:rFonts w:eastAsia="仿宋_GB2312"/>
          <w:color w:val="auto"/>
          <w:sz w:val="32"/>
        </w:rPr>
        <w:t>法定代表人：；</w:t>
      </w:r>
    </w:p>
    <w:p>
      <w:pPr>
        <w:jc w:val="left"/>
        <w:rPr>
          <w:rFonts w:eastAsia="仿宋_GB2312"/>
          <w:strike/>
          <w:color w:val="auto"/>
          <w:kern w:val="0"/>
          <w:sz w:val="32"/>
          <w:u w:val="single"/>
        </w:rPr>
      </w:pPr>
      <w:r>
        <w:rPr>
          <w:rFonts w:eastAsia="仿宋_GB2312"/>
          <w:color w:val="auto"/>
          <w:sz w:val="32"/>
        </w:rPr>
        <w:t>职    位：；</w:t>
      </w:r>
    </w:p>
    <w:p>
      <w:pPr>
        <w:jc w:val="left"/>
        <w:rPr>
          <w:rFonts w:eastAsia="仿宋_GB2312"/>
          <w:strike/>
          <w:color w:val="auto"/>
          <w:sz w:val="32"/>
        </w:rPr>
      </w:pPr>
      <w:r>
        <w:rPr>
          <w:rFonts w:eastAsia="仿宋_GB2312"/>
          <w:color w:val="auto"/>
          <w:sz w:val="32"/>
        </w:rPr>
        <w:t>电    话：；</w:t>
      </w:r>
    </w:p>
    <w:p>
      <w:pPr>
        <w:jc w:val="left"/>
        <w:rPr>
          <w:rFonts w:eastAsia="仿宋_GB2312"/>
          <w:strike/>
          <w:color w:val="auto"/>
          <w:sz w:val="32"/>
        </w:rPr>
      </w:pPr>
      <w:r>
        <w:rPr>
          <w:rFonts w:eastAsia="仿宋_GB2312"/>
          <w:color w:val="auto"/>
          <w:sz w:val="32"/>
        </w:rPr>
        <w:t>传    真：；</w:t>
      </w:r>
    </w:p>
    <w:p>
      <w:pPr>
        <w:jc w:val="left"/>
        <w:rPr>
          <w:rFonts w:eastAsia="仿宋_GB2312"/>
          <w:strike/>
          <w:color w:val="auto"/>
          <w:sz w:val="32"/>
        </w:rPr>
      </w:pPr>
      <w:r>
        <w:rPr>
          <w:rFonts w:eastAsia="仿宋_GB2312"/>
          <w:color w:val="auto"/>
          <w:sz w:val="32"/>
        </w:rPr>
        <w:t>开户银行：；</w:t>
      </w:r>
    </w:p>
    <w:p>
      <w:pPr>
        <w:jc w:val="left"/>
        <w:rPr>
          <w:rFonts w:eastAsia="仿宋_GB2312"/>
          <w:strike/>
          <w:color w:val="auto"/>
          <w:sz w:val="32"/>
        </w:rPr>
      </w:pPr>
      <w:r>
        <w:rPr>
          <w:rFonts w:eastAsia="仿宋_GB2312"/>
          <w:color w:val="auto"/>
          <w:sz w:val="32"/>
        </w:rPr>
        <w:t>账    号：。</w:t>
      </w:r>
    </w:p>
    <w:p>
      <w:pPr>
        <w:jc w:val="left"/>
        <w:rPr>
          <w:rFonts w:eastAsia="仿宋_GB2312"/>
          <w:strike/>
          <w:color w:val="auto"/>
          <w:sz w:val="32"/>
        </w:rPr>
      </w:pPr>
      <w:r>
        <w:rPr>
          <w:rFonts w:eastAsia="仿宋_GB2312"/>
          <w:color w:val="auto"/>
          <w:sz w:val="32"/>
        </w:rPr>
        <w:t>受 让 人：；</w:t>
      </w:r>
    </w:p>
    <w:p>
      <w:pPr>
        <w:jc w:val="left"/>
        <w:rPr>
          <w:rFonts w:eastAsia="仿宋_GB2312"/>
          <w:color w:val="auto"/>
          <w:sz w:val="32"/>
        </w:rPr>
      </w:pPr>
      <w:r>
        <w:rPr>
          <w:rFonts w:eastAsia="仿宋_GB2312"/>
          <w:color w:val="auto"/>
          <w:sz w:val="32"/>
        </w:rPr>
        <w:t>通讯地址：；</w:t>
      </w:r>
    </w:p>
    <w:p>
      <w:pPr>
        <w:jc w:val="left"/>
        <w:rPr>
          <w:rFonts w:eastAsia="仿宋_GB2312"/>
          <w:strike/>
          <w:color w:val="auto"/>
          <w:kern w:val="0"/>
          <w:sz w:val="32"/>
          <w:u w:val="single"/>
        </w:rPr>
      </w:pPr>
      <w:r>
        <w:rPr>
          <w:rFonts w:eastAsia="仿宋_GB2312"/>
          <w:color w:val="auto"/>
          <w:sz w:val="32"/>
        </w:rPr>
        <w:t>法定代表人：；</w:t>
      </w:r>
    </w:p>
    <w:p>
      <w:pPr>
        <w:jc w:val="left"/>
        <w:rPr>
          <w:rFonts w:eastAsia="仿宋_GB2312"/>
          <w:strike/>
          <w:color w:val="auto"/>
          <w:kern w:val="0"/>
          <w:sz w:val="32"/>
          <w:u w:val="single"/>
        </w:rPr>
      </w:pPr>
      <w:r>
        <w:rPr>
          <w:rFonts w:eastAsia="仿宋_GB2312"/>
          <w:color w:val="auto"/>
          <w:sz w:val="32"/>
        </w:rPr>
        <w:t>职    位：；</w:t>
      </w:r>
    </w:p>
    <w:p>
      <w:pPr>
        <w:jc w:val="left"/>
        <w:rPr>
          <w:rFonts w:eastAsia="仿宋_GB2312"/>
          <w:strike/>
          <w:color w:val="auto"/>
          <w:sz w:val="32"/>
        </w:rPr>
      </w:pPr>
      <w:r>
        <w:rPr>
          <w:rFonts w:eastAsia="仿宋_GB2312"/>
          <w:color w:val="auto"/>
          <w:sz w:val="32"/>
        </w:rPr>
        <w:t>电    话：；</w:t>
      </w:r>
    </w:p>
    <w:p>
      <w:pPr>
        <w:jc w:val="left"/>
        <w:rPr>
          <w:rFonts w:eastAsia="仿宋_GB2312"/>
          <w:strike/>
          <w:color w:val="auto"/>
          <w:sz w:val="32"/>
        </w:rPr>
      </w:pPr>
      <w:r>
        <w:rPr>
          <w:rFonts w:eastAsia="仿宋_GB2312"/>
          <w:color w:val="auto"/>
          <w:sz w:val="32"/>
        </w:rPr>
        <w:t>传    真：；</w:t>
      </w:r>
    </w:p>
    <w:p>
      <w:pPr>
        <w:jc w:val="left"/>
        <w:rPr>
          <w:rFonts w:eastAsia="仿宋_GB2312"/>
          <w:strike/>
          <w:color w:val="auto"/>
          <w:sz w:val="32"/>
        </w:rPr>
      </w:pPr>
      <w:r>
        <w:rPr>
          <w:rFonts w:eastAsia="仿宋_GB2312"/>
          <w:color w:val="auto"/>
          <w:sz w:val="32"/>
        </w:rPr>
        <w:t>开户银行：；</w:t>
      </w:r>
    </w:p>
    <w:p>
      <w:pPr>
        <w:jc w:val="left"/>
        <w:rPr>
          <w:rFonts w:eastAsia="仿宋_GB2312"/>
          <w:strike/>
          <w:color w:val="auto"/>
          <w:sz w:val="32"/>
        </w:rPr>
      </w:pPr>
      <w:r>
        <w:rPr>
          <w:rFonts w:eastAsia="仿宋_GB2312"/>
          <w:color w:val="auto"/>
          <w:sz w:val="32"/>
        </w:rPr>
        <w:t>账    号：。</w:t>
      </w:r>
    </w:p>
    <w:p>
      <w:pPr>
        <w:pageBreakBefore/>
        <w:spacing w:beforeLines="100" w:afterLines="100" w:line="580" w:lineRule="exact"/>
        <w:ind w:firstLine="720" w:firstLineChars="200"/>
        <w:jc w:val="center"/>
        <w:rPr>
          <w:rFonts w:eastAsia="黑体"/>
          <w:color w:val="auto"/>
          <w:kern w:val="0"/>
          <w:sz w:val="36"/>
        </w:rPr>
      </w:pPr>
      <w:r>
        <w:rPr>
          <w:rFonts w:eastAsia="黑体"/>
          <w:color w:val="auto"/>
          <w:kern w:val="0"/>
          <w:sz w:val="36"/>
        </w:rPr>
        <w:t>第一章  总    则</w:t>
      </w:r>
    </w:p>
    <w:p>
      <w:pPr>
        <w:numPr>
          <w:ilvl w:val="0"/>
          <w:numId w:val="9"/>
        </w:numPr>
        <w:spacing w:line="580" w:lineRule="exact"/>
        <w:ind w:left="8" w:leftChars="4" w:firstLine="627" w:firstLineChars="196"/>
        <w:rPr>
          <w:rFonts w:eastAsia="仿宋_GB2312"/>
          <w:color w:val="auto"/>
          <w:kern w:val="0"/>
          <w:sz w:val="32"/>
        </w:rPr>
      </w:pPr>
      <w:r>
        <w:rPr>
          <w:rFonts w:eastAsia="仿宋_GB2312"/>
          <w:color w:val="auto"/>
          <w:kern w:val="0"/>
          <w:sz w:val="32"/>
        </w:rPr>
        <w:t>根据《中华人民共和国物权法》、《中华人民共和国合同法》、《中华人民共和国土地管理法》、</w:t>
      </w:r>
      <w:r>
        <w:rPr>
          <w:rFonts w:hint="eastAsia" w:eastAsia="仿宋_GB2312"/>
          <w:color w:val="auto"/>
          <w:kern w:val="0"/>
          <w:sz w:val="32"/>
        </w:rPr>
        <w:t>《全国人大常委会关于授权国务院在北京市大兴区等三十三个试点县（市、区）行政区域暂时调整实施有关法律规定的决定》</w:t>
      </w:r>
      <w:r>
        <w:rPr>
          <w:rFonts w:hint="eastAsia" w:ascii="仿宋_GB2312" w:hAnsi="仿宋_GB2312" w:eastAsia="仿宋_GB2312"/>
          <w:color w:val="auto"/>
          <w:sz w:val="32"/>
        </w:rPr>
        <w:t>、</w:t>
      </w:r>
      <w:r>
        <w:rPr>
          <w:rFonts w:eastAsia="仿宋_GB2312"/>
          <w:color w:val="auto"/>
          <w:kern w:val="0"/>
          <w:sz w:val="32"/>
        </w:rPr>
        <w:t>《北京市农村集体经营性建设用地入市试点暂行办法》等法律法规及政策规定，双方本着平等、自愿、有偿、诚实信用的原则，订立本</w:t>
      </w:r>
      <w:r>
        <w:rPr>
          <w:rFonts w:hint="eastAsia" w:eastAsia="仿宋_GB2312"/>
          <w:color w:val="auto"/>
          <w:kern w:val="0"/>
          <w:sz w:val="32"/>
        </w:rPr>
        <w:t>使用</w:t>
      </w:r>
      <w:r>
        <w:rPr>
          <w:rFonts w:eastAsia="仿宋_GB2312"/>
          <w:color w:val="auto"/>
          <w:kern w:val="0"/>
          <w:sz w:val="32"/>
        </w:rPr>
        <w:t>合同。</w:t>
      </w:r>
    </w:p>
    <w:p>
      <w:pPr>
        <w:numPr>
          <w:ilvl w:val="0"/>
          <w:numId w:val="9"/>
        </w:numPr>
        <w:spacing w:line="580" w:lineRule="exact"/>
        <w:ind w:left="8" w:leftChars="4" w:firstLine="627" w:firstLineChars="196"/>
        <w:rPr>
          <w:rFonts w:eastAsia="仿宋_GB2312"/>
          <w:color w:val="auto"/>
          <w:kern w:val="0"/>
          <w:sz w:val="32"/>
        </w:rPr>
      </w:pPr>
      <w:r>
        <w:rPr>
          <w:rFonts w:eastAsia="仿宋_GB2312"/>
          <w:color w:val="auto"/>
          <w:kern w:val="0"/>
          <w:sz w:val="32"/>
        </w:rPr>
        <w:t xml:space="preserve"> 出让土地的所有权属原土地所有者，出让人依法出让集体建设用地使用权，地下资源、埋藏物不属于集体建设用地使用权出让范围。</w:t>
      </w:r>
    </w:p>
    <w:p>
      <w:pPr>
        <w:numPr>
          <w:ilvl w:val="0"/>
          <w:numId w:val="9"/>
        </w:numPr>
        <w:spacing w:line="580" w:lineRule="exact"/>
        <w:ind w:left="8" w:leftChars="4" w:firstLine="627" w:firstLineChars="196"/>
        <w:rPr>
          <w:rFonts w:eastAsia="仿宋_GB2312"/>
          <w:color w:val="auto"/>
          <w:kern w:val="0"/>
          <w:sz w:val="32"/>
        </w:rPr>
      </w:pPr>
      <w:r>
        <w:rPr>
          <w:rFonts w:eastAsia="仿宋_GB2312"/>
          <w:color w:val="auto"/>
          <w:kern w:val="0"/>
          <w:sz w:val="32"/>
        </w:rPr>
        <w:t xml:space="preserve"> 受让人对依法取得的集体经营性建设用地，在出让期限内享有占有、使用、收益和依法处置的权利，有权利用该土地依法建造建筑物、构筑物及其附属设施。</w:t>
      </w:r>
    </w:p>
    <w:p>
      <w:pPr>
        <w:numPr>
          <w:ilvl w:val="0"/>
          <w:numId w:val="9"/>
        </w:numPr>
        <w:spacing w:line="580" w:lineRule="exact"/>
        <w:ind w:left="8" w:leftChars="4" w:firstLine="627" w:firstLineChars="196"/>
        <w:rPr>
          <w:rFonts w:eastAsia="仿宋_GB2312"/>
          <w:color w:val="auto"/>
          <w:kern w:val="0"/>
          <w:sz w:val="32"/>
        </w:rPr>
      </w:pPr>
      <w:r>
        <w:rPr>
          <w:rFonts w:hint="eastAsia" w:ascii="仿宋_GB2312" w:eastAsia="仿宋_GB2312"/>
          <w:color w:val="auto"/>
          <w:kern w:val="0"/>
          <w:sz w:val="32"/>
        </w:rPr>
        <w:t xml:space="preserve"> 国土资源管理等监管部门依法对受让人的土地利用行为进行监管，受让人承诺遵守法律法规有关规定，集约节约利用土地，并同意接受监管部门的监管行为。</w:t>
      </w:r>
    </w:p>
    <w:p>
      <w:pPr>
        <w:numPr>
          <w:ilvl w:val="0"/>
          <w:numId w:val="9"/>
        </w:numPr>
        <w:spacing w:line="580" w:lineRule="exact"/>
        <w:ind w:left="8" w:leftChars="4" w:firstLine="627" w:firstLineChars="196"/>
        <w:rPr>
          <w:rFonts w:eastAsia="仿宋_GB2312"/>
          <w:color w:val="auto"/>
          <w:kern w:val="0"/>
          <w:sz w:val="32"/>
        </w:rPr>
      </w:pPr>
      <w:r>
        <w:rPr>
          <w:rFonts w:hint="eastAsia" w:eastAsia="仿宋_GB2312"/>
          <w:color w:val="auto"/>
          <w:kern w:val="0"/>
          <w:sz w:val="32"/>
        </w:rPr>
        <w:t xml:space="preserve"> 双方</w:t>
      </w:r>
      <w:r>
        <w:rPr>
          <w:rFonts w:hint="eastAsia" w:ascii="仿宋_GB2312" w:eastAsia="仿宋_GB2312"/>
          <w:color w:val="auto"/>
          <w:kern w:val="0"/>
          <w:sz w:val="32"/>
        </w:rPr>
        <w:t>在签订本合同后，受让人应在5个工作日内依法向出让宗地所在区县</w:t>
      </w:r>
      <w:r>
        <w:rPr>
          <w:rFonts w:hint="eastAsia" w:ascii="仿宋_GB2312" w:hAnsi="仿宋_GB2312" w:eastAsia="仿宋_GB2312"/>
          <w:color w:val="auto"/>
          <w:sz w:val="32"/>
        </w:rPr>
        <w:t>国土资源管理部门提出集体土地使用合同备案</w:t>
      </w:r>
      <w:r>
        <w:rPr>
          <w:rFonts w:hint="eastAsia" w:ascii="仿宋_GB2312" w:eastAsia="仿宋_GB2312"/>
          <w:color w:val="auto"/>
          <w:kern w:val="0"/>
          <w:sz w:val="32"/>
        </w:rPr>
        <w:t>。本合同重要条款发生变更的，受让人应在合同变更后5个工作日内申请合同备案变更。</w:t>
      </w:r>
    </w:p>
    <w:p>
      <w:pPr>
        <w:spacing w:line="580" w:lineRule="exact"/>
        <w:ind w:left="420" w:leftChars="200"/>
        <w:rPr>
          <w:rFonts w:eastAsia="仿宋_GB2312"/>
          <w:color w:val="auto"/>
          <w:kern w:val="0"/>
          <w:sz w:val="32"/>
        </w:rPr>
      </w:pPr>
    </w:p>
    <w:p>
      <w:pPr>
        <w:spacing w:beforeLines="100" w:afterLines="100" w:line="580" w:lineRule="exact"/>
        <w:ind w:firstLine="720" w:firstLineChars="200"/>
        <w:jc w:val="center"/>
        <w:rPr>
          <w:rFonts w:eastAsia="黑体"/>
          <w:color w:val="auto"/>
          <w:kern w:val="0"/>
          <w:sz w:val="36"/>
        </w:rPr>
      </w:pPr>
      <w:r>
        <w:rPr>
          <w:rFonts w:eastAsia="黑体"/>
          <w:color w:val="auto"/>
          <w:kern w:val="0"/>
          <w:sz w:val="36"/>
        </w:rPr>
        <w:t>第二章  出让土地的交付与出让价款的缴纳</w:t>
      </w:r>
    </w:p>
    <w:p>
      <w:pPr>
        <w:numPr>
          <w:ilvl w:val="0"/>
          <w:numId w:val="9"/>
        </w:numPr>
        <w:spacing w:line="580" w:lineRule="exact"/>
        <w:ind w:left="8" w:leftChars="4" w:firstLine="706" w:firstLineChars="196"/>
        <w:rPr>
          <w:rFonts w:eastAsia="仿宋_GB2312"/>
          <w:color w:val="auto"/>
          <w:kern w:val="0"/>
          <w:sz w:val="32"/>
        </w:rPr>
      </w:pPr>
      <w:r>
        <w:rPr>
          <w:rFonts w:eastAsia="仿宋_GB2312"/>
          <w:color w:val="auto"/>
          <w:spacing w:val="20"/>
          <w:kern w:val="0"/>
          <w:sz w:val="32"/>
        </w:rPr>
        <w:t>本</w:t>
      </w:r>
      <w:r>
        <w:rPr>
          <w:rFonts w:eastAsia="仿宋_GB2312"/>
          <w:color w:val="auto"/>
          <w:kern w:val="0"/>
          <w:sz w:val="32"/>
        </w:rPr>
        <w:t>合同项</w:t>
      </w:r>
      <w:r>
        <w:rPr>
          <w:rFonts w:eastAsia="仿宋_GB2312"/>
          <w:color w:val="auto"/>
          <w:spacing w:val="20"/>
          <w:kern w:val="0"/>
          <w:sz w:val="32"/>
        </w:rPr>
        <w:t>下出让宗地编号为，宗地总面积大写平方米（小写平方米），其中出让宗地面积为大写平方米（小写平方米）。</w:t>
      </w:r>
    </w:p>
    <w:p>
      <w:pPr>
        <w:spacing w:line="580" w:lineRule="exact"/>
        <w:ind w:firstLine="640" w:firstLineChars="200"/>
        <w:rPr>
          <w:rFonts w:eastAsia="仿宋_GB2312"/>
          <w:strike/>
          <w:color w:val="auto"/>
          <w:sz w:val="32"/>
        </w:rPr>
      </w:pPr>
      <w:r>
        <w:rPr>
          <w:rFonts w:eastAsia="仿宋_GB2312"/>
          <w:color w:val="auto"/>
          <w:kern w:val="0"/>
          <w:sz w:val="32"/>
        </w:rPr>
        <w:t>本合同项下的出让宗地坐落于。</w:t>
      </w:r>
    </w:p>
    <w:p>
      <w:pPr>
        <w:spacing w:line="580" w:lineRule="exact"/>
        <w:ind w:firstLine="640" w:firstLineChars="200"/>
        <w:rPr>
          <w:rFonts w:eastAsia="仿宋_GB2312"/>
          <w:color w:val="auto"/>
          <w:kern w:val="0"/>
          <w:sz w:val="32"/>
        </w:rPr>
      </w:pPr>
      <w:r>
        <w:rPr>
          <w:rFonts w:eastAsia="仿宋_GB2312"/>
          <w:color w:val="auto"/>
          <w:kern w:val="0"/>
          <w:sz w:val="32"/>
        </w:rPr>
        <w:t>本合同项下出让宗地的平面界址为</w:t>
      </w:r>
      <w:r>
        <w:rPr>
          <w:rFonts w:eastAsia="仿宋_GB2312"/>
          <w:color w:val="auto"/>
          <w:sz w:val="32"/>
          <w:u w:val="single"/>
        </w:rPr>
        <w:t xml:space="preserve">东至      ;南至    ;西至     ;北至       </w:t>
      </w:r>
      <w:r>
        <w:rPr>
          <w:rFonts w:eastAsia="仿宋_GB2312"/>
          <w:color w:val="auto"/>
          <w:kern w:val="0"/>
          <w:sz w:val="32"/>
        </w:rPr>
        <w:t>；出让宗地的平面界址图见附件1。</w:t>
      </w:r>
    </w:p>
    <w:p>
      <w:pPr>
        <w:spacing w:line="580" w:lineRule="exact"/>
        <w:rPr>
          <w:rFonts w:eastAsia="仿宋_GB2312"/>
          <w:color w:val="auto"/>
          <w:kern w:val="0"/>
          <w:sz w:val="32"/>
        </w:rPr>
      </w:pPr>
      <w:r>
        <w:rPr>
          <w:rFonts w:eastAsia="仿宋_GB2312"/>
          <w:color w:val="auto"/>
          <w:kern w:val="0"/>
          <w:sz w:val="32"/>
        </w:rPr>
        <w:t xml:space="preserve">    本合同项下出让宗地的竖向界限以为</w:t>
      </w:r>
      <w:r>
        <w:rPr>
          <w:rFonts w:hint="eastAsia" w:eastAsia="仿宋_GB2312"/>
          <w:color w:val="auto"/>
          <w:kern w:val="0"/>
          <w:sz w:val="32"/>
          <w:u w:val="single"/>
        </w:rPr>
        <w:t xml:space="preserve">   </w:t>
      </w:r>
      <w:r>
        <w:rPr>
          <w:rFonts w:eastAsia="仿宋_GB2312"/>
          <w:color w:val="auto"/>
          <w:kern w:val="0"/>
          <w:sz w:val="32"/>
        </w:rPr>
        <w:t>上界限，以</w:t>
      </w:r>
      <w:r>
        <w:rPr>
          <w:rFonts w:hint="eastAsia" w:eastAsia="仿宋_GB2312"/>
          <w:color w:val="auto"/>
          <w:kern w:val="0"/>
          <w:sz w:val="32"/>
          <w:u w:val="single"/>
        </w:rPr>
        <w:t xml:space="preserve"> 为</w:t>
      </w:r>
      <w:r>
        <w:rPr>
          <w:rFonts w:eastAsia="仿宋_GB2312"/>
          <w:color w:val="auto"/>
          <w:kern w:val="0"/>
          <w:sz w:val="32"/>
        </w:rPr>
        <w:t>界限，高差为米。出让宗地竖向界限见附件2。</w:t>
      </w:r>
    </w:p>
    <w:p>
      <w:pPr>
        <w:spacing w:line="580" w:lineRule="exact"/>
        <w:ind w:firstLine="640" w:firstLineChars="200"/>
        <w:rPr>
          <w:rFonts w:eastAsia="仿宋_GB2312"/>
          <w:color w:val="auto"/>
          <w:kern w:val="0"/>
          <w:sz w:val="32"/>
        </w:rPr>
      </w:pPr>
      <w:r>
        <w:rPr>
          <w:rFonts w:eastAsia="仿宋_GB2312"/>
          <w:color w:val="auto"/>
          <w:kern w:val="0"/>
          <w:sz w:val="32"/>
        </w:rPr>
        <w:t>出让宗地空间范围是以上述界址点所构成的垂直面和上、下界限高程平面封闭形成的空间范围。</w:t>
      </w:r>
    </w:p>
    <w:p>
      <w:pPr>
        <w:numPr>
          <w:ilvl w:val="0"/>
          <w:numId w:val="9"/>
        </w:numPr>
        <w:spacing w:line="580" w:lineRule="exact"/>
        <w:ind w:left="8" w:leftChars="4" w:firstLine="627" w:firstLineChars="196"/>
        <w:rPr>
          <w:rFonts w:eastAsia="仿宋_GB2312"/>
          <w:color w:val="auto"/>
          <w:kern w:val="0"/>
          <w:sz w:val="32"/>
        </w:rPr>
      </w:pPr>
      <w:r>
        <w:rPr>
          <w:rFonts w:eastAsia="仿宋_GB2312"/>
          <w:color w:val="auto"/>
          <w:kern w:val="0"/>
          <w:sz w:val="32"/>
        </w:rPr>
        <w:t>本合同项下出让宗地的用途为</w:t>
      </w:r>
      <w:r>
        <w:rPr>
          <w:rFonts w:hint="eastAsia" w:eastAsia="仿宋_GB2312"/>
          <w:color w:val="auto"/>
          <w:kern w:val="0"/>
          <w:sz w:val="32"/>
          <w:u w:val="single"/>
        </w:rPr>
        <w:t xml:space="preserve">    </w:t>
      </w:r>
      <w:r>
        <w:rPr>
          <w:rFonts w:eastAsia="仿宋_GB2312"/>
          <w:color w:val="auto"/>
          <w:kern w:val="0"/>
          <w:sz w:val="32"/>
        </w:rPr>
        <w:t>。</w:t>
      </w:r>
    </w:p>
    <w:p>
      <w:pPr>
        <w:numPr>
          <w:ilvl w:val="0"/>
          <w:numId w:val="9"/>
        </w:numPr>
        <w:tabs>
          <w:tab w:val="left" w:pos="1680"/>
        </w:tabs>
        <w:spacing w:line="580" w:lineRule="exact"/>
        <w:ind w:left="8" w:leftChars="4" w:firstLine="630" w:firstLineChars="175"/>
        <w:rPr>
          <w:rFonts w:eastAsia="仿宋_GB2312"/>
          <w:color w:val="auto"/>
          <w:spacing w:val="20"/>
          <w:kern w:val="0"/>
          <w:sz w:val="32"/>
        </w:rPr>
      </w:pPr>
      <w:r>
        <w:rPr>
          <w:rFonts w:eastAsia="仿宋_GB2312"/>
          <w:color w:val="auto"/>
          <w:spacing w:val="20"/>
          <w:kern w:val="0"/>
          <w:sz w:val="32"/>
        </w:rPr>
        <w:t>本</w:t>
      </w:r>
      <w:r>
        <w:rPr>
          <w:rFonts w:eastAsia="仿宋_GB2312"/>
          <w:color w:val="auto"/>
          <w:kern w:val="0"/>
          <w:sz w:val="32"/>
        </w:rPr>
        <w:t>合同项下</w:t>
      </w:r>
      <w:r>
        <w:rPr>
          <w:rFonts w:eastAsia="仿宋_GB2312"/>
          <w:color w:val="auto"/>
          <w:spacing w:val="20"/>
          <w:kern w:val="0"/>
          <w:sz w:val="32"/>
        </w:rPr>
        <w:t>的集体建设用地使用权出让年期为</w:t>
      </w:r>
      <w:r>
        <w:rPr>
          <w:rFonts w:hint="eastAsia" w:eastAsia="仿宋_GB2312"/>
          <w:color w:val="auto"/>
          <w:spacing w:val="20"/>
          <w:kern w:val="0"/>
          <w:sz w:val="32"/>
          <w:u w:val="single"/>
        </w:rPr>
        <w:t xml:space="preserve">   </w:t>
      </w:r>
      <w:r>
        <w:rPr>
          <w:rFonts w:eastAsia="仿宋_GB2312"/>
          <w:color w:val="auto"/>
          <w:spacing w:val="20"/>
          <w:kern w:val="0"/>
          <w:sz w:val="32"/>
        </w:rPr>
        <w:t>年，按本合同约定的交付土地之日起算</w:t>
      </w:r>
      <w:r>
        <w:rPr>
          <w:rFonts w:hint="eastAsia" w:eastAsia="仿宋_GB2312"/>
          <w:color w:val="auto"/>
          <w:spacing w:val="20"/>
          <w:kern w:val="0"/>
          <w:sz w:val="32"/>
        </w:rPr>
        <w:t>。</w:t>
      </w:r>
      <w:r>
        <w:rPr>
          <w:rFonts w:eastAsia="仿宋_GB2312"/>
          <w:color w:val="auto"/>
          <w:spacing w:val="20"/>
          <w:kern w:val="0"/>
          <w:sz w:val="32"/>
        </w:rPr>
        <w:t>原集体建设用地使用权补办出让手续的，出让年期自</w:t>
      </w:r>
      <w:r>
        <w:rPr>
          <w:rFonts w:hint="eastAsia" w:eastAsia="仿宋_GB2312"/>
          <w:color w:val="auto"/>
          <w:spacing w:val="20"/>
          <w:kern w:val="0"/>
          <w:sz w:val="32"/>
        </w:rPr>
        <w:t>本</w:t>
      </w:r>
      <w:r>
        <w:rPr>
          <w:rFonts w:eastAsia="仿宋_GB2312"/>
          <w:color w:val="auto"/>
          <w:spacing w:val="20"/>
          <w:kern w:val="0"/>
          <w:sz w:val="32"/>
        </w:rPr>
        <w:t>合同签订之日起算。</w:t>
      </w:r>
    </w:p>
    <w:p>
      <w:pPr>
        <w:numPr>
          <w:ilvl w:val="0"/>
          <w:numId w:val="9"/>
        </w:numPr>
        <w:spacing w:line="580" w:lineRule="exact"/>
        <w:ind w:left="8" w:leftChars="4" w:firstLine="706" w:firstLineChars="196"/>
        <w:rPr>
          <w:rFonts w:eastAsia="仿宋_GB2312"/>
          <w:color w:val="auto"/>
          <w:kern w:val="0"/>
          <w:sz w:val="32"/>
        </w:rPr>
      </w:pPr>
      <w:r>
        <w:rPr>
          <w:rFonts w:eastAsia="仿宋_GB2312"/>
          <w:color w:val="auto"/>
          <w:spacing w:val="20"/>
          <w:kern w:val="0"/>
          <w:sz w:val="32"/>
        </w:rPr>
        <w:t>本合同项下宗地的集体建设用地使用权出让价款</w:t>
      </w:r>
      <w:r>
        <w:rPr>
          <w:rFonts w:eastAsia="仿宋_GB2312"/>
          <w:color w:val="auto"/>
          <w:kern w:val="0"/>
          <w:sz w:val="32"/>
        </w:rPr>
        <w:t>为人民币大写元（小写元），每平方米人民币大写</w:t>
      </w:r>
      <w:r>
        <w:rPr>
          <w:rFonts w:eastAsia="仿宋_GB2312"/>
          <w:color w:val="auto"/>
          <w:sz w:val="32"/>
          <w:u w:val="single"/>
        </w:rPr>
        <w:t xml:space="preserve">楼面         </w:t>
      </w:r>
      <w:r>
        <w:rPr>
          <w:rFonts w:eastAsia="仿宋_GB2312"/>
          <w:color w:val="auto"/>
          <w:kern w:val="0"/>
          <w:sz w:val="32"/>
        </w:rPr>
        <w:t>元（小写</w:t>
      </w:r>
      <w:r>
        <w:rPr>
          <w:rFonts w:eastAsia="仿宋_GB2312"/>
          <w:color w:val="auto"/>
          <w:sz w:val="32"/>
          <w:u w:val="single"/>
        </w:rPr>
        <w:t xml:space="preserve">楼面      </w:t>
      </w:r>
      <w:r>
        <w:rPr>
          <w:rFonts w:eastAsia="仿宋_GB2312"/>
          <w:color w:val="auto"/>
          <w:kern w:val="0"/>
          <w:sz w:val="32"/>
        </w:rPr>
        <w:t>元）。</w:t>
      </w:r>
    </w:p>
    <w:p>
      <w:pPr>
        <w:numPr>
          <w:ilvl w:val="0"/>
          <w:numId w:val="9"/>
        </w:numPr>
        <w:spacing w:line="580" w:lineRule="exact"/>
        <w:ind w:left="8" w:leftChars="4" w:firstLine="627" w:firstLineChars="196"/>
        <w:rPr>
          <w:rFonts w:eastAsia="仿宋_GB2312"/>
          <w:color w:val="auto"/>
          <w:kern w:val="0"/>
          <w:sz w:val="32"/>
        </w:rPr>
      </w:pPr>
      <w:r>
        <w:rPr>
          <w:rFonts w:hint="eastAsia" w:eastAsia="仿宋_GB2312"/>
          <w:color w:val="auto"/>
          <w:kern w:val="0"/>
          <w:sz w:val="32"/>
        </w:rPr>
        <w:t>受让人同意在本合同项下宗地建设竣工后日内，无偿交付给出让人建筑面积为</w:t>
      </w:r>
      <w:r>
        <w:rPr>
          <w:rFonts w:hint="eastAsia" w:eastAsia="仿宋_GB2312"/>
          <w:color w:val="auto"/>
          <w:kern w:val="0"/>
          <w:sz w:val="32"/>
          <w:u w:val="single"/>
        </w:rPr>
        <w:t xml:space="preserve">    </w:t>
      </w:r>
      <w:r>
        <w:rPr>
          <w:rFonts w:hint="eastAsia" w:eastAsia="仿宋_GB2312"/>
          <w:color w:val="auto"/>
          <w:kern w:val="0"/>
          <w:sz w:val="32"/>
        </w:rPr>
        <w:t>平方米的建筑物等物业，物业所有权归出让人。具体位置、建设要求等在补充协议中予以明确。</w:t>
      </w:r>
    </w:p>
    <w:p>
      <w:pPr>
        <w:numPr>
          <w:ilvl w:val="0"/>
          <w:numId w:val="9"/>
        </w:numPr>
        <w:spacing w:line="580" w:lineRule="exact"/>
        <w:ind w:left="8" w:leftChars="4" w:firstLine="706" w:firstLineChars="196"/>
        <w:rPr>
          <w:rFonts w:eastAsia="仿宋_GB2312"/>
          <w:color w:val="auto"/>
          <w:spacing w:val="20"/>
          <w:kern w:val="0"/>
          <w:sz w:val="32"/>
        </w:rPr>
      </w:pPr>
      <w:r>
        <w:rPr>
          <w:rFonts w:eastAsia="仿宋_GB2312"/>
          <w:color w:val="auto"/>
          <w:spacing w:val="20"/>
          <w:kern w:val="0"/>
          <w:sz w:val="32"/>
        </w:rPr>
        <w:t>本合同项下宗地的集体建设用地使用权</w:t>
      </w:r>
      <w:r>
        <w:rPr>
          <w:rFonts w:hint="eastAsia" w:eastAsia="仿宋_GB2312"/>
          <w:color w:val="auto"/>
          <w:spacing w:val="20"/>
          <w:kern w:val="0"/>
          <w:sz w:val="32"/>
        </w:rPr>
        <w:t>土地增值收益调节金</w:t>
      </w:r>
      <w:r>
        <w:rPr>
          <w:rFonts w:eastAsia="仿宋_GB2312"/>
          <w:color w:val="auto"/>
          <w:spacing w:val="20"/>
          <w:kern w:val="0"/>
          <w:sz w:val="32"/>
        </w:rPr>
        <w:t>为人民币大</w:t>
      </w:r>
      <w:r>
        <w:rPr>
          <w:rFonts w:eastAsia="仿宋_GB2312"/>
          <w:color w:val="auto"/>
          <w:kern w:val="0"/>
          <w:sz w:val="32"/>
        </w:rPr>
        <w:t>写</w:t>
      </w:r>
      <w:r>
        <w:rPr>
          <w:rFonts w:hint="eastAsia" w:eastAsia="仿宋_GB2312"/>
          <w:color w:val="auto"/>
          <w:kern w:val="0"/>
          <w:sz w:val="32"/>
          <w:u w:val="single"/>
        </w:rPr>
        <w:t xml:space="preserve">    </w:t>
      </w:r>
      <w:r>
        <w:rPr>
          <w:rFonts w:eastAsia="仿宋_GB2312"/>
          <w:color w:val="auto"/>
          <w:kern w:val="0"/>
          <w:sz w:val="32"/>
        </w:rPr>
        <w:t>元（小写</w:t>
      </w:r>
      <w:r>
        <w:rPr>
          <w:rFonts w:hint="eastAsia" w:eastAsia="仿宋_GB2312"/>
          <w:color w:val="auto"/>
          <w:kern w:val="0"/>
          <w:sz w:val="32"/>
          <w:u w:val="single"/>
        </w:rPr>
        <w:t xml:space="preserve">  </w:t>
      </w:r>
      <w:r>
        <w:rPr>
          <w:rFonts w:eastAsia="仿宋_GB2312"/>
          <w:color w:val="auto"/>
          <w:kern w:val="0"/>
          <w:sz w:val="32"/>
        </w:rPr>
        <w:t>元）</w:t>
      </w:r>
      <w:r>
        <w:rPr>
          <w:rFonts w:hint="eastAsia" w:eastAsia="仿宋_GB2312"/>
          <w:color w:val="auto"/>
          <w:kern w:val="0"/>
          <w:sz w:val="32"/>
        </w:rPr>
        <w:t>，（其中：由出让方缴纳</w:t>
      </w:r>
      <w:r>
        <w:rPr>
          <w:rFonts w:hint="eastAsia" w:eastAsia="仿宋_GB2312"/>
          <w:color w:val="auto"/>
          <w:kern w:val="0"/>
          <w:sz w:val="32"/>
          <w:u w:val="single"/>
        </w:rPr>
        <w:t xml:space="preserve">   </w:t>
      </w:r>
      <w:r>
        <w:rPr>
          <w:rFonts w:hint="eastAsia" w:eastAsia="仿宋_GB2312"/>
          <w:color w:val="auto"/>
          <w:kern w:val="0"/>
          <w:sz w:val="32"/>
        </w:rPr>
        <w:t>元、受让方缴纳</w:t>
      </w:r>
      <w:r>
        <w:rPr>
          <w:rFonts w:hint="eastAsia" w:eastAsia="仿宋_GB2312"/>
          <w:color w:val="auto"/>
          <w:kern w:val="0"/>
          <w:sz w:val="32"/>
          <w:u w:val="single"/>
        </w:rPr>
        <w:t xml:space="preserve">   </w:t>
      </w:r>
      <w:r>
        <w:rPr>
          <w:rFonts w:hint="eastAsia" w:eastAsia="仿宋_GB2312"/>
          <w:color w:val="auto"/>
          <w:kern w:val="0"/>
          <w:sz w:val="32"/>
        </w:rPr>
        <w:t>元） ，</w:t>
      </w:r>
      <w:r>
        <w:rPr>
          <w:rFonts w:hint="eastAsia" w:eastAsia="仿宋_GB2312"/>
          <w:color w:val="auto"/>
          <w:spacing w:val="20"/>
          <w:kern w:val="0"/>
          <w:sz w:val="32"/>
        </w:rPr>
        <w:t>由合同签订后</w:t>
      </w:r>
      <w:r>
        <w:rPr>
          <w:rFonts w:hint="eastAsia" w:eastAsia="仿宋_GB2312"/>
          <w:color w:val="auto"/>
          <w:spacing w:val="20"/>
          <w:kern w:val="0"/>
          <w:sz w:val="32"/>
          <w:u w:val="single"/>
        </w:rPr>
        <w:t xml:space="preserve">  </w:t>
      </w:r>
      <w:r>
        <w:rPr>
          <w:rFonts w:hint="eastAsia" w:eastAsia="仿宋_GB2312"/>
          <w:color w:val="auto"/>
          <w:spacing w:val="20"/>
          <w:kern w:val="0"/>
          <w:sz w:val="32"/>
        </w:rPr>
        <w:t>日内，由双方分别向区县财政部门缴纳。</w:t>
      </w:r>
    </w:p>
    <w:p>
      <w:pPr>
        <w:numPr>
          <w:ilvl w:val="0"/>
          <w:numId w:val="9"/>
        </w:numPr>
        <w:spacing w:line="580" w:lineRule="exact"/>
        <w:ind w:left="8" w:leftChars="4" w:firstLine="627" w:firstLineChars="196"/>
        <w:rPr>
          <w:rFonts w:eastAsia="仿宋_GB2312"/>
          <w:color w:val="auto"/>
          <w:kern w:val="0"/>
          <w:sz w:val="32"/>
        </w:rPr>
      </w:pPr>
      <w:r>
        <w:rPr>
          <w:rFonts w:eastAsia="仿宋_GB2312"/>
          <w:color w:val="auto"/>
          <w:kern w:val="0"/>
          <w:sz w:val="32"/>
        </w:rPr>
        <w:t>本合同项下宗地涉及的公共配套设施建设，按照以下第</w:t>
      </w:r>
      <w:r>
        <w:rPr>
          <w:rFonts w:hint="eastAsia" w:eastAsia="仿宋_GB2312"/>
          <w:color w:val="auto"/>
          <w:kern w:val="0"/>
          <w:sz w:val="32"/>
        </w:rPr>
        <w:t xml:space="preserve">  </w:t>
      </w:r>
      <w:r>
        <w:rPr>
          <w:rFonts w:eastAsia="仿宋_GB2312"/>
          <w:color w:val="auto"/>
          <w:kern w:val="0"/>
          <w:sz w:val="32"/>
        </w:rPr>
        <w:t>项处理：</w:t>
      </w:r>
    </w:p>
    <w:p>
      <w:pPr>
        <w:spacing w:line="580" w:lineRule="exact"/>
        <w:ind w:firstLine="640" w:firstLineChars="200"/>
        <w:rPr>
          <w:rFonts w:eastAsia="仿宋_GB2312"/>
          <w:color w:val="auto"/>
          <w:kern w:val="0"/>
          <w:sz w:val="32"/>
        </w:rPr>
      </w:pPr>
      <w:r>
        <w:rPr>
          <w:rFonts w:eastAsia="仿宋_GB2312"/>
          <w:color w:val="auto"/>
          <w:kern w:val="0"/>
          <w:sz w:val="32"/>
        </w:rPr>
        <w:t>（一）公共设施配套费为</w:t>
      </w:r>
      <w:r>
        <w:rPr>
          <w:rFonts w:hint="eastAsia" w:eastAsia="仿宋_GB2312"/>
          <w:color w:val="auto"/>
          <w:kern w:val="0"/>
          <w:sz w:val="32"/>
        </w:rPr>
        <w:t>人民币大写</w:t>
      </w:r>
      <w:r>
        <w:rPr>
          <w:rFonts w:eastAsia="仿宋_GB2312"/>
          <w:color w:val="auto"/>
          <w:kern w:val="0"/>
          <w:sz w:val="32"/>
        </w:rPr>
        <w:t>元（</w:t>
      </w:r>
      <w:r>
        <w:rPr>
          <w:rFonts w:hint="eastAsia" w:eastAsia="仿宋_GB2312"/>
          <w:color w:val="auto"/>
          <w:kern w:val="0"/>
          <w:sz w:val="32"/>
        </w:rPr>
        <w:t>小</w:t>
      </w:r>
      <w:r>
        <w:rPr>
          <w:rFonts w:eastAsia="仿宋_GB2312"/>
          <w:color w:val="auto"/>
          <w:kern w:val="0"/>
          <w:sz w:val="32"/>
        </w:rPr>
        <w:t>写：元）。公共设施配套费由方在合同签订后日内，一次性向</w:t>
      </w:r>
      <w:r>
        <w:rPr>
          <w:rFonts w:hint="eastAsia" w:eastAsia="仿宋_GB2312"/>
          <w:color w:val="auto"/>
          <w:kern w:val="0"/>
          <w:sz w:val="32"/>
        </w:rPr>
        <w:t>区县财政</w:t>
      </w:r>
      <w:r>
        <w:rPr>
          <w:rFonts w:eastAsia="仿宋_GB2312"/>
          <w:color w:val="auto"/>
          <w:kern w:val="0"/>
          <w:sz w:val="32"/>
        </w:rPr>
        <w:t>缴纳。</w:t>
      </w:r>
    </w:p>
    <w:p>
      <w:pPr>
        <w:spacing w:line="580" w:lineRule="exact"/>
        <w:ind w:firstLine="640" w:firstLineChars="200"/>
        <w:rPr>
          <w:rFonts w:eastAsia="仿宋_GB2312"/>
          <w:color w:val="auto"/>
          <w:kern w:val="0"/>
          <w:sz w:val="32"/>
        </w:rPr>
      </w:pPr>
      <w:r>
        <w:rPr>
          <w:rFonts w:eastAsia="仿宋_GB2312"/>
          <w:color w:val="auto"/>
          <w:kern w:val="0"/>
          <w:sz w:val="32"/>
        </w:rPr>
        <w:t>（二）由合同方负责申报相关公共配套设施审批手续并组织建设。</w:t>
      </w:r>
    </w:p>
    <w:p>
      <w:pPr>
        <w:numPr>
          <w:ilvl w:val="0"/>
          <w:numId w:val="9"/>
        </w:numPr>
        <w:spacing w:line="580" w:lineRule="exact"/>
        <w:ind w:left="8" w:leftChars="4" w:firstLine="627" w:firstLineChars="196"/>
        <w:rPr>
          <w:rFonts w:eastAsia="仿宋_GB2312"/>
          <w:color w:val="auto"/>
          <w:kern w:val="0"/>
          <w:sz w:val="32"/>
        </w:rPr>
      </w:pPr>
      <w:r>
        <w:rPr>
          <w:rFonts w:hint="eastAsia" w:eastAsia="仿宋_GB2312"/>
          <w:color w:val="auto"/>
          <w:kern w:val="0"/>
          <w:sz w:val="32"/>
        </w:rPr>
        <w:t>本合同项下宗地涉及的</w:t>
      </w:r>
      <w:r>
        <w:rPr>
          <w:rFonts w:hint="eastAsia" w:ascii="仿宋_GB2312" w:hAnsi="仿宋_GB2312" w:eastAsia="仿宋_GB2312"/>
          <w:color w:val="auto"/>
          <w:sz w:val="32"/>
        </w:rPr>
        <w:t>土地增值税、土地使用税、契税等有关税费，由合同方按规定在申请土地登记前缴纳。</w:t>
      </w:r>
    </w:p>
    <w:p>
      <w:pPr>
        <w:numPr>
          <w:ilvl w:val="0"/>
          <w:numId w:val="9"/>
        </w:numPr>
        <w:spacing w:line="580" w:lineRule="exact"/>
        <w:ind w:left="8" w:leftChars="4" w:firstLine="627" w:firstLineChars="196"/>
        <w:rPr>
          <w:rFonts w:eastAsia="仿宋_GB2312"/>
          <w:color w:val="auto"/>
          <w:kern w:val="0"/>
          <w:sz w:val="32"/>
        </w:rPr>
      </w:pPr>
      <w:r>
        <w:rPr>
          <w:rFonts w:eastAsia="仿宋_GB2312"/>
          <w:color w:val="auto"/>
          <w:kern w:val="0"/>
          <w:sz w:val="32"/>
        </w:rPr>
        <w:t>受让人同意按照本条第一款第</w:t>
      </w:r>
      <w:r>
        <w:rPr>
          <w:rFonts w:eastAsia="仿宋_GB2312"/>
          <w:color w:val="auto"/>
          <w:sz w:val="32"/>
          <w:u w:val="single"/>
        </w:rPr>
        <w:t>（一）</w:t>
      </w:r>
      <w:r>
        <w:rPr>
          <w:rFonts w:eastAsia="仿宋_GB2312"/>
          <w:color w:val="auto"/>
          <w:kern w:val="0"/>
          <w:sz w:val="32"/>
        </w:rPr>
        <w:t>项的规定向出让人支付集体建设用地使用权出让价款；</w:t>
      </w:r>
    </w:p>
    <w:p>
      <w:pPr>
        <w:spacing w:line="580" w:lineRule="exact"/>
        <w:ind w:firstLine="640" w:firstLineChars="200"/>
        <w:rPr>
          <w:rFonts w:eastAsia="仿宋_GB2312"/>
          <w:color w:val="auto"/>
          <w:kern w:val="0"/>
          <w:sz w:val="32"/>
        </w:rPr>
      </w:pPr>
      <w:r>
        <w:rPr>
          <w:rFonts w:eastAsia="仿宋_GB2312"/>
          <w:color w:val="auto"/>
          <w:kern w:val="0"/>
          <w:sz w:val="32"/>
        </w:rPr>
        <w:t>（一）本合同签订之日起</w:t>
      </w:r>
      <w:r>
        <w:rPr>
          <w:rFonts w:hint="eastAsia" w:eastAsia="仿宋_GB2312"/>
          <w:color w:val="auto"/>
          <w:kern w:val="0"/>
          <w:sz w:val="32"/>
          <w:u w:val="single"/>
        </w:rPr>
        <w:t>25</w:t>
      </w:r>
      <w:r>
        <w:rPr>
          <w:rFonts w:hint="eastAsia" w:eastAsia="仿宋_GB2312"/>
          <w:color w:val="auto"/>
          <w:kern w:val="0"/>
          <w:sz w:val="32"/>
        </w:rPr>
        <w:t>工作日</w:t>
      </w:r>
      <w:r>
        <w:rPr>
          <w:rFonts w:eastAsia="仿宋_GB2312"/>
          <w:color w:val="auto"/>
          <w:kern w:val="0"/>
          <w:sz w:val="32"/>
        </w:rPr>
        <w:t>内，一次性付清集体建设用地使用权出让价款；</w:t>
      </w:r>
    </w:p>
    <w:p>
      <w:pPr>
        <w:spacing w:line="580" w:lineRule="exact"/>
        <w:ind w:firstLine="640" w:firstLineChars="200"/>
        <w:rPr>
          <w:rFonts w:eastAsia="仿宋_GB2312"/>
          <w:color w:val="auto"/>
          <w:kern w:val="0"/>
          <w:sz w:val="32"/>
        </w:rPr>
      </w:pPr>
      <w:r>
        <w:rPr>
          <w:rFonts w:eastAsia="仿宋_GB2312"/>
          <w:color w:val="auto"/>
          <w:kern w:val="0"/>
          <w:sz w:val="32"/>
        </w:rPr>
        <w:t>（二）按以下时间和金额分期向出让人支付集体建设用地使用权出让价款。</w:t>
      </w:r>
    </w:p>
    <w:p>
      <w:pPr>
        <w:spacing w:line="580" w:lineRule="exact"/>
        <w:ind w:firstLine="640" w:firstLineChars="200"/>
        <w:rPr>
          <w:rFonts w:eastAsia="仿宋_GB2312"/>
          <w:color w:val="auto"/>
          <w:kern w:val="0"/>
          <w:sz w:val="32"/>
        </w:rPr>
      </w:pPr>
      <w:r>
        <w:rPr>
          <w:rFonts w:eastAsia="仿宋_GB2312"/>
          <w:color w:val="auto"/>
          <w:kern w:val="0"/>
          <w:sz w:val="32"/>
        </w:rPr>
        <w:t>第一期</w:t>
      </w:r>
      <w:r>
        <w:rPr>
          <w:rFonts w:hint="eastAsia" w:eastAsia="仿宋_GB2312"/>
          <w:color w:val="auto"/>
          <w:kern w:val="0"/>
          <w:sz w:val="32"/>
        </w:rPr>
        <w:t>：</w:t>
      </w:r>
      <w:r>
        <w:rPr>
          <w:rFonts w:eastAsia="仿宋_GB2312"/>
          <w:color w:val="auto"/>
          <w:kern w:val="0"/>
          <w:sz w:val="32"/>
        </w:rPr>
        <w:t>人民币大写元（小写元），付款时间：年月日之前。</w:t>
      </w:r>
    </w:p>
    <w:p>
      <w:pPr>
        <w:spacing w:line="580" w:lineRule="exact"/>
        <w:rPr>
          <w:rFonts w:eastAsia="仿宋_GB2312"/>
          <w:color w:val="auto"/>
          <w:kern w:val="0"/>
          <w:sz w:val="32"/>
        </w:rPr>
      </w:pPr>
      <w:r>
        <w:rPr>
          <w:rFonts w:eastAsia="仿宋_GB2312"/>
          <w:color w:val="auto"/>
          <w:kern w:val="0"/>
          <w:sz w:val="32"/>
        </w:rPr>
        <w:t xml:space="preserve">    第二期</w:t>
      </w:r>
      <w:r>
        <w:rPr>
          <w:rFonts w:hint="eastAsia" w:eastAsia="仿宋_GB2312"/>
          <w:color w:val="auto"/>
          <w:kern w:val="0"/>
          <w:sz w:val="32"/>
        </w:rPr>
        <w:t>：</w:t>
      </w:r>
      <w:r>
        <w:rPr>
          <w:rFonts w:eastAsia="仿宋_GB2312"/>
          <w:color w:val="auto"/>
          <w:kern w:val="0"/>
          <w:sz w:val="32"/>
        </w:rPr>
        <w:t>人民币大写元（小写元），付款时间：年月日之前。</w:t>
      </w:r>
    </w:p>
    <w:p>
      <w:pPr>
        <w:spacing w:line="580" w:lineRule="exact"/>
        <w:ind w:firstLine="640" w:firstLineChars="200"/>
        <w:rPr>
          <w:rFonts w:eastAsia="仿宋_GB2312"/>
          <w:color w:val="auto"/>
          <w:kern w:val="0"/>
          <w:sz w:val="32"/>
        </w:rPr>
      </w:pPr>
      <w:r>
        <w:rPr>
          <w:rFonts w:eastAsia="仿宋_GB2312"/>
          <w:color w:val="auto"/>
          <w:kern w:val="0"/>
          <w:sz w:val="32"/>
        </w:rPr>
        <w:t>第期</w:t>
      </w:r>
      <w:r>
        <w:rPr>
          <w:rFonts w:hint="eastAsia" w:eastAsia="仿宋_GB2312"/>
          <w:color w:val="auto"/>
          <w:kern w:val="0"/>
          <w:sz w:val="32"/>
        </w:rPr>
        <w:t>：</w:t>
      </w:r>
      <w:r>
        <w:rPr>
          <w:rFonts w:eastAsia="仿宋_GB2312"/>
          <w:color w:val="auto"/>
          <w:kern w:val="0"/>
          <w:sz w:val="32"/>
        </w:rPr>
        <w:t>人民币大写元（小写元），付款时间：年月日之前。</w:t>
      </w:r>
    </w:p>
    <w:p>
      <w:pPr>
        <w:spacing w:line="580" w:lineRule="exact"/>
        <w:ind w:firstLine="640" w:firstLineChars="200"/>
        <w:rPr>
          <w:rFonts w:eastAsia="仿宋_GB2312"/>
          <w:color w:val="auto"/>
          <w:kern w:val="0"/>
          <w:sz w:val="32"/>
        </w:rPr>
      </w:pPr>
      <w:r>
        <w:rPr>
          <w:rFonts w:eastAsia="仿宋_GB2312"/>
          <w:color w:val="auto"/>
          <w:kern w:val="0"/>
          <w:sz w:val="32"/>
        </w:rPr>
        <w:t>分期支付集体建设用地使用权出让价款的，受让人在支付第二期及以后各期集体建设用地使用权出让价款时，同意按照支付第一期土地出让价款之日中国人民银行公布的贷款利率，向出让人支付利息。</w:t>
      </w:r>
    </w:p>
    <w:p>
      <w:pPr>
        <w:numPr>
          <w:ilvl w:val="0"/>
          <w:numId w:val="9"/>
        </w:numPr>
        <w:spacing w:line="580" w:lineRule="exact"/>
        <w:ind w:left="8" w:leftChars="4" w:firstLine="627" w:firstLineChars="196"/>
        <w:rPr>
          <w:rFonts w:eastAsia="仿宋_GB2312"/>
          <w:color w:val="auto"/>
          <w:spacing w:val="8"/>
          <w:kern w:val="0"/>
          <w:sz w:val="32"/>
        </w:rPr>
      </w:pPr>
      <w:r>
        <w:rPr>
          <w:rFonts w:hint="eastAsia" w:eastAsia="仿宋_GB2312"/>
          <w:color w:val="auto"/>
          <w:kern w:val="0"/>
          <w:sz w:val="32"/>
        </w:rPr>
        <w:t>受让人完成土地使用合同备案后</w:t>
      </w:r>
      <w:r>
        <w:rPr>
          <w:rFonts w:hint="eastAsia" w:ascii="仿宋_GB2312" w:eastAsia="仿宋_GB2312"/>
          <w:color w:val="auto"/>
          <w:kern w:val="0"/>
          <w:sz w:val="32"/>
        </w:rPr>
        <w:t>，</w:t>
      </w:r>
      <w:r>
        <w:rPr>
          <w:rFonts w:eastAsia="仿宋_GB2312"/>
          <w:color w:val="auto"/>
          <w:kern w:val="0"/>
          <w:sz w:val="32"/>
        </w:rPr>
        <w:t>出让人</w:t>
      </w:r>
      <w:r>
        <w:rPr>
          <w:rFonts w:eastAsia="仿宋_GB2312"/>
          <w:color w:val="auto"/>
          <w:spacing w:val="8"/>
          <w:kern w:val="0"/>
          <w:sz w:val="32"/>
        </w:rPr>
        <w:t>同意在年月日前将出让宗地交付给受让人</w:t>
      </w:r>
      <w:r>
        <w:rPr>
          <w:rFonts w:hint="eastAsia" w:eastAsia="仿宋_GB2312"/>
          <w:color w:val="auto"/>
          <w:spacing w:val="8"/>
          <w:kern w:val="0"/>
          <w:sz w:val="32"/>
        </w:rPr>
        <w:t>。</w:t>
      </w:r>
    </w:p>
    <w:p>
      <w:pPr>
        <w:spacing w:line="580" w:lineRule="exact"/>
        <w:ind w:left="8" w:firstLine="632" w:firstLineChars="188"/>
        <w:rPr>
          <w:rFonts w:eastAsia="仿宋_GB2312"/>
          <w:color w:val="auto"/>
          <w:spacing w:val="8"/>
          <w:kern w:val="0"/>
          <w:sz w:val="32"/>
        </w:rPr>
      </w:pPr>
      <w:r>
        <w:rPr>
          <w:rFonts w:hint="eastAsia" w:eastAsia="仿宋_GB2312"/>
          <w:color w:val="auto"/>
          <w:spacing w:val="8"/>
          <w:kern w:val="0"/>
          <w:sz w:val="32"/>
        </w:rPr>
        <w:t>宗地交付期限届满，如</w:t>
      </w:r>
      <w:r>
        <w:rPr>
          <w:rFonts w:hint="eastAsia" w:eastAsia="仿宋_GB2312"/>
          <w:color w:val="auto"/>
          <w:kern w:val="0"/>
          <w:sz w:val="32"/>
        </w:rPr>
        <w:t>受让人未按规定完成土地使用合同备案的</w:t>
      </w:r>
      <w:r>
        <w:rPr>
          <w:rFonts w:hint="eastAsia" w:eastAsia="仿宋_GB2312"/>
          <w:color w:val="auto"/>
          <w:spacing w:val="8"/>
          <w:kern w:val="0"/>
          <w:sz w:val="32"/>
        </w:rPr>
        <w:t>，出让人可延迟交地，并在受让人</w:t>
      </w:r>
      <w:r>
        <w:rPr>
          <w:rFonts w:hint="eastAsia" w:eastAsia="仿宋_GB2312"/>
          <w:color w:val="auto"/>
          <w:kern w:val="0"/>
          <w:sz w:val="32"/>
        </w:rPr>
        <w:t>完成土地使用合同备案</w:t>
      </w:r>
      <w:r>
        <w:rPr>
          <w:rFonts w:hint="eastAsia" w:ascii="仿宋_GB2312" w:eastAsia="仿宋_GB2312"/>
          <w:color w:val="auto"/>
          <w:kern w:val="0"/>
          <w:sz w:val="32"/>
        </w:rPr>
        <w:t>后的</w:t>
      </w:r>
      <w:r>
        <w:rPr>
          <w:rFonts w:hint="eastAsia" w:ascii="仿宋_GB2312" w:eastAsia="仿宋_GB2312"/>
          <w:color w:val="auto"/>
          <w:kern w:val="0"/>
          <w:sz w:val="32"/>
          <w:u w:val="single"/>
        </w:rPr>
        <w:t xml:space="preserve"> 10 </w:t>
      </w:r>
      <w:r>
        <w:rPr>
          <w:rFonts w:hint="eastAsia" w:ascii="仿宋_GB2312" w:eastAsia="仿宋_GB2312"/>
          <w:color w:val="auto"/>
          <w:kern w:val="0"/>
          <w:sz w:val="32"/>
        </w:rPr>
        <w:t>日内，</w:t>
      </w:r>
      <w:r>
        <w:rPr>
          <w:rFonts w:eastAsia="仿宋_GB2312"/>
          <w:color w:val="auto"/>
          <w:spacing w:val="8"/>
          <w:kern w:val="0"/>
          <w:sz w:val="32"/>
        </w:rPr>
        <w:t>将出让宗地交付给受让人</w:t>
      </w:r>
      <w:r>
        <w:rPr>
          <w:rFonts w:hint="eastAsia" w:eastAsia="仿宋_GB2312"/>
          <w:color w:val="auto"/>
          <w:spacing w:val="8"/>
          <w:kern w:val="0"/>
          <w:sz w:val="32"/>
        </w:rPr>
        <w:t>。</w:t>
      </w:r>
    </w:p>
    <w:p>
      <w:pPr>
        <w:numPr>
          <w:ilvl w:val="0"/>
          <w:numId w:val="9"/>
        </w:numPr>
        <w:spacing w:line="580" w:lineRule="exact"/>
        <w:ind w:left="8" w:leftChars="4" w:firstLine="659" w:firstLineChars="196"/>
        <w:rPr>
          <w:rFonts w:eastAsia="仿宋_GB2312"/>
          <w:color w:val="auto"/>
          <w:spacing w:val="8"/>
          <w:kern w:val="0"/>
          <w:sz w:val="32"/>
        </w:rPr>
      </w:pPr>
      <w:r>
        <w:rPr>
          <w:rFonts w:eastAsia="仿宋_GB2312"/>
          <w:color w:val="auto"/>
          <w:spacing w:val="8"/>
          <w:kern w:val="0"/>
          <w:sz w:val="32"/>
        </w:rPr>
        <w:t>出让人同意在交付土地时</w:t>
      </w:r>
      <w:r>
        <w:rPr>
          <w:rFonts w:hint="eastAsia" w:eastAsia="仿宋_GB2312"/>
          <w:color w:val="auto"/>
          <w:spacing w:val="8"/>
          <w:kern w:val="0"/>
          <w:sz w:val="32"/>
        </w:rPr>
        <w:t>，</w:t>
      </w:r>
      <w:r>
        <w:rPr>
          <w:rFonts w:eastAsia="仿宋_GB2312"/>
          <w:color w:val="auto"/>
          <w:spacing w:val="8"/>
          <w:kern w:val="0"/>
          <w:sz w:val="32"/>
        </w:rPr>
        <w:t>该宗地应达到本条第项规定的土地条件：</w:t>
      </w:r>
    </w:p>
    <w:p>
      <w:pPr>
        <w:spacing w:line="580" w:lineRule="exact"/>
        <w:ind w:firstLine="1440" w:firstLineChars="450"/>
        <w:rPr>
          <w:rFonts w:eastAsia="仿宋_GB2312"/>
          <w:color w:val="auto"/>
          <w:kern w:val="0"/>
          <w:sz w:val="32"/>
        </w:rPr>
      </w:pPr>
      <w:r>
        <w:rPr>
          <w:rFonts w:eastAsia="仿宋_GB2312"/>
          <w:color w:val="auto"/>
          <w:kern w:val="0"/>
          <w:sz w:val="32"/>
        </w:rPr>
        <w:t xml:space="preserve">（一）达到以下用地条件：          </w:t>
      </w:r>
    </w:p>
    <w:p>
      <w:pPr>
        <w:spacing w:line="580" w:lineRule="exact"/>
        <w:ind w:firstLine="1600" w:firstLineChars="500"/>
        <w:rPr>
          <w:rFonts w:eastAsia="仿宋_GB2312"/>
          <w:strike/>
          <w:color w:val="auto"/>
          <w:sz w:val="32"/>
        </w:rPr>
      </w:pPr>
      <w:r>
        <w:rPr>
          <w:rFonts w:eastAsia="仿宋_GB2312"/>
          <w:color w:val="auto"/>
          <w:kern w:val="0"/>
          <w:sz w:val="32"/>
        </w:rPr>
        <w:t>场地平整达到；</w:t>
      </w:r>
    </w:p>
    <w:p>
      <w:pPr>
        <w:spacing w:line="580" w:lineRule="exact"/>
        <w:rPr>
          <w:rFonts w:eastAsia="仿宋_GB2312"/>
          <w:strike/>
          <w:color w:val="auto"/>
          <w:sz w:val="32"/>
        </w:rPr>
      </w:pPr>
      <w:r>
        <w:rPr>
          <w:rFonts w:eastAsia="仿宋_GB2312"/>
          <w:color w:val="auto"/>
          <w:kern w:val="0"/>
          <w:sz w:val="32"/>
        </w:rPr>
        <w:t xml:space="preserve">          周围基础设施达到；</w:t>
      </w:r>
    </w:p>
    <w:p>
      <w:pPr>
        <w:spacing w:line="580" w:lineRule="exact"/>
        <w:rPr>
          <w:rFonts w:eastAsia="仿宋_GB2312"/>
          <w:color w:val="auto"/>
          <w:kern w:val="0"/>
          <w:sz w:val="32"/>
        </w:rPr>
      </w:pPr>
      <w:r>
        <w:rPr>
          <w:rFonts w:eastAsia="仿宋_GB2312"/>
          <w:color w:val="auto"/>
          <w:kern w:val="0"/>
          <w:sz w:val="32"/>
        </w:rPr>
        <w:t xml:space="preserve">          现状土地条件。</w:t>
      </w:r>
    </w:p>
    <w:p>
      <w:pPr>
        <w:spacing w:line="580" w:lineRule="exact"/>
        <w:ind w:firstLine="1440" w:firstLineChars="450"/>
        <w:rPr>
          <w:rFonts w:eastAsia="仿宋_GB2312"/>
          <w:color w:val="auto"/>
          <w:kern w:val="0"/>
          <w:sz w:val="32"/>
        </w:rPr>
      </w:pPr>
      <w:r>
        <w:rPr>
          <w:rFonts w:eastAsia="仿宋_GB2312"/>
          <w:color w:val="auto"/>
          <w:kern w:val="0"/>
          <w:sz w:val="32"/>
        </w:rPr>
        <w:t>（二）由受让人自行实现用地条件后用地。</w:t>
      </w:r>
    </w:p>
    <w:p>
      <w:pPr>
        <w:numPr>
          <w:ilvl w:val="0"/>
          <w:numId w:val="9"/>
        </w:numPr>
        <w:spacing w:line="580" w:lineRule="exact"/>
        <w:ind w:left="8" w:leftChars="4" w:firstLine="627" w:firstLineChars="196"/>
        <w:rPr>
          <w:rFonts w:eastAsia="仿宋_GB2312"/>
          <w:color w:val="auto"/>
          <w:kern w:val="0"/>
          <w:sz w:val="32"/>
        </w:rPr>
      </w:pPr>
      <w:r>
        <w:rPr>
          <w:rFonts w:eastAsia="仿宋_GB2312"/>
          <w:color w:val="auto"/>
          <w:kern w:val="0"/>
          <w:sz w:val="32"/>
        </w:rPr>
        <w:t>受让人应在按本合同约定付清本宗地全部出让价款后，持本</w:t>
      </w:r>
      <w:r>
        <w:rPr>
          <w:rFonts w:hint="eastAsia" w:eastAsia="仿宋_GB2312"/>
          <w:color w:val="auto"/>
          <w:kern w:val="0"/>
          <w:sz w:val="32"/>
        </w:rPr>
        <w:t>使用</w:t>
      </w:r>
      <w:r>
        <w:rPr>
          <w:rFonts w:eastAsia="仿宋_GB2312"/>
          <w:color w:val="auto"/>
          <w:kern w:val="0"/>
          <w:sz w:val="32"/>
        </w:rPr>
        <w:t>合同</w:t>
      </w:r>
      <w:r>
        <w:rPr>
          <w:rFonts w:hint="eastAsia" w:eastAsia="仿宋_GB2312"/>
          <w:color w:val="auto"/>
          <w:kern w:val="0"/>
          <w:sz w:val="32"/>
        </w:rPr>
        <w:t>、</w:t>
      </w:r>
      <w:r>
        <w:rPr>
          <w:rFonts w:eastAsia="仿宋_GB2312"/>
          <w:color w:val="auto"/>
          <w:kern w:val="0"/>
          <w:sz w:val="32"/>
        </w:rPr>
        <w:t>出让价款及税费缴纳凭证等相关证明材料，申请集体建设用地使用权登记，出让人应配合相关手续办理。</w:t>
      </w:r>
    </w:p>
    <w:p>
      <w:pPr>
        <w:spacing w:beforeLines="100" w:afterLines="100" w:line="580" w:lineRule="exact"/>
        <w:jc w:val="center"/>
        <w:rPr>
          <w:rFonts w:eastAsia="黑体"/>
          <w:color w:val="auto"/>
          <w:kern w:val="0"/>
          <w:sz w:val="36"/>
        </w:rPr>
      </w:pPr>
      <w:r>
        <w:rPr>
          <w:rFonts w:eastAsia="黑体"/>
          <w:color w:val="auto"/>
          <w:kern w:val="0"/>
          <w:sz w:val="36"/>
        </w:rPr>
        <w:t>第三章  土地开发建设与利用</w:t>
      </w:r>
    </w:p>
    <w:p>
      <w:pPr>
        <w:numPr>
          <w:ilvl w:val="0"/>
          <w:numId w:val="9"/>
        </w:numPr>
        <w:spacing w:line="580" w:lineRule="exact"/>
        <w:ind w:left="8" w:leftChars="4" w:firstLine="627" w:firstLineChars="196"/>
        <w:rPr>
          <w:rFonts w:eastAsia="仿宋_GB2312"/>
          <w:color w:val="auto"/>
          <w:kern w:val="0"/>
          <w:sz w:val="32"/>
        </w:rPr>
      </w:pPr>
      <w:r>
        <w:rPr>
          <w:rFonts w:eastAsia="仿宋_GB2312"/>
          <w:color w:val="auto"/>
          <w:kern w:val="0"/>
          <w:sz w:val="32"/>
        </w:rPr>
        <w:t>受让人同意本合同项下宗地开发投资强度按本条第项规定执行：</w:t>
      </w:r>
    </w:p>
    <w:p>
      <w:pPr>
        <w:spacing w:line="580" w:lineRule="exact"/>
        <w:rPr>
          <w:rFonts w:eastAsia="仿宋_GB2312"/>
          <w:color w:val="auto"/>
          <w:kern w:val="0"/>
          <w:sz w:val="32"/>
        </w:rPr>
      </w:pPr>
      <w:r>
        <w:rPr>
          <w:rFonts w:eastAsia="仿宋_GB2312"/>
          <w:color w:val="auto"/>
          <w:kern w:val="0"/>
          <w:sz w:val="32"/>
        </w:rPr>
        <w:t xml:space="preserve">    （一）本合同项下宗地用于工业项目建设，受让人同意本合同项下宗地的项目固定资产总投资不低于经批准或登记备案的金额人民币大写万元（小写万元），投资强度不低于每平方米人民币大写元（小写元）。</w:t>
      </w:r>
    </w:p>
    <w:p>
      <w:pPr>
        <w:spacing w:line="580" w:lineRule="exact"/>
        <w:rPr>
          <w:rFonts w:eastAsia="仿宋_GB2312"/>
          <w:color w:val="auto"/>
          <w:kern w:val="0"/>
          <w:sz w:val="32"/>
        </w:rPr>
      </w:pPr>
      <w:r>
        <w:rPr>
          <w:rFonts w:eastAsia="仿宋_GB2312"/>
          <w:color w:val="auto"/>
          <w:kern w:val="0"/>
          <w:sz w:val="32"/>
        </w:rPr>
        <w:t xml:space="preserve">    本合同项下宗地建设项目的固定资产总投资包括建筑物、构筑物及其附属设施、设备投资和出让价款等。</w:t>
      </w:r>
    </w:p>
    <w:p>
      <w:pPr>
        <w:spacing w:line="580" w:lineRule="exact"/>
        <w:ind w:firstLine="664" w:firstLineChars="200"/>
        <w:rPr>
          <w:rFonts w:eastAsia="仿宋_GB2312"/>
          <w:strike/>
          <w:color w:val="auto"/>
          <w:spacing w:val="6"/>
          <w:sz w:val="32"/>
        </w:rPr>
      </w:pPr>
      <w:r>
        <w:rPr>
          <w:rFonts w:eastAsia="仿宋_GB2312"/>
          <w:color w:val="auto"/>
          <w:spacing w:val="6"/>
          <w:kern w:val="0"/>
          <w:sz w:val="32"/>
        </w:rPr>
        <w:t xml:space="preserve">（二）本合同项下宗地用于非工业项目建设，受让人承诺本合同项下宗地的开发投资总额不低于人民币大写万元（小写万元）。 </w:t>
      </w:r>
    </w:p>
    <w:p>
      <w:pPr>
        <w:numPr>
          <w:ilvl w:val="0"/>
          <w:numId w:val="9"/>
        </w:numPr>
        <w:spacing w:line="580" w:lineRule="exact"/>
        <w:ind w:left="8" w:leftChars="4" w:firstLine="627" w:firstLineChars="196"/>
        <w:rPr>
          <w:rFonts w:eastAsia="仿宋_GB2312"/>
          <w:color w:val="auto"/>
          <w:sz w:val="32"/>
        </w:rPr>
      </w:pPr>
      <w:r>
        <w:rPr>
          <w:rFonts w:eastAsia="仿宋_GB2312"/>
          <w:color w:val="auto"/>
          <w:kern w:val="0"/>
          <w:sz w:val="32"/>
        </w:rPr>
        <w:t>受让人在本合同项下宗地范围内新建建筑物、构筑物及其附属设施的，应符合市（区县）政府规划管理部门确定的出让宗地规划条件（见附件3）。其中：</w:t>
      </w:r>
    </w:p>
    <w:p>
      <w:pPr>
        <w:spacing w:line="580" w:lineRule="exact"/>
        <w:ind w:firstLine="640" w:firstLineChars="200"/>
        <w:rPr>
          <w:rFonts w:eastAsia="仿宋_GB2312"/>
          <w:strike/>
          <w:color w:val="auto"/>
          <w:sz w:val="32"/>
        </w:rPr>
      </w:pPr>
      <w:r>
        <w:rPr>
          <w:rFonts w:eastAsia="仿宋_GB2312"/>
          <w:color w:val="auto"/>
          <w:sz w:val="32"/>
        </w:rPr>
        <w:t>主体建筑物性质</w:t>
      </w:r>
      <w:r>
        <w:rPr>
          <w:rFonts w:eastAsia="仿宋_GB2312"/>
          <w:color w:val="auto"/>
          <w:kern w:val="0"/>
          <w:sz w:val="32"/>
        </w:rPr>
        <w:t>；</w:t>
      </w:r>
    </w:p>
    <w:p>
      <w:pPr>
        <w:spacing w:line="580" w:lineRule="exact"/>
        <w:ind w:firstLine="640" w:firstLineChars="200"/>
        <w:rPr>
          <w:rFonts w:eastAsia="仿宋_GB2312"/>
          <w:strike/>
          <w:color w:val="auto"/>
          <w:sz w:val="32"/>
        </w:rPr>
      </w:pPr>
      <w:r>
        <w:rPr>
          <w:rFonts w:eastAsia="仿宋_GB2312"/>
          <w:color w:val="auto"/>
          <w:sz w:val="32"/>
        </w:rPr>
        <w:t>附属建筑物性质</w:t>
      </w:r>
      <w:r>
        <w:rPr>
          <w:rFonts w:eastAsia="仿宋_GB2312"/>
          <w:color w:val="auto"/>
          <w:kern w:val="0"/>
          <w:sz w:val="32"/>
        </w:rPr>
        <w:t>；</w:t>
      </w:r>
    </w:p>
    <w:p>
      <w:pPr>
        <w:spacing w:line="580" w:lineRule="exact"/>
        <w:ind w:firstLine="640" w:firstLineChars="200"/>
        <w:rPr>
          <w:rFonts w:eastAsia="仿宋_GB2312"/>
          <w:strike/>
          <w:color w:val="auto"/>
          <w:sz w:val="32"/>
        </w:rPr>
      </w:pPr>
      <w:r>
        <w:rPr>
          <w:rFonts w:eastAsia="仿宋_GB2312"/>
          <w:color w:val="auto"/>
          <w:sz w:val="32"/>
        </w:rPr>
        <w:t>建筑总面积</w:t>
      </w:r>
      <w:r>
        <w:rPr>
          <w:rFonts w:eastAsia="仿宋_GB2312"/>
          <w:color w:val="auto"/>
          <w:kern w:val="0"/>
          <w:sz w:val="32"/>
        </w:rPr>
        <w:t>平方米;</w:t>
      </w:r>
    </w:p>
    <w:p>
      <w:pPr>
        <w:spacing w:line="580" w:lineRule="exact"/>
        <w:ind w:firstLine="640" w:firstLineChars="200"/>
        <w:jc w:val="left"/>
        <w:rPr>
          <w:rFonts w:eastAsia="仿宋_GB2312"/>
          <w:color w:val="auto"/>
          <w:sz w:val="32"/>
        </w:rPr>
      </w:pPr>
      <w:r>
        <w:rPr>
          <w:rFonts w:eastAsia="仿宋_GB2312"/>
          <w:color w:val="auto"/>
          <w:sz w:val="32"/>
        </w:rPr>
        <w:t>建筑容积率不高于</w:t>
      </w:r>
      <w:r>
        <w:rPr>
          <w:rFonts w:hint="eastAsia" w:eastAsia="仿宋_GB2312"/>
          <w:color w:val="auto"/>
          <w:sz w:val="32"/>
          <w:u w:val="single"/>
        </w:rPr>
        <w:t>,</w:t>
      </w:r>
      <w:r>
        <w:rPr>
          <w:rFonts w:eastAsia="仿宋_GB2312"/>
          <w:color w:val="auto"/>
          <w:sz w:val="32"/>
        </w:rPr>
        <w:t>不低于;</w:t>
      </w:r>
    </w:p>
    <w:p>
      <w:pPr>
        <w:spacing w:line="580" w:lineRule="exact"/>
        <w:ind w:firstLine="640" w:firstLineChars="200"/>
        <w:rPr>
          <w:rFonts w:eastAsia="仿宋_GB2312"/>
          <w:strike/>
          <w:color w:val="auto"/>
          <w:sz w:val="32"/>
        </w:rPr>
      </w:pPr>
      <w:r>
        <w:rPr>
          <w:rFonts w:eastAsia="仿宋_GB2312"/>
          <w:color w:val="auto"/>
          <w:sz w:val="32"/>
        </w:rPr>
        <w:t>建筑限高</w:t>
      </w:r>
      <w:r>
        <w:rPr>
          <w:rFonts w:eastAsia="仿宋_GB2312"/>
          <w:color w:val="auto"/>
          <w:kern w:val="0"/>
          <w:sz w:val="32"/>
        </w:rPr>
        <w:t>;</w:t>
      </w:r>
    </w:p>
    <w:p>
      <w:pPr>
        <w:spacing w:line="580" w:lineRule="exact"/>
        <w:ind w:firstLine="640" w:firstLineChars="200"/>
        <w:jc w:val="left"/>
        <w:rPr>
          <w:rFonts w:eastAsia="仿宋_GB2312"/>
          <w:color w:val="auto"/>
          <w:sz w:val="32"/>
        </w:rPr>
      </w:pPr>
      <w:r>
        <w:rPr>
          <w:rFonts w:eastAsia="仿宋_GB2312"/>
          <w:color w:val="auto"/>
          <w:sz w:val="32"/>
        </w:rPr>
        <w:t>建筑密度不高于</w:t>
      </w:r>
      <w:r>
        <w:rPr>
          <w:rFonts w:hint="eastAsia" w:eastAsia="仿宋_GB2312"/>
          <w:color w:val="auto"/>
          <w:sz w:val="32"/>
          <w:u w:val="single"/>
        </w:rPr>
        <w:t>,</w:t>
      </w:r>
      <w:r>
        <w:rPr>
          <w:rFonts w:eastAsia="仿宋_GB2312"/>
          <w:color w:val="auto"/>
          <w:sz w:val="32"/>
        </w:rPr>
        <w:t>不低于;</w:t>
      </w:r>
    </w:p>
    <w:p>
      <w:pPr>
        <w:spacing w:line="580" w:lineRule="exact"/>
        <w:ind w:firstLine="640" w:firstLineChars="200"/>
        <w:jc w:val="left"/>
        <w:rPr>
          <w:rFonts w:eastAsia="仿宋_GB2312"/>
          <w:color w:val="auto"/>
          <w:sz w:val="32"/>
        </w:rPr>
      </w:pPr>
      <w:r>
        <w:rPr>
          <w:rFonts w:eastAsia="仿宋_GB2312"/>
          <w:color w:val="auto"/>
          <w:sz w:val="32"/>
        </w:rPr>
        <w:t>绿地率不高于</w:t>
      </w:r>
      <w:r>
        <w:rPr>
          <w:rFonts w:hint="eastAsia" w:eastAsia="仿宋_GB2312"/>
          <w:color w:val="auto"/>
          <w:sz w:val="32"/>
          <w:u w:val="single"/>
        </w:rPr>
        <w:t>,</w:t>
      </w:r>
      <w:r>
        <w:rPr>
          <w:rFonts w:eastAsia="仿宋_GB2312"/>
          <w:color w:val="auto"/>
          <w:sz w:val="32"/>
        </w:rPr>
        <w:t>不低于;</w:t>
      </w:r>
    </w:p>
    <w:p>
      <w:pPr>
        <w:spacing w:line="580" w:lineRule="exact"/>
        <w:ind w:firstLine="640" w:firstLineChars="200"/>
        <w:rPr>
          <w:rFonts w:eastAsia="仿宋_GB2312"/>
          <w:color w:val="auto"/>
          <w:sz w:val="32"/>
        </w:rPr>
      </w:pPr>
      <w:r>
        <w:rPr>
          <w:rFonts w:eastAsia="仿宋_GB2312"/>
          <w:color w:val="auto"/>
          <w:sz w:val="32"/>
        </w:rPr>
        <w:t>其他土地利用要求。</w:t>
      </w:r>
    </w:p>
    <w:p>
      <w:pPr>
        <w:numPr>
          <w:ilvl w:val="0"/>
          <w:numId w:val="9"/>
        </w:numPr>
        <w:spacing w:line="580" w:lineRule="exact"/>
        <w:ind w:left="8" w:leftChars="4" w:firstLine="627" w:firstLineChars="196"/>
        <w:rPr>
          <w:rFonts w:eastAsia="仿宋_GB2312"/>
          <w:color w:val="auto"/>
          <w:kern w:val="0"/>
          <w:sz w:val="32"/>
        </w:rPr>
      </w:pPr>
      <w:r>
        <w:rPr>
          <w:rFonts w:eastAsia="仿宋_GB2312"/>
          <w:color w:val="auto"/>
          <w:kern w:val="0"/>
          <w:sz w:val="32"/>
        </w:rPr>
        <w:t>受让人同意本合同项下宗地建设配套按本条第</w:t>
      </w:r>
    </w:p>
    <w:p>
      <w:pPr>
        <w:spacing w:line="580" w:lineRule="exact"/>
        <w:jc w:val="left"/>
        <w:rPr>
          <w:rFonts w:eastAsia="仿宋_GB2312"/>
          <w:color w:val="auto"/>
          <w:kern w:val="0"/>
          <w:sz w:val="32"/>
        </w:rPr>
      </w:pPr>
      <w:r>
        <w:rPr>
          <w:rFonts w:eastAsia="仿宋_GB2312"/>
          <w:color w:val="auto"/>
          <w:kern w:val="0"/>
          <w:sz w:val="32"/>
        </w:rPr>
        <w:t>项规定执行：</w:t>
      </w:r>
    </w:p>
    <w:p>
      <w:pPr>
        <w:spacing w:line="580" w:lineRule="exact"/>
        <w:ind w:right="178" w:rightChars="85" w:firstLine="640" w:firstLineChars="200"/>
        <w:rPr>
          <w:rFonts w:eastAsia="仿宋_GB2312"/>
          <w:color w:val="auto"/>
          <w:kern w:val="0"/>
          <w:sz w:val="32"/>
        </w:rPr>
      </w:pPr>
      <w:r>
        <w:rPr>
          <w:rFonts w:eastAsia="仿宋_GB2312"/>
          <w:color w:val="auto"/>
          <w:kern w:val="0"/>
          <w:sz w:val="32"/>
        </w:rPr>
        <w:t>（一）本合同项下宗地用于工业项目建设，根据规划部门确定的规划设计条件</w:t>
      </w:r>
      <w:r>
        <w:rPr>
          <w:rFonts w:eastAsia="仿宋_GB2312"/>
          <w:color w:val="auto"/>
          <w:spacing w:val="20"/>
          <w:kern w:val="0"/>
          <w:sz w:val="32"/>
        </w:rPr>
        <w:t>，</w:t>
      </w:r>
      <w:r>
        <w:rPr>
          <w:rFonts w:eastAsia="仿宋_GB2312"/>
          <w:color w:val="auto"/>
          <w:kern w:val="0"/>
          <w:sz w:val="32"/>
        </w:rPr>
        <w:t>本合同受让宗地范围内用于企业内部行</w:t>
      </w:r>
      <w:r>
        <w:rPr>
          <w:rFonts w:eastAsia="仿宋_GB2312"/>
          <w:color w:val="auto"/>
          <w:spacing w:val="20"/>
          <w:kern w:val="0"/>
          <w:sz w:val="32"/>
        </w:rPr>
        <w:t>政办公及生活服务设施的占地面积不超过受让宗地面积的</w:t>
      </w:r>
      <w:r>
        <w:rPr>
          <w:rFonts w:eastAsia="仿宋_GB2312"/>
          <w:color w:val="auto"/>
          <w:kern w:val="0"/>
          <w:sz w:val="32"/>
        </w:rPr>
        <w:t>%，即不超过平方米，建筑面积不超过平方米。受让人同意不在受让宗地范围内建造成套住宅、专家楼、宾馆、招待所和培训中心等非生产性设施；</w:t>
      </w:r>
    </w:p>
    <w:p>
      <w:pPr>
        <w:spacing w:line="580" w:lineRule="exact"/>
        <w:ind w:firstLine="640" w:firstLineChars="200"/>
        <w:rPr>
          <w:rFonts w:eastAsia="仿宋_GB2312"/>
          <w:color w:val="auto"/>
          <w:spacing w:val="-4"/>
          <w:kern w:val="0"/>
          <w:sz w:val="32"/>
        </w:rPr>
      </w:pPr>
      <w:r>
        <w:rPr>
          <w:rFonts w:eastAsia="仿宋_GB2312"/>
          <w:color w:val="auto"/>
          <w:kern w:val="0"/>
          <w:sz w:val="32"/>
        </w:rPr>
        <w:t>（二）</w:t>
      </w:r>
      <w:r>
        <w:rPr>
          <w:rFonts w:eastAsia="仿宋_GB2312"/>
          <w:color w:val="auto"/>
          <w:spacing w:val="-4"/>
          <w:kern w:val="0"/>
          <w:sz w:val="32"/>
        </w:rPr>
        <w:t>本合同项下宗地用于住宅项目建设，根据规划建设管理部门确定的规划建设条件，本合同受让宗地范围内住宅建设总套数不少于套。其中，套型建筑面积90平方米以下住房套数不少于套，住宅建设套型要求为。本合同项下宗地范围内套型建筑面积90平方米以下住房面积占宗地开发建设总面积的比例不低于％。本合同项下宗地范围内配套建设的经济适用住房、廉租住房等政府保障性住房，受让人同意建成后按本项下第种方式履行：</w:t>
      </w:r>
    </w:p>
    <w:p>
      <w:pPr>
        <w:spacing w:line="580" w:lineRule="exact"/>
        <w:ind w:firstLine="640" w:firstLineChars="200"/>
        <w:rPr>
          <w:rFonts w:eastAsia="仿宋_GB2312"/>
          <w:color w:val="auto"/>
          <w:kern w:val="0"/>
          <w:sz w:val="32"/>
        </w:rPr>
      </w:pPr>
      <w:r>
        <w:rPr>
          <w:rFonts w:eastAsia="仿宋_GB2312"/>
          <w:color w:val="auto"/>
          <w:kern w:val="0"/>
          <w:sz w:val="32"/>
        </w:rPr>
        <w:t>1．移交给政府；</w:t>
      </w:r>
    </w:p>
    <w:p>
      <w:pPr>
        <w:spacing w:line="580" w:lineRule="exact"/>
        <w:ind w:firstLine="640" w:firstLineChars="200"/>
        <w:rPr>
          <w:rFonts w:eastAsia="仿宋_GB2312"/>
          <w:color w:val="auto"/>
          <w:kern w:val="0"/>
          <w:sz w:val="32"/>
        </w:rPr>
      </w:pPr>
      <w:r>
        <w:rPr>
          <w:rFonts w:eastAsia="仿宋_GB2312"/>
          <w:color w:val="auto"/>
          <w:kern w:val="0"/>
          <w:sz w:val="32"/>
        </w:rPr>
        <w:t>2．由政府回购；</w:t>
      </w:r>
    </w:p>
    <w:p>
      <w:pPr>
        <w:spacing w:line="580" w:lineRule="exact"/>
        <w:ind w:firstLine="640" w:firstLineChars="200"/>
        <w:rPr>
          <w:rFonts w:eastAsia="仿宋_GB2312"/>
          <w:color w:val="auto"/>
          <w:kern w:val="0"/>
          <w:sz w:val="32"/>
        </w:rPr>
      </w:pPr>
      <w:r>
        <w:rPr>
          <w:rFonts w:eastAsia="仿宋_GB2312"/>
          <w:color w:val="auto"/>
          <w:kern w:val="0"/>
          <w:sz w:val="32"/>
        </w:rPr>
        <w:t>3．按政府经济适用住房建设和销售管理的有关规定执行；</w:t>
      </w:r>
    </w:p>
    <w:p>
      <w:pPr>
        <w:spacing w:line="580" w:lineRule="exact"/>
        <w:ind w:firstLine="640" w:firstLineChars="200"/>
        <w:rPr>
          <w:rFonts w:eastAsia="仿宋_GB2312"/>
          <w:color w:val="auto"/>
          <w:kern w:val="0"/>
          <w:sz w:val="32"/>
        </w:rPr>
      </w:pPr>
      <w:r>
        <w:rPr>
          <w:rFonts w:eastAsia="仿宋_GB2312"/>
          <w:color w:val="auto"/>
          <w:kern w:val="0"/>
          <w:sz w:val="32"/>
        </w:rPr>
        <w:t>4．。</w:t>
      </w:r>
    </w:p>
    <w:p>
      <w:pPr>
        <w:numPr>
          <w:ilvl w:val="0"/>
          <w:numId w:val="9"/>
        </w:numPr>
        <w:spacing w:line="580" w:lineRule="exact"/>
        <w:ind w:left="8" w:leftChars="4" w:firstLine="627" w:firstLineChars="196"/>
        <w:rPr>
          <w:rFonts w:ascii="仿宋_GB2312" w:eastAsia="仿宋_GB2312"/>
          <w:color w:val="auto"/>
          <w:sz w:val="32"/>
        </w:rPr>
      </w:pPr>
      <w:r>
        <w:rPr>
          <w:rFonts w:hint="eastAsia" w:ascii="仿宋_GB2312" w:eastAsia="仿宋_GB2312"/>
          <w:color w:val="auto"/>
          <w:kern w:val="0"/>
          <w:sz w:val="32"/>
        </w:rPr>
        <w:t>受让人</w:t>
      </w:r>
      <w:r>
        <w:rPr>
          <w:rFonts w:hint="eastAsia" w:eastAsia="仿宋_GB2312"/>
          <w:color w:val="auto"/>
          <w:kern w:val="0"/>
          <w:sz w:val="32"/>
        </w:rPr>
        <w:t>同意</w:t>
      </w:r>
      <w:r>
        <w:rPr>
          <w:rFonts w:hint="eastAsia" w:ascii="仿宋_GB2312" w:eastAsia="仿宋_GB2312"/>
          <w:color w:val="auto"/>
          <w:kern w:val="0"/>
          <w:sz w:val="32"/>
        </w:rPr>
        <w:t>在本合同项下宗地范围内同步修建下列工程配套项目，并在建成后无偿移交给政府：</w:t>
      </w:r>
    </w:p>
    <w:p>
      <w:pPr>
        <w:tabs>
          <w:tab w:val="left" w:pos="8460"/>
        </w:tabs>
        <w:spacing w:line="580" w:lineRule="exact"/>
        <w:ind w:firstLine="640" w:firstLineChars="200"/>
        <w:rPr>
          <w:rFonts w:ascii="仿宋_GB2312" w:eastAsia="仿宋_GB2312"/>
          <w:color w:val="auto"/>
          <w:sz w:val="32"/>
        </w:rPr>
      </w:pPr>
      <w:r>
        <w:rPr>
          <w:rFonts w:hint="eastAsia" w:ascii="仿宋_GB2312" w:eastAsia="仿宋_GB2312"/>
          <w:color w:val="auto"/>
          <w:kern w:val="0"/>
          <w:sz w:val="32"/>
        </w:rPr>
        <w:t>（一）；</w:t>
      </w:r>
    </w:p>
    <w:p>
      <w:pPr>
        <w:spacing w:line="580" w:lineRule="exact"/>
        <w:ind w:firstLine="640" w:firstLineChars="200"/>
        <w:rPr>
          <w:rFonts w:ascii="仿宋_GB2312" w:eastAsia="仿宋_GB2312"/>
          <w:strike/>
          <w:color w:val="auto"/>
          <w:sz w:val="32"/>
        </w:rPr>
      </w:pPr>
      <w:r>
        <w:rPr>
          <w:rFonts w:hint="eastAsia" w:ascii="仿宋_GB2312" w:eastAsia="仿宋_GB2312"/>
          <w:color w:val="auto"/>
          <w:sz w:val="32"/>
        </w:rPr>
        <w:t>（二）</w:t>
      </w:r>
      <w:r>
        <w:rPr>
          <w:rFonts w:hint="eastAsia" w:ascii="仿宋_GB2312" w:eastAsia="仿宋_GB2312"/>
          <w:color w:val="auto"/>
          <w:kern w:val="0"/>
          <w:sz w:val="32"/>
        </w:rPr>
        <w:t>；</w:t>
      </w:r>
    </w:p>
    <w:p>
      <w:pPr>
        <w:spacing w:line="580" w:lineRule="exact"/>
        <w:ind w:firstLine="640" w:firstLineChars="200"/>
        <w:rPr>
          <w:rFonts w:ascii="仿宋_GB2312" w:eastAsia="仿宋_GB2312"/>
          <w:color w:val="auto"/>
          <w:kern w:val="0"/>
          <w:sz w:val="32"/>
        </w:rPr>
      </w:pPr>
      <w:r>
        <w:rPr>
          <w:rFonts w:hint="eastAsia" w:ascii="仿宋_GB2312" w:eastAsia="仿宋_GB2312"/>
          <w:color w:val="auto"/>
          <w:sz w:val="32"/>
        </w:rPr>
        <w:t xml:space="preserve">（三）  </w:t>
      </w:r>
      <w:r>
        <w:rPr>
          <w:rFonts w:hint="eastAsia" w:ascii="仿宋_GB2312" w:eastAsia="仿宋_GB2312"/>
          <w:color w:val="auto"/>
          <w:kern w:val="0"/>
          <w:sz w:val="32"/>
        </w:rPr>
        <w:t>。</w:t>
      </w:r>
    </w:p>
    <w:p>
      <w:pPr>
        <w:numPr>
          <w:ilvl w:val="0"/>
          <w:numId w:val="9"/>
        </w:numPr>
        <w:spacing w:line="580" w:lineRule="exact"/>
        <w:ind w:left="8" w:leftChars="4" w:firstLine="627" w:firstLineChars="196"/>
        <w:rPr>
          <w:rFonts w:ascii="仿宋_GB2312" w:hAnsi="MS Gothic" w:eastAsia="仿宋_GB2312"/>
          <w:color w:val="auto"/>
          <w:spacing w:val="-6"/>
          <w:kern w:val="0"/>
          <w:position w:val="-6"/>
          <w:sz w:val="32"/>
        </w:rPr>
      </w:pPr>
      <w:r>
        <w:rPr>
          <w:rFonts w:hint="eastAsia" w:ascii="仿宋_GB2312" w:eastAsia="仿宋_GB2312"/>
          <w:color w:val="auto"/>
          <w:kern w:val="0"/>
          <w:sz w:val="32"/>
        </w:rPr>
        <w:t>受让人同意本合同项下的宗地建设项目应在年月日之前开工，在年月 日之前竣工。</w:t>
      </w:r>
    </w:p>
    <w:p>
      <w:pPr>
        <w:spacing w:line="580" w:lineRule="exact"/>
        <w:ind w:firstLine="640" w:firstLineChars="200"/>
        <w:rPr>
          <w:rFonts w:ascii="仿宋_GB2312" w:eastAsia="仿宋_GB2312"/>
          <w:color w:val="auto"/>
          <w:kern w:val="0"/>
          <w:sz w:val="32"/>
        </w:rPr>
      </w:pPr>
      <w:r>
        <w:rPr>
          <w:rFonts w:hint="eastAsia" w:ascii="仿宋_GB2312" w:eastAsia="仿宋_GB2312"/>
          <w:color w:val="auto"/>
          <w:kern w:val="0"/>
          <w:sz w:val="32"/>
        </w:rPr>
        <w:t>受让人不能按期开工，应提前30日向监管部门及出让方提出延建申请，经监管部门及出让方同意延建的，其项目竣工时间相应顺延，但延建期限不得超过一年。</w:t>
      </w:r>
    </w:p>
    <w:p>
      <w:pPr>
        <w:numPr>
          <w:ilvl w:val="0"/>
          <w:numId w:val="9"/>
        </w:numPr>
        <w:spacing w:line="580" w:lineRule="exact"/>
        <w:ind w:left="8" w:leftChars="4" w:firstLine="627" w:firstLineChars="196"/>
        <w:rPr>
          <w:rFonts w:ascii="仿宋_GB2312" w:eastAsia="仿宋_GB2312"/>
          <w:color w:val="auto"/>
          <w:kern w:val="0"/>
          <w:sz w:val="32"/>
        </w:rPr>
      </w:pPr>
      <w:r>
        <w:rPr>
          <w:rFonts w:hint="eastAsia" w:ascii="仿宋_GB2312" w:eastAsia="仿宋_GB2312"/>
          <w:color w:val="auto"/>
          <w:kern w:val="0"/>
          <w:sz w:val="32"/>
        </w:rPr>
        <w:t>受让人在本合同项下宗地内进行建设时，有关用水、用气、污水及其他设施与宗地外主管线、用电变电站接口和引入工程，应按有关规定办理。</w:t>
      </w:r>
    </w:p>
    <w:p>
      <w:pPr>
        <w:spacing w:line="580" w:lineRule="exact"/>
        <w:ind w:firstLine="640" w:firstLineChars="200"/>
        <w:rPr>
          <w:rFonts w:ascii="仿宋_GB2312" w:eastAsia="仿宋_GB2312"/>
          <w:color w:val="auto"/>
          <w:kern w:val="0"/>
          <w:sz w:val="32"/>
        </w:rPr>
      </w:pPr>
      <w:r>
        <w:rPr>
          <w:rFonts w:hint="eastAsia" w:ascii="仿宋_GB2312" w:eastAsia="仿宋_GB2312"/>
          <w:color w:val="auto"/>
          <w:kern w:val="0"/>
          <w:sz w:val="32"/>
        </w:rPr>
        <w:t>受让人同意政府为公用事业需要而敷设的各种管道与管线进出、通过、穿越受让宗地，但由此影响受让宗地使用功能的，政府或公用事业营建主体应当给予合理补偿。</w:t>
      </w:r>
    </w:p>
    <w:p>
      <w:pPr>
        <w:numPr>
          <w:ilvl w:val="0"/>
          <w:numId w:val="9"/>
        </w:numPr>
        <w:spacing w:line="580" w:lineRule="exact"/>
        <w:ind w:left="8" w:leftChars="4" w:firstLine="627" w:firstLineChars="196"/>
        <w:rPr>
          <w:rFonts w:ascii="仿宋_GB2312" w:eastAsia="仿宋_GB2312"/>
          <w:color w:val="auto"/>
          <w:kern w:val="0"/>
          <w:sz w:val="32"/>
        </w:rPr>
      </w:pPr>
      <w:r>
        <w:rPr>
          <w:rFonts w:hint="eastAsia" w:ascii="仿宋_GB2312" w:eastAsia="仿宋_GB2312"/>
          <w:color w:val="auto"/>
          <w:kern w:val="0"/>
          <w:sz w:val="32"/>
        </w:rPr>
        <w:t>受让人应当按照本合同约定的土地用途、容积率利用土地，不得擅自改变。在出让期限内，需要改变本合同约定的土地用途的，受让方同意按照本条第项规定办理：</w:t>
      </w:r>
    </w:p>
    <w:p>
      <w:pPr>
        <w:spacing w:line="580" w:lineRule="exact"/>
        <w:ind w:firstLine="640" w:firstLineChars="200"/>
        <w:rPr>
          <w:rFonts w:ascii="仿宋_GB2312" w:eastAsia="仿宋_GB2312"/>
          <w:color w:val="auto"/>
          <w:kern w:val="0"/>
          <w:sz w:val="32"/>
        </w:rPr>
      </w:pPr>
      <w:r>
        <w:rPr>
          <w:rFonts w:hint="eastAsia" w:ascii="仿宋_GB2312" w:eastAsia="仿宋_GB2312"/>
          <w:color w:val="auto"/>
          <w:kern w:val="0"/>
          <w:sz w:val="32"/>
        </w:rPr>
        <w:t>（一）由出让人有偿收回建设用地使用权；</w:t>
      </w:r>
    </w:p>
    <w:p>
      <w:pPr>
        <w:spacing w:line="580" w:lineRule="exact"/>
        <w:ind w:firstLine="640" w:firstLineChars="200"/>
        <w:rPr>
          <w:rFonts w:ascii="仿宋_GB2312" w:eastAsia="仿宋_GB2312"/>
          <w:color w:val="auto"/>
          <w:kern w:val="0"/>
          <w:sz w:val="32"/>
        </w:rPr>
      </w:pPr>
      <w:r>
        <w:rPr>
          <w:rFonts w:hint="eastAsia" w:ascii="仿宋_GB2312" w:eastAsia="仿宋_GB2312"/>
          <w:color w:val="auto"/>
          <w:kern w:val="0"/>
          <w:sz w:val="32"/>
        </w:rPr>
        <w:t>（二）依法办理改变土地用途批准手续，签订集体建设用</w:t>
      </w:r>
      <w:r>
        <w:rPr>
          <w:rFonts w:hint="eastAsia" w:eastAsia="仿宋_GB2312"/>
          <w:color w:val="auto"/>
          <w:kern w:val="0"/>
          <w:sz w:val="32"/>
        </w:rPr>
        <w:t>地使用权出让合同变更协议或者重新签订集体建设用地使用</w:t>
      </w:r>
      <w:r>
        <w:rPr>
          <w:rFonts w:hint="eastAsia" w:ascii="仿宋_GB2312" w:eastAsia="仿宋_GB2312"/>
          <w:color w:val="auto"/>
          <w:kern w:val="0"/>
          <w:sz w:val="32"/>
        </w:rPr>
        <w:t>合同并备案，由受让人按照批准改变时新土地用途下建设用地使用权评估市场价格与原土地用途下建设用地使用权评估市场价格的差额补缴集体建设用地使用权出让价款及相关税费，办理土地变更登记。</w:t>
      </w:r>
    </w:p>
    <w:p>
      <w:pPr>
        <w:numPr>
          <w:ilvl w:val="0"/>
          <w:numId w:val="9"/>
        </w:numPr>
        <w:spacing w:line="580" w:lineRule="exact"/>
        <w:ind w:left="8" w:leftChars="4" w:firstLine="627" w:firstLineChars="196"/>
        <w:rPr>
          <w:rFonts w:ascii="仿宋_GB2312" w:eastAsia="仿宋_GB2312"/>
          <w:color w:val="auto"/>
          <w:kern w:val="0"/>
          <w:sz w:val="32"/>
        </w:rPr>
      </w:pPr>
      <w:r>
        <w:rPr>
          <w:rFonts w:hint="eastAsia" w:ascii="仿宋_GB2312" w:eastAsia="仿宋_GB2312"/>
          <w:color w:val="auto"/>
          <w:kern w:val="0"/>
          <w:sz w:val="32"/>
        </w:rPr>
        <w:t>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spacing w:beforeLines="100" w:afterLines="100" w:line="580" w:lineRule="exact"/>
        <w:jc w:val="center"/>
        <w:rPr>
          <w:rFonts w:eastAsia="黑体"/>
          <w:color w:val="auto"/>
          <w:kern w:val="0"/>
          <w:sz w:val="36"/>
        </w:rPr>
      </w:pPr>
      <w:r>
        <w:rPr>
          <w:rFonts w:eastAsia="黑体"/>
          <w:color w:val="auto"/>
          <w:kern w:val="0"/>
          <w:sz w:val="36"/>
        </w:rPr>
        <w:t>第四章  土地出租、转让或抵押</w:t>
      </w:r>
    </w:p>
    <w:p>
      <w:pPr>
        <w:numPr>
          <w:ilvl w:val="0"/>
          <w:numId w:val="9"/>
        </w:numPr>
        <w:spacing w:line="580" w:lineRule="exact"/>
        <w:ind w:left="8" w:leftChars="4" w:firstLine="627" w:firstLineChars="196"/>
        <w:rPr>
          <w:rFonts w:eastAsia="仿宋_GB2312"/>
          <w:color w:val="auto"/>
          <w:kern w:val="0"/>
          <w:sz w:val="32"/>
        </w:rPr>
      </w:pPr>
      <w:r>
        <w:rPr>
          <w:rFonts w:eastAsia="仿宋_GB2312"/>
          <w:color w:val="auto"/>
          <w:kern w:val="0"/>
          <w:sz w:val="32"/>
        </w:rPr>
        <w:t>受让人领取集体土地使用证后，有权将本合同项下的全部或部分集体建设用地使用权转让、出租、抵押。首次转让的，应当符合本条第项规定的条件：</w:t>
      </w:r>
    </w:p>
    <w:p>
      <w:pPr>
        <w:spacing w:line="580" w:lineRule="exact"/>
        <w:ind w:firstLine="640" w:firstLineChars="200"/>
        <w:rPr>
          <w:rFonts w:eastAsia="仿宋_GB2312"/>
          <w:color w:val="auto"/>
          <w:kern w:val="0"/>
          <w:sz w:val="32"/>
        </w:rPr>
      </w:pPr>
      <w:r>
        <w:rPr>
          <w:rFonts w:eastAsia="仿宋_GB2312"/>
          <w:color w:val="auto"/>
          <w:kern w:val="0"/>
          <w:sz w:val="32"/>
        </w:rPr>
        <w:t>（一）按照本合同约定进行投资开发，完成开发投资总额的百分之二十五以上；</w:t>
      </w:r>
    </w:p>
    <w:p>
      <w:pPr>
        <w:spacing w:line="580" w:lineRule="exact"/>
        <w:ind w:firstLine="640" w:firstLineChars="200"/>
        <w:rPr>
          <w:rFonts w:eastAsia="仿宋_GB2312"/>
          <w:color w:val="auto"/>
          <w:kern w:val="0"/>
          <w:sz w:val="32"/>
        </w:rPr>
      </w:pPr>
      <w:r>
        <w:rPr>
          <w:rFonts w:eastAsia="仿宋_GB2312"/>
          <w:color w:val="auto"/>
          <w:kern w:val="0"/>
          <w:sz w:val="32"/>
        </w:rPr>
        <w:t>（二）按照本合同约定进行投资开发，已形成工业用地或其他建设用地条件。</w:t>
      </w:r>
    </w:p>
    <w:p>
      <w:pPr>
        <w:numPr>
          <w:ilvl w:val="0"/>
          <w:numId w:val="9"/>
        </w:numPr>
        <w:spacing w:line="580" w:lineRule="exact"/>
        <w:ind w:left="8" w:leftChars="4" w:firstLine="627" w:firstLineChars="196"/>
        <w:rPr>
          <w:rFonts w:eastAsia="仿宋_GB2312"/>
          <w:color w:val="auto"/>
          <w:kern w:val="0"/>
          <w:sz w:val="32"/>
        </w:rPr>
      </w:pPr>
      <w:r>
        <w:rPr>
          <w:rFonts w:eastAsia="仿宋_GB2312"/>
          <w:color w:val="auto"/>
          <w:kern w:val="0"/>
          <w:sz w:val="32"/>
        </w:rPr>
        <w:t>集体建设用地使用权的转让、出租及抵押合同，不得违背国家法律、法规规定和本合同约定。</w:t>
      </w:r>
    </w:p>
    <w:p>
      <w:pPr>
        <w:numPr>
          <w:ilvl w:val="0"/>
          <w:numId w:val="9"/>
        </w:numPr>
        <w:spacing w:line="580" w:lineRule="exact"/>
        <w:ind w:left="8" w:leftChars="4" w:firstLine="627" w:firstLineChars="196"/>
        <w:rPr>
          <w:rFonts w:eastAsia="仿宋_GB2312"/>
          <w:color w:val="auto"/>
          <w:kern w:val="0"/>
          <w:sz w:val="32"/>
        </w:rPr>
      </w:pPr>
      <w:r>
        <w:rPr>
          <w:rFonts w:eastAsia="仿宋_GB2312"/>
          <w:color w:val="auto"/>
          <w:kern w:val="0"/>
          <w:sz w:val="32"/>
        </w:rPr>
        <w:t>集体建设用地使用权全部或部分转让后，本合同和土地登记文件中载明的权利、义务随之转移，集体建设用地使用权的使用年限为本合同约定的使用年限减去已经使用年限后的剩余年限。</w:t>
      </w:r>
    </w:p>
    <w:p>
      <w:pPr>
        <w:spacing w:line="580" w:lineRule="exact"/>
        <w:ind w:left="8"/>
        <w:rPr>
          <w:rFonts w:eastAsia="仿宋_GB2312"/>
          <w:color w:val="auto"/>
          <w:kern w:val="0"/>
          <w:sz w:val="32"/>
        </w:rPr>
      </w:pPr>
      <w:r>
        <w:rPr>
          <w:rFonts w:eastAsia="仿宋_GB2312"/>
          <w:color w:val="auto"/>
          <w:kern w:val="0"/>
          <w:sz w:val="32"/>
        </w:rPr>
        <w:t xml:space="preserve">    本合同项下的全部或部分集体建设用地使用权出租后，本合同和土地登记文件中载明的权利、义务仍由受让人承担。</w:t>
      </w:r>
    </w:p>
    <w:p>
      <w:pPr>
        <w:numPr>
          <w:ilvl w:val="0"/>
          <w:numId w:val="9"/>
        </w:numPr>
        <w:spacing w:line="580" w:lineRule="exact"/>
        <w:ind w:left="8" w:leftChars="4" w:firstLine="627" w:firstLineChars="196"/>
        <w:rPr>
          <w:rFonts w:eastAsia="仿宋_GB2312"/>
          <w:color w:val="auto"/>
          <w:kern w:val="0"/>
          <w:sz w:val="32"/>
        </w:rPr>
      </w:pPr>
      <w:r>
        <w:rPr>
          <w:rFonts w:hint="eastAsia" w:ascii="仿宋_GB2312" w:eastAsia="仿宋_GB2312"/>
          <w:color w:val="auto"/>
          <w:kern w:val="0"/>
          <w:sz w:val="32"/>
        </w:rPr>
        <w:t>集体建设用地使用权转让、抵押的，转让、抵押双方应持本合同和相应的转让、抵押合同及集体土地使用证，到国土资源管理部门办理土地变更登记</w:t>
      </w:r>
      <w:r>
        <w:rPr>
          <w:rFonts w:eastAsia="仿宋_GB2312"/>
          <w:color w:val="auto"/>
          <w:kern w:val="0"/>
          <w:sz w:val="32"/>
        </w:rPr>
        <w:t>。</w:t>
      </w:r>
      <w:r>
        <w:rPr>
          <w:rFonts w:hint="eastAsia" w:eastAsia="仿宋_GB2312"/>
          <w:color w:val="auto"/>
          <w:kern w:val="0"/>
          <w:sz w:val="32"/>
        </w:rPr>
        <w:t>土地使用权转让的，继受人还应向</w:t>
      </w:r>
      <w:r>
        <w:rPr>
          <w:rFonts w:hint="eastAsia" w:ascii="仿宋_GB2312" w:eastAsia="仿宋_GB2312"/>
          <w:color w:val="auto"/>
          <w:kern w:val="0"/>
          <w:sz w:val="32"/>
        </w:rPr>
        <w:t>国土资源管理部门申请合同备案。</w:t>
      </w:r>
    </w:p>
    <w:p>
      <w:pPr>
        <w:spacing w:beforeLines="100" w:afterLines="100" w:line="580" w:lineRule="exact"/>
        <w:jc w:val="center"/>
        <w:rPr>
          <w:rFonts w:eastAsia="黑体"/>
          <w:color w:val="auto"/>
          <w:kern w:val="0"/>
          <w:sz w:val="36"/>
        </w:rPr>
      </w:pPr>
      <w:r>
        <w:rPr>
          <w:rFonts w:eastAsia="黑体"/>
          <w:color w:val="auto"/>
          <w:kern w:val="0"/>
          <w:sz w:val="36"/>
        </w:rPr>
        <w:t>第五章 期限届满</w:t>
      </w:r>
      <w:r>
        <w:rPr>
          <w:rFonts w:hint="eastAsia" w:eastAsia="黑体"/>
          <w:color w:val="auto"/>
          <w:kern w:val="0"/>
          <w:sz w:val="36"/>
        </w:rPr>
        <w:t>与使用权终止</w:t>
      </w:r>
    </w:p>
    <w:p>
      <w:pPr>
        <w:numPr>
          <w:ilvl w:val="0"/>
          <w:numId w:val="9"/>
        </w:numPr>
        <w:spacing w:line="580" w:lineRule="exact"/>
        <w:ind w:left="8" w:leftChars="4" w:firstLine="627" w:firstLineChars="196"/>
        <w:rPr>
          <w:rFonts w:eastAsia="仿宋_GB2312"/>
          <w:color w:val="auto"/>
          <w:kern w:val="0"/>
          <w:sz w:val="32"/>
        </w:rPr>
      </w:pPr>
      <w:r>
        <w:rPr>
          <w:rFonts w:ascii="仿宋_GB2312" w:eastAsia="仿宋_GB2312"/>
          <w:color w:val="auto"/>
          <w:kern w:val="0"/>
          <w:sz w:val="32"/>
        </w:rPr>
        <w:t>对受让人依法使用的集体建设用地使用权</w:t>
      </w:r>
      <w:r>
        <w:rPr>
          <w:rFonts w:eastAsia="仿宋_GB2312"/>
          <w:color w:val="auto"/>
          <w:kern w:val="0"/>
          <w:sz w:val="32"/>
        </w:rPr>
        <w:t>，在本合同约定的使用年限届满前，出让人不得收回</w:t>
      </w:r>
      <w:r>
        <w:rPr>
          <w:rFonts w:hint="eastAsia" w:eastAsia="仿宋_GB2312"/>
          <w:color w:val="auto"/>
          <w:kern w:val="0"/>
          <w:sz w:val="32"/>
        </w:rPr>
        <w:t>。</w:t>
      </w:r>
      <w:r>
        <w:rPr>
          <w:rFonts w:hint="eastAsia" w:ascii="仿宋_GB2312" w:hAnsi="仿宋_GB2312" w:eastAsia="仿宋_GB2312"/>
          <w:color w:val="auto"/>
          <w:sz w:val="32"/>
        </w:rPr>
        <w:t>确因公共利益，需要提前收回的，应依据国家相关规定报批，并</w:t>
      </w:r>
      <w:r>
        <w:rPr>
          <w:rFonts w:hint="eastAsia" w:ascii="仿宋_GB2312" w:eastAsia="仿宋_GB2312"/>
          <w:color w:val="auto"/>
          <w:kern w:val="0"/>
          <w:sz w:val="32"/>
        </w:rPr>
        <w:t>根据收回时地上建筑物、构筑物及其附属设施的价值和剩余年期国有建设用地使用权的评估市场价格及经评估认定的直接损失向权利人给予补偿。</w:t>
      </w:r>
    </w:p>
    <w:p>
      <w:pPr>
        <w:numPr>
          <w:ilvl w:val="0"/>
          <w:numId w:val="9"/>
        </w:numPr>
        <w:spacing w:line="580" w:lineRule="exact"/>
        <w:ind w:left="8" w:leftChars="4" w:firstLine="627" w:firstLineChars="196"/>
        <w:rPr>
          <w:rFonts w:eastAsia="仿宋_GB2312"/>
          <w:color w:val="auto"/>
          <w:kern w:val="0"/>
          <w:sz w:val="32"/>
        </w:rPr>
      </w:pPr>
      <w:r>
        <w:rPr>
          <w:rFonts w:hint="eastAsia" w:eastAsia="仿宋_GB2312"/>
          <w:color w:val="auto"/>
          <w:kern w:val="0"/>
          <w:sz w:val="32"/>
        </w:rPr>
        <w:t>国家因公共利益需要</w:t>
      </w:r>
      <w:r>
        <w:rPr>
          <w:rFonts w:hint="eastAsia" w:ascii="仿宋_GB2312" w:hAnsi="仿宋_GB2312" w:eastAsia="仿宋_GB2312"/>
          <w:color w:val="auto"/>
          <w:sz w:val="32"/>
        </w:rPr>
        <w:t>，依法征收集体经营性建设用地的，合同双方均应服从，出让土地使用权自批准集体土地征收之日终止。</w:t>
      </w:r>
    </w:p>
    <w:p>
      <w:pPr>
        <w:spacing w:line="580" w:lineRule="exact"/>
        <w:ind w:firstLine="634" w:firstLineChars="198"/>
        <w:rPr>
          <w:rFonts w:eastAsia="仿宋_GB2312"/>
          <w:color w:val="auto"/>
          <w:kern w:val="0"/>
          <w:sz w:val="32"/>
        </w:rPr>
      </w:pPr>
      <w:r>
        <w:rPr>
          <w:rFonts w:hint="eastAsia" w:ascii="仿宋_GB2312" w:hAnsi="仿宋_GB2312" w:eastAsia="仿宋_GB2312"/>
          <w:color w:val="auto"/>
          <w:sz w:val="32"/>
        </w:rPr>
        <w:t>征收土地涉及的土地补偿费支付给出让人，但出让人应</w:t>
      </w:r>
      <w:r>
        <w:rPr>
          <w:rFonts w:eastAsia="仿宋_GB2312"/>
          <w:color w:val="auto"/>
          <w:kern w:val="0"/>
          <w:sz w:val="32"/>
        </w:rPr>
        <w:t>根据</w:t>
      </w:r>
      <w:r>
        <w:rPr>
          <w:rFonts w:hint="eastAsia" w:eastAsia="仿宋_GB2312"/>
          <w:color w:val="auto"/>
          <w:kern w:val="0"/>
          <w:sz w:val="32"/>
        </w:rPr>
        <w:t>征收时</w:t>
      </w:r>
      <w:r>
        <w:rPr>
          <w:rFonts w:eastAsia="仿宋_GB2312"/>
          <w:color w:val="auto"/>
          <w:kern w:val="0"/>
          <w:sz w:val="32"/>
        </w:rPr>
        <w:t>剩余年期集体建设用地使用权的评估市场价格及经评估认定的直接损失给予</w:t>
      </w:r>
      <w:r>
        <w:rPr>
          <w:rFonts w:hint="eastAsia" w:eastAsia="仿宋_GB2312"/>
          <w:color w:val="auto"/>
          <w:kern w:val="0"/>
          <w:sz w:val="32"/>
        </w:rPr>
        <w:t>受让人公平</w:t>
      </w:r>
      <w:r>
        <w:rPr>
          <w:rFonts w:eastAsia="仿宋_GB2312"/>
          <w:color w:val="auto"/>
          <w:kern w:val="0"/>
          <w:sz w:val="32"/>
        </w:rPr>
        <w:t>补偿。</w:t>
      </w:r>
      <w:r>
        <w:rPr>
          <w:rFonts w:hint="eastAsia" w:ascii="仿宋_GB2312" w:hAnsi="仿宋_GB2312" w:eastAsia="仿宋_GB2312"/>
          <w:color w:val="auto"/>
          <w:sz w:val="32"/>
        </w:rPr>
        <w:t>地上附着物的补偿费支付给附着物所有权人。人员安置费按照土地征收有关规定进行安排，受让人不参与分配。</w:t>
      </w:r>
    </w:p>
    <w:p>
      <w:pPr>
        <w:numPr>
          <w:ilvl w:val="0"/>
          <w:numId w:val="9"/>
        </w:numPr>
        <w:spacing w:line="580" w:lineRule="exact"/>
        <w:ind w:left="8" w:leftChars="4" w:firstLine="627" w:firstLineChars="196"/>
        <w:rPr>
          <w:rFonts w:eastAsia="仿宋_GB2312"/>
          <w:color w:val="auto"/>
          <w:kern w:val="0"/>
          <w:sz w:val="32"/>
        </w:rPr>
      </w:pPr>
      <w:r>
        <w:rPr>
          <w:rFonts w:eastAsia="仿宋_GB2312"/>
          <w:color w:val="auto"/>
          <w:kern w:val="0"/>
          <w:sz w:val="32"/>
        </w:rPr>
        <w:t>本合同约定的</w:t>
      </w:r>
      <w:r>
        <w:rPr>
          <w:rFonts w:hint="eastAsia" w:eastAsia="仿宋_GB2312"/>
          <w:color w:val="auto"/>
          <w:kern w:val="0"/>
          <w:sz w:val="32"/>
        </w:rPr>
        <w:t>土地</w:t>
      </w:r>
      <w:r>
        <w:rPr>
          <w:rFonts w:eastAsia="仿宋_GB2312"/>
          <w:color w:val="auto"/>
          <w:kern w:val="0"/>
          <w:sz w:val="32"/>
        </w:rPr>
        <w:t>使用年限届满，</w:t>
      </w:r>
      <w:r>
        <w:rPr>
          <w:rFonts w:hint="eastAsia" w:eastAsia="仿宋_GB2312"/>
          <w:color w:val="auto"/>
          <w:kern w:val="0"/>
          <w:sz w:val="32"/>
        </w:rPr>
        <w:t>双方同意按照届时有关法律法规处理。</w:t>
      </w:r>
    </w:p>
    <w:p>
      <w:pPr>
        <w:spacing w:beforeLines="100" w:afterLines="100" w:line="580" w:lineRule="exact"/>
        <w:jc w:val="center"/>
        <w:rPr>
          <w:rFonts w:eastAsia="黑体"/>
          <w:color w:val="auto"/>
          <w:kern w:val="0"/>
          <w:sz w:val="36"/>
        </w:rPr>
      </w:pPr>
      <w:r>
        <w:rPr>
          <w:rFonts w:eastAsia="黑体"/>
          <w:color w:val="auto"/>
          <w:kern w:val="0"/>
          <w:sz w:val="36"/>
        </w:rPr>
        <w:t>第六章  违约责任</w:t>
      </w:r>
    </w:p>
    <w:p>
      <w:pPr>
        <w:numPr>
          <w:ilvl w:val="0"/>
          <w:numId w:val="9"/>
        </w:numPr>
        <w:spacing w:line="580" w:lineRule="exact"/>
        <w:ind w:left="8" w:leftChars="4" w:firstLine="627" w:firstLineChars="196"/>
        <w:rPr>
          <w:rFonts w:eastAsia="仿宋_GB2312"/>
          <w:color w:val="auto"/>
          <w:kern w:val="0"/>
          <w:sz w:val="32"/>
        </w:rPr>
      </w:pPr>
      <w:r>
        <w:rPr>
          <w:rFonts w:eastAsia="仿宋_GB2312"/>
          <w:color w:val="auto"/>
          <w:kern w:val="0"/>
          <w:sz w:val="32"/>
        </w:rPr>
        <w:t>受让人应当按照本合同约定，按时支付集体建设用地使用权出让价款。受让人不能按时支付集体建设用地使用权出让价款的，</w:t>
      </w:r>
      <w:r>
        <w:rPr>
          <w:rFonts w:eastAsia="仿宋_GB2312"/>
          <w:color w:val="auto"/>
          <w:spacing w:val="20"/>
          <w:kern w:val="0"/>
          <w:sz w:val="32"/>
        </w:rPr>
        <w:t>自滞纳之日起，</w:t>
      </w:r>
      <w:r>
        <w:rPr>
          <w:rFonts w:eastAsia="仿宋_GB2312"/>
          <w:color w:val="auto"/>
          <w:kern w:val="0"/>
          <w:sz w:val="32"/>
        </w:rPr>
        <w:t>每日按迟延支付款项的‰向出让人缴纳违约金，延期付款超过6</w:t>
      </w:r>
      <w:r>
        <w:rPr>
          <w:rFonts w:hint="eastAsia" w:eastAsia="仿宋_GB2312"/>
          <w:color w:val="auto"/>
          <w:kern w:val="0"/>
          <w:sz w:val="32"/>
        </w:rPr>
        <w:t>0</w:t>
      </w:r>
      <w:r>
        <w:rPr>
          <w:rFonts w:eastAsia="仿宋_GB2312"/>
          <w:color w:val="auto"/>
          <w:kern w:val="0"/>
          <w:sz w:val="32"/>
        </w:rPr>
        <w:t>日，经出让人催交后仍不能支付集体建设用地使用权出让价款的，出让人有权解除合同，受让人无权要求返还定金，出让人并可请求受让人赔偿损失。</w:t>
      </w:r>
    </w:p>
    <w:p>
      <w:pPr>
        <w:numPr>
          <w:ilvl w:val="0"/>
          <w:numId w:val="9"/>
        </w:numPr>
        <w:spacing w:line="580" w:lineRule="exact"/>
        <w:ind w:left="8" w:leftChars="4" w:firstLine="627" w:firstLineChars="196"/>
        <w:rPr>
          <w:rFonts w:eastAsia="仿宋_GB2312"/>
          <w:color w:val="auto"/>
          <w:kern w:val="0"/>
          <w:sz w:val="32"/>
        </w:rPr>
      </w:pPr>
      <w:r>
        <w:rPr>
          <w:rFonts w:eastAsia="仿宋_GB2312"/>
          <w:color w:val="auto"/>
          <w:kern w:val="0"/>
          <w:sz w:val="32"/>
        </w:rPr>
        <w:t>受让人按本合同约定支付集体建设用地使用权出让价款的，出让人必须按照本合同约定按时交付出让土地。由于出让人未按时提供出让土地而致使受让人本合同项下宗地占有延期的，每延期一日，出让人应当按受让人已经支付的集体建设用地使用权出让价款的‰向受让人给付违约金，土地使用年期自实际交付土地之日起算。出让人延期交付土地超过60日，经受让人催交后仍不能交付土地的，受让人有权解除合同，出让人应当双倍返还定金，并退还已经支付集体建设用地使用权出让价款的其余部分，受让人并可请求出让人赔偿损失。</w:t>
      </w:r>
    </w:p>
    <w:p>
      <w:pPr>
        <w:numPr>
          <w:ilvl w:val="0"/>
          <w:numId w:val="9"/>
        </w:numPr>
        <w:spacing w:line="580" w:lineRule="exact"/>
        <w:ind w:left="8" w:leftChars="4" w:firstLine="627" w:firstLineChars="196"/>
        <w:rPr>
          <w:rFonts w:eastAsia="仿宋_GB2312"/>
          <w:color w:val="auto"/>
          <w:kern w:val="0"/>
          <w:sz w:val="32"/>
        </w:rPr>
      </w:pPr>
      <w:r>
        <w:rPr>
          <w:rFonts w:eastAsia="仿宋_GB2312"/>
          <w:color w:val="auto"/>
          <w:kern w:val="0"/>
          <w:sz w:val="32"/>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pPr>
        <w:numPr>
          <w:ilvl w:val="0"/>
          <w:numId w:val="9"/>
        </w:numPr>
        <w:spacing w:line="580" w:lineRule="exact"/>
        <w:ind w:left="8" w:leftChars="4" w:firstLine="627" w:firstLineChars="196"/>
        <w:rPr>
          <w:rFonts w:ascii="仿宋_GB2312" w:eastAsia="仿宋_GB2312"/>
          <w:color w:val="auto"/>
          <w:kern w:val="0"/>
          <w:sz w:val="32"/>
        </w:rPr>
      </w:pPr>
      <w:r>
        <w:rPr>
          <w:rFonts w:hint="eastAsia" w:eastAsia="仿宋_GB2312"/>
          <w:color w:val="auto"/>
          <w:kern w:val="0"/>
          <w:sz w:val="32"/>
        </w:rPr>
        <w:t>受让人因自身原因终止该项目投资建设</w:t>
      </w:r>
      <w:r>
        <w:rPr>
          <w:rFonts w:hint="eastAsia" w:ascii="仿宋_GB2312" w:eastAsia="仿宋_GB2312"/>
          <w:color w:val="auto"/>
          <w:kern w:val="0"/>
          <w:sz w:val="32"/>
        </w:rPr>
        <w:t>，向出让人提出终止履行本合同并请求退还土地的，出让人报经原批准土地出让方案的人民政府批准后，分别按以下约定，退还除本合同约定的定金以外的全部或部分集体建设用地使用权出让价款（不计利息），收回集体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pPr>
        <w:spacing w:line="580" w:lineRule="exact"/>
        <w:ind w:firstLine="640" w:firstLineChars="200"/>
        <w:rPr>
          <w:rFonts w:ascii="仿宋_GB2312" w:eastAsia="仿宋_GB2312"/>
          <w:color w:val="auto"/>
          <w:kern w:val="0"/>
          <w:sz w:val="32"/>
        </w:rPr>
      </w:pPr>
      <w:r>
        <w:rPr>
          <w:rFonts w:hint="eastAsia" w:ascii="仿宋_GB2312" w:eastAsia="仿宋_GB2312"/>
          <w:color w:val="auto"/>
          <w:kern w:val="0"/>
          <w:sz w:val="32"/>
        </w:rPr>
        <w:t>（一）受让人在本合同约定的开工建设日期届满一年前不少于60日向出让人提出申请的，出让人在扣除定金后退还受让人已支付的集体建设用地使用权出让价款；</w:t>
      </w:r>
    </w:p>
    <w:p>
      <w:pPr>
        <w:spacing w:line="580" w:lineRule="exact"/>
        <w:ind w:firstLine="640" w:firstLineChars="200"/>
        <w:rPr>
          <w:rFonts w:ascii="仿宋_GB2312" w:eastAsia="仿宋_GB2312"/>
          <w:color w:val="auto"/>
          <w:kern w:val="0"/>
          <w:sz w:val="32"/>
        </w:rPr>
      </w:pPr>
      <w:r>
        <w:rPr>
          <w:rFonts w:hint="eastAsia" w:ascii="仿宋_GB2312" w:eastAsia="仿宋_GB2312"/>
          <w:color w:val="auto"/>
          <w:kern w:val="0"/>
          <w:sz w:val="32"/>
        </w:rPr>
        <w:t>（二）受让人在本合同约定的开工建设日期超过一年但未满二年，并在届满二年前不少于60日向出让人提出申请的，出让人应在扣除本合同约定的定金，并按照规定扣除土地闲置费并向有关部门缴纳后，将剩余的已付集体建设用地使用权出让价款退还受让人。</w:t>
      </w:r>
    </w:p>
    <w:p>
      <w:pPr>
        <w:numPr>
          <w:ilvl w:val="0"/>
          <w:numId w:val="9"/>
        </w:numPr>
        <w:spacing w:line="580" w:lineRule="exact"/>
        <w:ind w:left="8" w:leftChars="4" w:firstLine="627" w:firstLineChars="196"/>
        <w:rPr>
          <w:rFonts w:ascii="仿宋_GB2312" w:eastAsia="仿宋_GB2312"/>
          <w:color w:val="auto"/>
          <w:kern w:val="0"/>
          <w:sz w:val="32"/>
        </w:rPr>
      </w:pPr>
      <w:r>
        <w:rPr>
          <w:rFonts w:hint="eastAsia" w:ascii="仿宋_GB2312" w:eastAsia="仿宋_GB2312"/>
          <w:color w:val="auto"/>
          <w:kern w:val="0"/>
          <w:sz w:val="32"/>
        </w:rPr>
        <w:t>受让人未能按照本合同约定日期或同意延建所另行约定日期开工建设的，每延期一日，应向出让人支付相当于集体建设用地使用权出让价款总额‰的违约金，出让人有权要求受让人继续履约。</w:t>
      </w:r>
    </w:p>
    <w:p>
      <w:pPr>
        <w:spacing w:line="580" w:lineRule="exact"/>
        <w:ind w:firstLine="640" w:firstLineChars="200"/>
        <w:rPr>
          <w:rFonts w:ascii="仿宋_GB2312" w:eastAsia="仿宋_GB2312"/>
          <w:color w:val="auto"/>
          <w:kern w:val="0"/>
          <w:sz w:val="32"/>
        </w:rPr>
      </w:pPr>
      <w:r>
        <w:rPr>
          <w:rFonts w:hint="eastAsia" w:ascii="仿宋_GB2312" w:eastAsia="仿宋_GB2312"/>
          <w:color w:val="auto"/>
          <w:kern w:val="0"/>
          <w:sz w:val="32"/>
        </w:rPr>
        <w:t>受让人未能按照本合同约定日期或同意延建所另行约定日期竣工的，每延期一日，应向出让人支付相当于集体建设用地使用权出让价款总额‰的违约金。</w:t>
      </w:r>
    </w:p>
    <w:p>
      <w:pPr>
        <w:numPr>
          <w:ilvl w:val="0"/>
          <w:numId w:val="9"/>
        </w:numPr>
        <w:spacing w:line="580" w:lineRule="exact"/>
        <w:ind w:left="8" w:leftChars="4" w:firstLine="627" w:firstLineChars="196"/>
        <w:rPr>
          <w:rFonts w:ascii="仿宋_GB2312" w:eastAsia="仿宋_GB2312"/>
          <w:color w:val="auto"/>
          <w:kern w:val="0"/>
          <w:sz w:val="32"/>
        </w:rPr>
      </w:pPr>
      <w:r>
        <w:rPr>
          <w:rFonts w:hint="eastAsia" w:ascii="仿宋_GB2312" w:eastAsia="仿宋_GB2312"/>
          <w:color w:val="auto"/>
          <w:kern w:val="0"/>
          <w:sz w:val="32"/>
        </w:rPr>
        <w:t>受让人未按合同约定的动工开发日期动工开发满一年的，应依法向国家缴纳土地闲置费；</w:t>
      </w:r>
      <w:r>
        <w:rPr>
          <w:rFonts w:hint="eastAsia" w:eastAsia="仿宋_GB2312"/>
          <w:color w:val="auto"/>
          <w:kern w:val="0"/>
          <w:sz w:val="32"/>
        </w:rPr>
        <w:t>未动工开发满两年的</w:t>
      </w:r>
      <w:r>
        <w:rPr>
          <w:rFonts w:hint="eastAsia" w:ascii="仿宋_GB2312" w:eastAsia="仿宋_GB2312"/>
          <w:color w:val="auto"/>
          <w:kern w:val="0"/>
          <w:sz w:val="32"/>
        </w:rPr>
        <w:t>，由出让人依法无偿收回集体建设用地使用权并申请注销受让人取得的集体建设用地使用证。</w:t>
      </w:r>
    </w:p>
    <w:p>
      <w:pPr>
        <w:numPr>
          <w:ilvl w:val="0"/>
          <w:numId w:val="9"/>
        </w:numPr>
        <w:spacing w:line="580" w:lineRule="exact"/>
        <w:ind w:left="8" w:leftChars="4" w:firstLine="627" w:firstLineChars="196"/>
        <w:rPr>
          <w:rFonts w:ascii="仿宋_GB2312" w:eastAsia="仿宋_GB2312"/>
          <w:color w:val="auto"/>
          <w:kern w:val="0"/>
          <w:sz w:val="32"/>
        </w:rPr>
      </w:pPr>
      <w:r>
        <w:rPr>
          <w:rFonts w:hint="eastAsia" w:ascii="仿宋_GB2312" w:eastAsia="仿宋_GB2312"/>
          <w:color w:val="auto"/>
          <w:kern w:val="0"/>
          <w:sz w:val="32"/>
        </w:rPr>
        <w:t>项目固定资产总投资、投资强度和开发投资总额未达到本合同约定标准的，出让人可以按照实际差额部分占约定投资总额和投资强度指标的比例，要求受让人支付相当于同比例集体建设用地使用权出让价款的违约金，政府按照出让金收益比例取得分成，并可要求受让人继续履约。</w:t>
      </w:r>
    </w:p>
    <w:p>
      <w:pPr>
        <w:numPr>
          <w:ilvl w:val="0"/>
          <w:numId w:val="9"/>
        </w:numPr>
        <w:spacing w:line="580" w:lineRule="exact"/>
        <w:ind w:left="8" w:leftChars="4" w:firstLine="627" w:firstLineChars="196"/>
        <w:rPr>
          <w:rFonts w:ascii="仿宋_GB2312" w:eastAsia="仿宋_GB2312"/>
          <w:color w:val="auto"/>
          <w:kern w:val="0"/>
          <w:sz w:val="32"/>
        </w:rPr>
      </w:pPr>
      <w:r>
        <w:rPr>
          <w:rFonts w:hint="eastAsia" w:ascii="仿宋_GB2312" w:eastAsia="仿宋_GB2312"/>
          <w:color w:val="auto"/>
          <w:kern w:val="0"/>
          <w:sz w:val="32"/>
        </w:rPr>
        <w:t>本合同项下宗地建筑容积率、建筑密度等任何一项指标低于本合同约定的最低标准的，</w:t>
      </w:r>
      <w:r>
        <w:rPr>
          <w:rFonts w:hint="eastAsia" w:eastAsia="仿宋_GB2312"/>
          <w:color w:val="auto"/>
          <w:kern w:val="0"/>
          <w:sz w:val="32"/>
        </w:rPr>
        <w:t>出让人可以按照实际差额部分占约定最低标准的比例</w:t>
      </w:r>
      <w:r>
        <w:rPr>
          <w:rFonts w:hint="eastAsia" w:ascii="仿宋_GB2312" w:eastAsia="仿宋_GB2312"/>
          <w:color w:val="auto"/>
          <w:kern w:val="0"/>
          <w:sz w:val="32"/>
        </w:rPr>
        <w:t>，要求受让人支付相当于同比例集体建设用地使用权出让价款的违约金，政府按照出让金收益比例取得分成，并有权要求受让</w:t>
      </w:r>
      <w:r>
        <w:rPr>
          <w:rFonts w:hint="eastAsia" w:eastAsia="仿宋_GB2312"/>
          <w:color w:val="auto"/>
          <w:kern w:val="0"/>
          <w:sz w:val="32"/>
        </w:rPr>
        <w:t>人继续履行本合同；建筑容积率、建筑密度等任何一项指标高</w:t>
      </w:r>
      <w:r>
        <w:rPr>
          <w:rFonts w:hint="eastAsia" w:ascii="仿宋_GB2312" w:eastAsia="仿宋_GB2312"/>
          <w:color w:val="auto"/>
          <w:kern w:val="0"/>
          <w:sz w:val="32"/>
        </w:rPr>
        <w:t>于本合同约定最高标准的，出让人有权收回高于约定的最高标准的面积部分，有权按照实际差额部分占约定标准的比例，要求受让人支付相当于同比例集体建设用地使用权出让价款的违约金，政府按照出让金收益比例取得分成。</w:t>
      </w:r>
    </w:p>
    <w:p>
      <w:pPr>
        <w:numPr>
          <w:ilvl w:val="0"/>
          <w:numId w:val="9"/>
        </w:numPr>
        <w:spacing w:line="580" w:lineRule="exact"/>
        <w:ind w:left="8" w:leftChars="4" w:firstLine="627" w:firstLineChars="196"/>
        <w:rPr>
          <w:rFonts w:eastAsia="仿宋_GB2312"/>
          <w:color w:val="auto"/>
          <w:kern w:val="0"/>
          <w:sz w:val="32"/>
        </w:rPr>
      </w:pPr>
      <w:r>
        <w:rPr>
          <w:rFonts w:hint="eastAsia" w:ascii="仿宋_GB2312" w:eastAsia="仿宋_GB2312"/>
          <w:color w:val="auto"/>
          <w:kern w:val="0"/>
          <w:sz w:val="32"/>
        </w:rPr>
        <w:t>工业建设项目的绿地率、企业内部行政办公及生活服务设施用地所占比例、</w:t>
      </w:r>
      <w:r>
        <w:rPr>
          <w:rFonts w:hint="eastAsia" w:eastAsia="仿宋_GB2312"/>
          <w:color w:val="auto"/>
          <w:kern w:val="0"/>
          <w:sz w:val="32"/>
        </w:rPr>
        <w:t>企业内部行政办公及生活服务设施建筑面积等任何一项指标超过本合同约定标准的</w:t>
      </w:r>
      <w:r>
        <w:rPr>
          <w:rFonts w:hint="eastAsia" w:ascii="仿宋_GB2312" w:eastAsia="仿宋_GB2312"/>
          <w:color w:val="auto"/>
          <w:kern w:val="0"/>
          <w:sz w:val="32"/>
        </w:rPr>
        <w:t>，受让人应当向出让方支付相当于宗地出让价款‰的违约金（政府按照出让金收益比例取得分成），并自行拆除相应的绿化和建筑设施。</w:t>
      </w:r>
    </w:p>
    <w:p>
      <w:pPr>
        <w:spacing w:beforeLines="100" w:afterLines="100" w:line="580" w:lineRule="exact"/>
        <w:jc w:val="center"/>
        <w:rPr>
          <w:rFonts w:eastAsia="黑体"/>
          <w:color w:val="auto"/>
          <w:kern w:val="0"/>
          <w:sz w:val="36"/>
        </w:rPr>
      </w:pPr>
      <w:r>
        <w:rPr>
          <w:rFonts w:eastAsia="黑体"/>
          <w:color w:val="auto"/>
          <w:kern w:val="0"/>
          <w:sz w:val="36"/>
        </w:rPr>
        <w:t>第七章不可抗力</w:t>
      </w:r>
    </w:p>
    <w:p>
      <w:pPr>
        <w:numPr>
          <w:ilvl w:val="0"/>
          <w:numId w:val="9"/>
        </w:numPr>
        <w:spacing w:line="580" w:lineRule="exact"/>
        <w:ind w:left="8" w:leftChars="4" w:firstLine="627" w:firstLineChars="196"/>
        <w:rPr>
          <w:rFonts w:ascii="仿宋_GB2312" w:eastAsia="仿宋_GB2312"/>
          <w:color w:val="auto"/>
          <w:kern w:val="0"/>
          <w:sz w:val="32"/>
        </w:rPr>
      </w:pPr>
      <w:r>
        <w:rPr>
          <w:rFonts w:eastAsia="仿宋_GB2312"/>
          <w:color w:val="auto"/>
          <w:kern w:val="0"/>
          <w:sz w:val="32"/>
        </w:rPr>
        <w:t>合同双方当事人任何一方由于不可抗力原因造成的本合</w:t>
      </w:r>
      <w:r>
        <w:rPr>
          <w:rFonts w:ascii="仿宋_GB2312" w:eastAsia="仿宋_GB2312"/>
          <w:color w:val="auto"/>
          <w:kern w:val="0"/>
          <w:sz w:val="32"/>
        </w:rPr>
        <w:t>同部分或全部不能履行，可以免除责任，但应在条件允许下采取一切必要的补救措施以减少因不可抗力造成的损失。当事人迟延履行期间发生的不可抗力，不具有免责效力。</w:t>
      </w:r>
    </w:p>
    <w:p>
      <w:pPr>
        <w:numPr>
          <w:ilvl w:val="0"/>
          <w:numId w:val="9"/>
        </w:numPr>
        <w:spacing w:line="580" w:lineRule="exact"/>
        <w:ind w:left="8" w:leftChars="4" w:firstLine="627" w:firstLineChars="196"/>
        <w:rPr>
          <w:rFonts w:eastAsia="仿宋_GB2312"/>
          <w:color w:val="auto"/>
          <w:kern w:val="0"/>
          <w:sz w:val="32"/>
        </w:rPr>
      </w:pPr>
      <w:r>
        <w:rPr>
          <w:rFonts w:ascii="仿宋_GB2312" w:eastAsia="仿宋_GB2312"/>
          <w:color w:val="auto"/>
          <w:kern w:val="0"/>
          <w:sz w:val="32"/>
        </w:rPr>
        <w:t>遇有不可抗</w:t>
      </w:r>
      <w:r>
        <w:rPr>
          <w:rFonts w:eastAsia="仿宋_GB2312"/>
          <w:color w:val="auto"/>
          <w:kern w:val="0"/>
          <w:sz w:val="32"/>
        </w:rPr>
        <w:t>力的一方，应在7日内将不可抗力情况以信函、电报、传真等书面形式通知另一方，并在不可抗力发生后15日内，向另一方提交本合同部分或全部不能履行或需要延期履行的报告及证明。</w:t>
      </w:r>
    </w:p>
    <w:p>
      <w:pPr>
        <w:spacing w:line="580" w:lineRule="exact"/>
        <w:ind w:left="8"/>
        <w:rPr>
          <w:rFonts w:eastAsia="仿宋_GB2312"/>
          <w:color w:val="auto"/>
          <w:kern w:val="0"/>
          <w:sz w:val="32"/>
        </w:rPr>
      </w:pPr>
    </w:p>
    <w:p>
      <w:pPr>
        <w:spacing w:beforeLines="100" w:afterLines="100" w:line="580" w:lineRule="exact"/>
        <w:jc w:val="center"/>
        <w:rPr>
          <w:rFonts w:eastAsia="黑体"/>
          <w:color w:val="auto"/>
          <w:kern w:val="0"/>
          <w:sz w:val="36"/>
        </w:rPr>
      </w:pPr>
      <w:r>
        <w:rPr>
          <w:rFonts w:eastAsia="黑体"/>
          <w:color w:val="auto"/>
          <w:kern w:val="0"/>
          <w:sz w:val="36"/>
        </w:rPr>
        <w:t>第八章  适用法律及争议解决</w:t>
      </w:r>
    </w:p>
    <w:p>
      <w:pPr>
        <w:numPr>
          <w:ilvl w:val="0"/>
          <w:numId w:val="9"/>
        </w:numPr>
        <w:spacing w:line="580" w:lineRule="exact"/>
        <w:ind w:left="8" w:leftChars="4" w:firstLine="627" w:firstLineChars="196"/>
        <w:rPr>
          <w:rFonts w:eastAsia="仿宋_GB2312"/>
          <w:color w:val="auto"/>
          <w:kern w:val="0"/>
          <w:sz w:val="32"/>
        </w:rPr>
      </w:pPr>
      <w:r>
        <w:rPr>
          <w:rFonts w:eastAsia="仿宋_GB2312"/>
          <w:color w:val="auto"/>
          <w:kern w:val="0"/>
          <w:sz w:val="32"/>
        </w:rPr>
        <w:t>本合同订立、效力、解释、履行及争议的解决，适用中华人民共和国法律。</w:t>
      </w:r>
    </w:p>
    <w:p>
      <w:pPr>
        <w:numPr>
          <w:ilvl w:val="0"/>
          <w:numId w:val="9"/>
        </w:numPr>
        <w:spacing w:line="580" w:lineRule="exact"/>
        <w:ind w:left="8" w:leftChars="4" w:firstLine="627" w:firstLineChars="196"/>
        <w:rPr>
          <w:rFonts w:eastAsia="仿宋_GB2312"/>
          <w:color w:val="auto"/>
          <w:kern w:val="0"/>
          <w:sz w:val="32"/>
        </w:rPr>
      </w:pPr>
      <w:r>
        <w:rPr>
          <w:rFonts w:eastAsia="仿宋_GB2312"/>
          <w:color w:val="auto"/>
          <w:kern w:val="0"/>
          <w:sz w:val="32"/>
        </w:rPr>
        <w:t>双方均应按本合同履行各自的义务，自觉遵守国家和北京市有关法律及土地管理法规。如发生纠纷，应协商解决，协商不成的双方均可向人民法院起诉。</w:t>
      </w:r>
    </w:p>
    <w:p>
      <w:pPr>
        <w:spacing w:line="580" w:lineRule="exact"/>
        <w:ind w:left="8"/>
        <w:rPr>
          <w:rFonts w:eastAsia="仿宋_GB2312"/>
          <w:color w:val="auto"/>
          <w:kern w:val="0"/>
          <w:sz w:val="32"/>
        </w:rPr>
      </w:pPr>
    </w:p>
    <w:p>
      <w:pPr>
        <w:spacing w:beforeLines="100" w:afterLines="100" w:line="580" w:lineRule="exact"/>
        <w:jc w:val="center"/>
        <w:rPr>
          <w:rFonts w:eastAsia="黑体"/>
          <w:color w:val="auto"/>
          <w:kern w:val="0"/>
          <w:sz w:val="36"/>
        </w:rPr>
      </w:pPr>
      <w:r>
        <w:rPr>
          <w:rFonts w:eastAsia="黑体"/>
          <w:color w:val="auto"/>
          <w:kern w:val="0"/>
          <w:sz w:val="36"/>
        </w:rPr>
        <w:t>第九章  附    则</w:t>
      </w:r>
    </w:p>
    <w:p>
      <w:pPr>
        <w:numPr>
          <w:ilvl w:val="0"/>
          <w:numId w:val="9"/>
        </w:numPr>
        <w:spacing w:line="580" w:lineRule="exact"/>
        <w:ind w:left="8" w:leftChars="4" w:firstLine="627" w:firstLineChars="196"/>
        <w:rPr>
          <w:rFonts w:ascii="仿宋_GB2312" w:eastAsia="仿宋_GB2312"/>
          <w:color w:val="auto"/>
          <w:kern w:val="0"/>
          <w:sz w:val="32"/>
        </w:rPr>
      </w:pPr>
      <w:r>
        <w:rPr>
          <w:rFonts w:eastAsia="仿宋_GB2312"/>
          <w:color w:val="auto"/>
          <w:kern w:val="0"/>
          <w:sz w:val="32"/>
        </w:rPr>
        <w:t>本合同项下宗地出让方案</w:t>
      </w:r>
      <w:r>
        <w:rPr>
          <w:rFonts w:hint="eastAsia" w:eastAsia="仿宋_GB2312"/>
          <w:color w:val="auto"/>
          <w:kern w:val="0"/>
          <w:sz w:val="32"/>
        </w:rPr>
        <w:t>已</w:t>
      </w:r>
      <w:r>
        <w:rPr>
          <w:rFonts w:eastAsia="仿宋_GB2312"/>
          <w:color w:val="auto"/>
          <w:kern w:val="0"/>
          <w:sz w:val="32"/>
        </w:rPr>
        <w:t>经</w:t>
      </w:r>
      <w:r>
        <w:rPr>
          <w:rFonts w:hint="eastAsia" w:eastAsia="仿宋_GB2312"/>
          <w:color w:val="auto"/>
          <w:kern w:val="0"/>
          <w:sz w:val="32"/>
          <w:u w:val="single"/>
        </w:rPr>
        <w:t>北京市大兴区</w:t>
      </w:r>
      <w:r>
        <w:rPr>
          <w:rFonts w:eastAsia="仿宋_GB2312"/>
          <w:color w:val="auto"/>
          <w:kern w:val="0"/>
          <w:sz w:val="32"/>
        </w:rPr>
        <w:t>人民政府批准，</w:t>
      </w:r>
      <w:r>
        <w:rPr>
          <w:rFonts w:ascii="仿宋_GB2312" w:eastAsia="仿宋_GB2312"/>
          <w:color w:val="auto"/>
          <w:kern w:val="0"/>
          <w:sz w:val="32"/>
        </w:rPr>
        <w:t>本合同自双方签订之日起生效。</w:t>
      </w:r>
    </w:p>
    <w:p>
      <w:pPr>
        <w:numPr>
          <w:ilvl w:val="0"/>
          <w:numId w:val="9"/>
        </w:numPr>
        <w:spacing w:line="580" w:lineRule="exact"/>
        <w:ind w:left="8" w:leftChars="4" w:firstLine="627" w:firstLineChars="196"/>
        <w:rPr>
          <w:rFonts w:ascii="仿宋_GB2312" w:eastAsia="仿宋_GB2312"/>
          <w:color w:val="auto"/>
          <w:kern w:val="0"/>
          <w:sz w:val="32"/>
        </w:rPr>
      </w:pPr>
      <w:r>
        <w:rPr>
          <w:rFonts w:ascii="仿宋_GB2312" w:eastAsia="仿宋_GB2312"/>
          <w:color w:val="auto"/>
          <w:kern w:val="0"/>
          <w:sz w:val="32"/>
        </w:rPr>
        <w:t xml:space="preserve">本合同和附件共页，以中文书写为准。 </w:t>
      </w:r>
    </w:p>
    <w:p>
      <w:pPr>
        <w:numPr>
          <w:ilvl w:val="0"/>
          <w:numId w:val="9"/>
        </w:numPr>
        <w:spacing w:line="580" w:lineRule="exact"/>
        <w:ind w:left="8" w:leftChars="4" w:firstLine="627" w:firstLineChars="196"/>
        <w:rPr>
          <w:rFonts w:ascii="仿宋_GB2312" w:eastAsia="仿宋_GB2312"/>
          <w:color w:val="auto"/>
          <w:kern w:val="0"/>
          <w:sz w:val="32"/>
        </w:rPr>
      </w:pPr>
      <w:r>
        <w:rPr>
          <w:rFonts w:ascii="仿宋_GB2312" w:eastAsia="仿宋_GB2312"/>
          <w:color w:val="auto"/>
          <w:kern w:val="0"/>
          <w:sz w:val="32"/>
        </w:rPr>
        <w:t>本合同的价款、金额、面积等项应当同时以大、小写表示，大小写数额应当一致，不一致的，以大写为准。</w:t>
      </w:r>
    </w:p>
    <w:p>
      <w:pPr>
        <w:numPr>
          <w:ilvl w:val="0"/>
          <w:numId w:val="9"/>
        </w:numPr>
        <w:spacing w:line="580" w:lineRule="exact"/>
        <w:ind w:left="8" w:leftChars="4" w:firstLine="627" w:firstLineChars="196"/>
        <w:rPr>
          <w:rFonts w:ascii="仿宋_GB2312" w:eastAsia="仿宋_GB2312"/>
          <w:color w:val="auto"/>
          <w:kern w:val="0"/>
          <w:sz w:val="32"/>
        </w:rPr>
      </w:pPr>
      <w:r>
        <w:rPr>
          <w:rFonts w:ascii="仿宋_GB2312" w:eastAsia="仿宋_GB2312"/>
          <w:color w:val="auto"/>
          <w:kern w:val="0"/>
          <w:sz w:val="32"/>
        </w:rPr>
        <w:t>本合同未尽事宜，可由双方约定后作为合同附件，与本合同具有同等法律效力。</w:t>
      </w:r>
    </w:p>
    <w:p>
      <w:pPr>
        <w:numPr>
          <w:ilvl w:val="0"/>
          <w:numId w:val="9"/>
        </w:numPr>
        <w:spacing w:line="580" w:lineRule="exact"/>
        <w:ind w:left="8" w:leftChars="4" w:firstLine="627" w:firstLineChars="196"/>
        <w:rPr>
          <w:rFonts w:ascii="仿宋_GB2312" w:eastAsia="仿宋_GB2312"/>
          <w:color w:val="auto"/>
          <w:kern w:val="0"/>
          <w:sz w:val="32"/>
        </w:rPr>
      </w:pPr>
      <w:r>
        <w:rPr>
          <w:rFonts w:hint="eastAsia" w:ascii="仿宋_GB2312" w:eastAsia="仿宋_GB2312"/>
          <w:color w:val="auto"/>
          <w:kern w:val="0"/>
          <w:sz w:val="32"/>
        </w:rPr>
        <w:t>本使用合同正本一式两份，合同双方各一份；使用合同副本四份，合同双方、所在地区县规土分局、乡镇政府各持一份。两份合同正本和四份合同副本具有同等的法律效力。</w:t>
      </w:r>
    </w:p>
    <w:p>
      <w:pPr>
        <w:spacing w:line="580" w:lineRule="exact"/>
        <w:rPr>
          <w:rFonts w:eastAsia="仿宋_GB2312"/>
          <w:color w:val="auto"/>
          <w:kern w:val="0"/>
          <w:sz w:val="32"/>
        </w:rPr>
      </w:pPr>
    </w:p>
    <w:p>
      <w:pPr>
        <w:rPr>
          <w:rFonts w:eastAsia="仿宋_GB2312"/>
          <w:color w:val="auto"/>
          <w:kern w:val="0"/>
          <w:sz w:val="32"/>
        </w:rPr>
      </w:pPr>
    </w:p>
    <w:tbl>
      <w:tblPr>
        <w:tblStyle w:val="29"/>
        <w:tblW w:w="903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18"/>
        <w:gridCol w:w="45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518" w:type="dxa"/>
            <w:vAlign w:val="top"/>
          </w:tcPr>
          <w:p>
            <w:pPr>
              <w:rPr>
                <w:rFonts w:eastAsia="黑体"/>
                <w:color w:val="auto"/>
                <w:kern w:val="0"/>
                <w:sz w:val="32"/>
              </w:rPr>
            </w:pPr>
            <w:r>
              <w:rPr>
                <w:rFonts w:eastAsia="仿宋_GB2312"/>
                <w:color w:val="auto"/>
                <w:kern w:val="0"/>
                <w:sz w:val="30"/>
              </w:rPr>
              <w:t>出让人（章）：</w:t>
            </w:r>
          </w:p>
        </w:tc>
        <w:tc>
          <w:tcPr>
            <w:tcW w:w="4518" w:type="dxa"/>
            <w:vAlign w:val="top"/>
          </w:tcPr>
          <w:p>
            <w:pPr>
              <w:rPr>
                <w:rFonts w:eastAsia="黑体"/>
                <w:color w:val="auto"/>
                <w:kern w:val="0"/>
                <w:sz w:val="32"/>
              </w:rPr>
            </w:pPr>
            <w:r>
              <w:rPr>
                <w:rFonts w:eastAsia="仿宋_GB2312"/>
                <w:color w:val="auto"/>
                <w:kern w:val="0"/>
                <w:sz w:val="30"/>
              </w:rPr>
              <w:t>受让人（章）：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518" w:type="dxa"/>
            <w:vAlign w:val="top"/>
          </w:tcPr>
          <w:p>
            <w:pPr>
              <w:rPr>
                <w:rFonts w:eastAsia="黑体"/>
                <w:color w:val="auto"/>
                <w:kern w:val="0"/>
                <w:sz w:val="32"/>
              </w:rPr>
            </w:pPr>
          </w:p>
        </w:tc>
        <w:tc>
          <w:tcPr>
            <w:tcW w:w="4518" w:type="dxa"/>
            <w:vAlign w:val="top"/>
          </w:tcPr>
          <w:p>
            <w:pPr>
              <w:rPr>
                <w:rFonts w:eastAsia="仿宋_GB2312"/>
                <w:color w:val="auto"/>
                <w:sz w:val="32"/>
              </w:rPr>
            </w:pPr>
          </w:p>
          <w:p>
            <w:pPr>
              <w:rPr>
                <w:rFonts w:eastAsia="黑体"/>
                <w:color w:val="auto"/>
                <w:kern w:val="0"/>
                <w:sz w:val="32"/>
              </w:rPr>
            </w:pPr>
          </w:p>
          <w:p>
            <w:pPr>
              <w:rPr>
                <w:rFonts w:eastAsia="黑体"/>
                <w:color w:val="auto"/>
                <w:kern w:val="0"/>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518" w:type="dxa"/>
            <w:vAlign w:val="top"/>
          </w:tcPr>
          <w:p>
            <w:pPr>
              <w:rPr>
                <w:rFonts w:eastAsia="黑体"/>
                <w:color w:val="auto"/>
                <w:kern w:val="0"/>
                <w:sz w:val="32"/>
              </w:rPr>
            </w:pPr>
            <w:r>
              <w:rPr>
                <w:rFonts w:eastAsia="仿宋_GB2312"/>
                <w:color w:val="auto"/>
                <w:kern w:val="0"/>
                <w:sz w:val="30"/>
              </w:rPr>
              <w:t>法定代表人（委托代理人）</w:t>
            </w:r>
          </w:p>
        </w:tc>
        <w:tc>
          <w:tcPr>
            <w:tcW w:w="4518" w:type="dxa"/>
            <w:vAlign w:val="top"/>
          </w:tcPr>
          <w:p>
            <w:pPr>
              <w:rPr>
                <w:rFonts w:eastAsia="黑体"/>
                <w:color w:val="auto"/>
                <w:kern w:val="0"/>
                <w:sz w:val="32"/>
              </w:rPr>
            </w:pPr>
            <w:r>
              <w:rPr>
                <w:rFonts w:eastAsia="仿宋_GB2312"/>
                <w:color w:val="auto"/>
                <w:kern w:val="0"/>
                <w:sz w:val="30"/>
              </w:rPr>
              <w:t>法定代表人（委托代理人）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518" w:type="dxa"/>
            <w:vAlign w:val="top"/>
          </w:tcPr>
          <w:p>
            <w:pPr>
              <w:rPr>
                <w:rFonts w:eastAsia="黑体"/>
                <w:color w:val="auto"/>
                <w:kern w:val="0"/>
                <w:sz w:val="32"/>
              </w:rPr>
            </w:pPr>
            <w:r>
              <w:rPr>
                <w:rFonts w:eastAsia="仿宋_GB2312"/>
                <w:color w:val="auto"/>
                <w:kern w:val="0"/>
                <w:sz w:val="30"/>
              </w:rPr>
              <w:t>（签字）：</w:t>
            </w:r>
          </w:p>
        </w:tc>
        <w:tc>
          <w:tcPr>
            <w:tcW w:w="4518" w:type="dxa"/>
            <w:vAlign w:val="top"/>
          </w:tcPr>
          <w:p>
            <w:pPr>
              <w:rPr>
                <w:rFonts w:eastAsia="黑体"/>
                <w:color w:val="auto"/>
                <w:kern w:val="0"/>
                <w:sz w:val="32"/>
              </w:rPr>
            </w:pPr>
            <w:r>
              <w:rPr>
                <w:rFonts w:eastAsia="仿宋_GB2312"/>
                <w:color w:val="auto"/>
                <w:kern w:val="0"/>
                <w:sz w:val="30"/>
              </w:rPr>
              <w:t>（签字）：</w:t>
            </w:r>
          </w:p>
        </w:tc>
      </w:tr>
    </w:tbl>
    <w:p>
      <w:pPr>
        <w:ind w:firstLine="5120" w:firstLineChars="1600"/>
        <w:rPr>
          <w:rFonts w:eastAsia="仿宋_GB2312"/>
          <w:color w:val="auto"/>
          <w:kern w:val="0"/>
          <w:sz w:val="32"/>
        </w:rPr>
      </w:pPr>
    </w:p>
    <w:p>
      <w:pPr>
        <w:ind w:firstLine="5120" w:firstLineChars="1600"/>
        <w:rPr>
          <w:rFonts w:eastAsia="黑体"/>
          <w:color w:val="auto"/>
          <w:kern w:val="0"/>
          <w:sz w:val="32"/>
        </w:rPr>
      </w:pPr>
      <w:r>
        <w:rPr>
          <w:rFonts w:eastAsia="仿宋_GB2312"/>
          <w:color w:val="auto"/>
          <w:kern w:val="0"/>
          <w:sz w:val="32"/>
        </w:rPr>
        <w:t xml:space="preserve">  年   月   日</w:t>
      </w:r>
    </w:p>
    <w:p>
      <w:pPr>
        <w:pageBreakBefore/>
        <w:rPr>
          <w:rFonts w:eastAsia="黑体"/>
          <w:color w:val="auto"/>
          <w:kern w:val="0"/>
          <w:sz w:val="32"/>
        </w:rPr>
      </w:pPr>
      <w:r>
        <w:rPr>
          <w:rFonts w:eastAsia="黑体"/>
          <w:color w:val="auto"/>
          <w:kern w:val="0"/>
          <w:sz w:val="32"/>
        </w:rPr>
        <w:t>附件1</w:t>
      </w:r>
    </w:p>
    <w:p>
      <w:pPr>
        <w:jc w:val="center"/>
        <w:rPr>
          <w:rFonts w:eastAsia="黑体"/>
          <w:color w:val="auto"/>
          <w:kern w:val="0"/>
          <w:sz w:val="36"/>
        </w:rPr>
      </w:pPr>
      <w:r>
        <w:rPr>
          <w:rFonts w:eastAsia="黑体"/>
          <w:color w:val="auto"/>
          <w:kern w:val="0"/>
          <w:sz w:val="36"/>
        </w:rPr>
        <w:t>出让宗地平面界址图</w:t>
      </w:r>
    </w:p>
    <w:p>
      <w:pPr>
        <w:ind w:firstLine="630"/>
        <w:rPr>
          <w:rFonts w:eastAsia="楷体_GB2312"/>
          <w:color w:val="auto"/>
          <w:kern w:val="0"/>
          <w:sz w:val="32"/>
        </w:rPr>
      </w:pPr>
    </w:p>
    <w:p>
      <w:pPr>
        <w:rPr>
          <w:rFonts w:eastAsia="仿宋_GB2312"/>
          <w:color w:val="auto"/>
          <w:kern w:val="0"/>
          <w:sz w:val="32"/>
        </w:rPr>
      </w:pPr>
      <w:r>
        <w:rPr>
          <w:rFonts w:ascii="Times New Roman" w:hAnsi="Times New Roman" w:eastAsia="MS Gothic" w:cs="Times New Roman"/>
          <w:color w:val="auto"/>
          <w:kern w:val="2"/>
          <w:sz w:val="21"/>
          <w:szCs w:val="24"/>
          <w:lang w:val="en-US" w:eastAsia="zh-CN" w:bidi="ar-SA"/>
        </w:rPr>
        <w:pict>
          <v:shape id="Text Box 2" o:spid="_x0000_s1026" type="#_x0000_t202" style="position:absolute;left:0;margin-left:302.05pt;margin-top:0.45pt;height:121.6pt;width:64.3pt;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w:txbxContent>
                <w:p>
                  <w:pPr>
                    <w:jc w:val="center"/>
                    <w:rPr>
                      <w:rFonts w:ascii="方正楷体简体" w:eastAsia="方正楷体简体"/>
                      <w:sz w:val="36"/>
                    </w:rPr>
                  </w:pPr>
                  <w:r>
                    <w:rPr>
                      <w:rFonts w:hint="eastAsia" w:ascii="方正楷体简体" w:eastAsia="方正楷体简体"/>
                      <w:sz w:val="36"/>
                    </w:rPr>
                    <w:t>北</w:t>
                  </w:r>
                </w:p>
                <w:p>
                  <w:pPr>
                    <w:jc w:val="center"/>
                  </w:pPr>
                  <w:r>
                    <w:rPr>
                      <w:rFonts w:hint="eastAsia"/>
                    </w:rPr>
                    <w:t>▲</w:t>
                  </w:r>
                </w:p>
                <w:p>
                  <w:pPr>
                    <w:jc w:val="center"/>
                  </w:pPr>
                  <w:r>
                    <w:rPr>
                      <w:rFonts w:hint="eastAsia"/>
                    </w:rPr>
                    <w:t>∣</w:t>
                  </w:r>
                </w:p>
                <w:p>
                  <w:pPr>
                    <w:jc w:val="center"/>
                    <w:rPr>
                      <w:rFonts w:eastAsia="MS Gothic"/>
                    </w:rPr>
                  </w:pPr>
                  <w:r>
                    <w:rPr>
                      <w:rFonts w:hint="eastAsia"/>
                    </w:rPr>
                    <w:t>∣</w:t>
                  </w:r>
                </w:p>
                <w:p>
                  <w:pPr>
                    <w:jc w:val="center"/>
                  </w:pPr>
                  <w:r>
                    <w:rPr>
                      <w:rFonts w:hint="eastAsia"/>
                    </w:rPr>
                    <w:t>∣</w:t>
                  </w:r>
                </w:p>
                <w:p>
                  <w:pPr>
                    <w:jc w:val="center"/>
                  </w:pPr>
                </w:p>
              </w:txbxContent>
            </v:textbox>
          </v:shape>
        </w:pict>
      </w:r>
      <w:r>
        <w:rPr>
          <w:rFonts w:ascii="Times New Roman" w:hAnsi="Times New Roman" w:eastAsia="MS Gothic" w:cs="Times New Roman"/>
          <w:color w:val="auto"/>
          <w:kern w:val="2"/>
          <w:sz w:val="21"/>
          <w:szCs w:val="24"/>
          <w:lang w:val="en-US" w:eastAsia="zh-CN" w:bidi="ar-SA"/>
        </w:rPr>
        <w:pict>
          <v:shape id="Text Box 3" o:spid="_x0000_s1027" type="#_x0000_t202" style="position:absolute;left:0;margin-left:-9.15pt;margin-top:113.85pt;height:172.25pt;width:84.65pt;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ascii="方正楷体简体" w:eastAsia="方正楷体简体"/>
                      <w:spacing w:val="60"/>
                      <w:sz w:val="36"/>
                    </w:rPr>
                  </w:pPr>
                  <w:r>
                    <w:rPr>
                      <w:rFonts w:hint="eastAsia" w:ascii="方正楷体简体" w:eastAsia="方正楷体简体"/>
                      <w:spacing w:val="60"/>
                      <w:sz w:val="36"/>
                    </w:rPr>
                    <w:t>界址图粘贴线</w:t>
                  </w:r>
                </w:p>
                <w:p>
                  <w:pPr>
                    <w:rPr>
                      <w:rFonts w:ascii="方正楷体简体" w:eastAsia="方正楷体简体"/>
                      <w:spacing w:val="60"/>
                      <w:sz w:val="36"/>
                    </w:rPr>
                  </w:pPr>
                  <w:r>
                    <w:rPr>
                      <w:rFonts w:hint="eastAsia" w:ascii="方正楷体简体"/>
                      <w:spacing w:val="60"/>
                      <w:sz w:val="36"/>
                    </w:rPr>
                    <w:t>∣∣∣∣∣∣</w:t>
                  </w:r>
                </w:p>
              </w:txbxContent>
            </v:textbox>
          </v:shape>
        </w:pict>
      </w:r>
    </w:p>
    <w:p>
      <w:pPr>
        <w:rPr>
          <w:rFonts w:eastAsia="仿宋_GB2312"/>
          <w:color w:val="auto"/>
          <w:kern w:val="0"/>
          <w:sz w:val="32"/>
        </w:rPr>
      </w:pPr>
    </w:p>
    <w:p>
      <w:pPr>
        <w:rPr>
          <w:rFonts w:eastAsia="仿宋_GB2312"/>
          <w:color w:val="auto"/>
          <w:sz w:val="32"/>
        </w:rPr>
      </w:pPr>
    </w:p>
    <w:p>
      <w:pPr>
        <w:rPr>
          <w:rFonts w:eastAsia="仿宋_GB2312"/>
          <w:color w:val="auto"/>
          <w:sz w:val="32"/>
        </w:rPr>
      </w:pPr>
    </w:p>
    <w:p>
      <w:pPr>
        <w:rPr>
          <w:rFonts w:eastAsia="仿宋_GB2312"/>
          <w:color w:val="auto"/>
          <w:sz w:val="32"/>
        </w:rPr>
      </w:pPr>
    </w:p>
    <w:p>
      <w:pPr>
        <w:rPr>
          <w:rFonts w:eastAsia="仿宋_GB2312"/>
          <w:color w:val="auto"/>
          <w:sz w:val="32"/>
        </w:rPr>
      </w:pPr>
    </w:p>
    <w:p>
      <w:pPr>
        <w:rPr>
          <w:rFonts w:eastAsia="仿宋_GB2312"/>
          <w:color w:val="auto"/>
          <w:sz w:val="32"/>
        </w:rPr>
      </w:pPr>
    </w:p>
    <w:p>
      <w:pPr>
        <w:rPr>
          <w:rFonts w:eastAsia="仿宋_GB2312"/>
          <w:color w:val="auto"/>
          <w:sz w:val="32"/>
        </w:rPr>
      </w:pPr>
    </w:p>
    <w:p>
      <w:pPr>
        <w:rPr>
          <w:rFonts w:eastAsia="仿宋_GB2312"/>
          <w:color w:val="auto"/>
          <w:sz w:val="32"/>
        </w:rPr>
      </w:pPr>
    </w:p>
    <w:p>
      <w:pPr>
        <w:rPr>
          <w:rFonts w:eastAsia="仿宋_GB2312"/>
          <w:color w:val="auto"/>
          <w:sz w:val="32"/>
        </w:rPr>
      </w:pPr>
    </w:p>
    <w:p>
      <w:pPr>
        <w:rPr>
          <w:rFonts w:eastAsia="仿宋_GB2312"/>
          <w:color w:val="auto"/>
          <w:sz w:val="32"/>
        </w:rPr>
      </w:pPr>
    </w:p>
    <w:p>
      <w:pPr>
        <w:rPr>
          <w:rFonts w:eastAsia="仿宋_GB2312"/>
          <w:color w:val="auto"/>
          <w:sz w:val="32"/>
        </w:rPr>
      </w:pPr>
    </w:p>
    <w:p>
      <w:pPr>
        <w:rPr>
          <w:rFonts w:eastAsia="仿宋_GB2312"/>
          <w:color w:val="auto"/>
          <w:sz w:val="32"/>
        </w:rPr>
      </w:pPr>
    </w:p>
    <w:p>
      <w:pPr>
        <w:rPr>
          <w:rFonts w:eastAsia="仿宋_GB2312"/>
          <w:color w:val="auto"/>
          <w:sz w:val="32"/>
        </w:rPr>
      </w:pPr>
    </w:p>
    <w:p>
      <w:pPr>
        <w:rPr>
          <w:rFonts w:eastAsia="仿宋_GB2312"/>
          <w:color w:val="auto"/>
          <w:sz w:val="32"/>
        </w:rPr>
      </w:pPr>
      <w:r>
        <w:rPr>
          <w:rFonts w:ascii="Times New Roman" w:hAnsi="Times New Roman" w:eastAsia="MS Gothic" w:cs="Times New Roman"/>
          <w:color w:val="auto"/>
          <w:kern w:val="2"/>
          <w:sz w:val="21"/>
          <w:szCs w:val="24"/>
          <w:lang w:val="en-US" w:eastAsia="zh-CN" w:bidi="ar-SA"/>
        </w:rPr>
        <w:pict>
          <v:shape id="AutoShape 4" o:spid="_x0000_s1028" type="#_x0000_t32" style="position:absolute;left:0;margin-left:-36pt;margin-top:15.6pt;height:0.05pt;width:429.1pt;rotation:0f;z-index:251660288;"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p>
    <w:p>
      <w:pPr>
        <w:rPr>
          <w:rFonts w:eastAsia="仿宋_GB2312"/>
          <w:color w:val="auto"/>
          <w:sz w:val="32"/>
        </w:rPr>
      </w:pPr>
    </w:p>
    <w:p>
      <w:pPr>
        <w:rPr>
          <w:rFonts w:eastAsia="仿宋_GB2312"/>
          <w:color w:val="auto"/>
          <w:sz w:val="32"/>
        </w:rPr>
      </w:pPr>
    </w:p>
    <w:p>
      <w:pPr>
        <w:ind w:firstLine="4109" w:firstLineChars="1284"/>
        <w:rPr>
          <w:rFonts w:eastAsia="方正楷体简体"/>
          <w:color w:val="auto"/>
          <w:sz w:val="32"/>
        </w:rPr>
      </w:pPr>
      <w:r>
        <w:rPr>
          <w:rFonts w:eastAsia="方正楷体简体"/>
          <w:color w:val="auto"/>
          <w:sz w:val="32"/>
        </w:rPr>
        <w:t>比例尺：1：</w:t>
      </w:r>
    </w:p>
    <w:p>
      <w:pPr>
        <w:pageBreakBefore/>
        <w:rPr>
          <w:rFonts w:eastAsia="黑体"/>
          <w:color w:val="auto"/>
          <w:kern w:val="0"/>
          <w:sz w:val="32"/>
        </w:rPr>
      </w:pPr>
      <w:r>
        <w:rPr>
          <w:rFonts w:eastAsia="黑体"/>
          <w:color w:val="auto"/>
          <w:kern w:val="0"/>
          <w:sz w:val="32"/>
        </w:rPr>
        <w:t>附件2</w:t>
      </w:r>
    </w:p>
    <w:p>
      <w:pPr>
        <w:jc w:val="center"/>
        <w:rPr>
          <w:rFonts w:eastAsia="黑体"/>
          <w:color w:val="auto"/>
          <w:kern w:val="0"/>
          <w:sz w:val="36"/>
        </w:rPr>
      </w:pPr>
      <w:r>
        <w:rPr>
          <w:rFonts w:eastAsia="黑体"/>
          <w:color w:val="auto"/>
          <w:kern w:val="0"/>
          <w:sz w:val="36"/>
        </w:rPr>
        <w:t>出让宗地竖向界限</w:t>
      </w:r>
    </w:p>
    <w:p>
      <w:pPr>
        <w:rPr>
          <w:rFonts w:eastAsia="黑体"/>
          <w:color w:val="auto"/>
          <w:kern w:val="0"/>
          <w:sz w:val="44"/>
        </w:rPr>
      </w:pPr>
      <w:r>
        <w:rPr>
          <w:rFonts w:ascii="Times New Roman" w:hAnsi="Times New Roman" w:eastAsia="MS Gothic" w:cs="Times New Roman"/>
          <w:color w:val="auto"/>
          <w:kern w:val="2"/>
          <w:sz w:val="21"/>
          <w:szCs w:val="24"/>
          <w:lang w:val="en-US" w:eastAsia="zh-CN" w:bidi="ar-SA"/>
        </w:rPr>
        <w:pict>
          <v:group id="Group 5" o:spid="_x0000_s1029" style="position:absolute;left:0;margin-left:-59.45pt;margin-top:27.2pt;height:436.85pt;width:472.05pt;rotation:0f;z-index:251661312;" coordorigin="0,0" coordsize="9441,8737">
            <o:lock v:ext="edit" position="f" selection="f" grouping="f" rotation="f" cropping="f" text="f" aspectratio="f"/>
            <v:shape id="Text Box 6" o:spid="_x0000_s1030" type="#_x0000_t202" style="position:absolute;left:0;top:2800;height:3445;width:1693;rotation:0f;" o:ole="f" fillcolor="#FFFFFF" filled="f" o:preferrelative="t" stroked="f" coordorigin="0,0" coordsize="21600,21600">
              <v:fill on="f" color2="#FFFFFF" focus="0%"/>
              <v:imagedata gain="65536f" blacklevel="0f" gamma="0"/>
              <o:lock v:ext="edit" position="f" selection="f" grouping="f" rotation="f" cropping="f" text="f" aspectratio="f"/>
              <v:textbox>
                <w:txbxContent>
                  <w:p>
                    <w:pPr>
                      <w:jc w:val="center"/>
                      <w:rPr>
                        <w:rFonts w:ascii="方正楷体简体" w:eastAsia="方正楷体简体"/>
                        <w:spacing w:val="60"/>
                        <w:sz w:val="36"/>
                      </w:rPr>
                    </w:pPr>
                    <w:r>
                      <w:rPr>
                        <w:rFonts w:hint="eastAsia" w:ascii="方正楷体简体" w:eastAsia="方正楷体简体"/>
                        <w:spacing w:val="60"/>
                        <w:sz w:val="36"/>
                      </w:rPr>
                      <w:t>粘贴线</w:t>
                    </w:r>
                  </w:p>
                  <w:p>
                    <w:pPr>
                      <w:jc w:val="center"/>
                      <w:rPr>
                        <w:rFonts w:ascii="方正楷体简体" w:eastAsia="方正楷体简体"/>
                        <w:spacing w:val="60"/>
                        <w:sz w:val="36"/>
                      </w:rPr>
                    </w:pPr>
                    <w:r>
                      <w:rPr>
                        <w:rFonts w:hint="eastAsia" w:ascii="方正楷体简体"/>
                        <w:spacing w:val="60"/>
                        <w:sz w:val="36"/>
                      </w:rPr>
                      <w:t>∣∣∣∣∣∣</w:t>
                    </w:r>
                  </w:p>
                </w:txbxContent>
              </v:textbox>
            </v:shape>
            <v:group id="Group 7" o:spid="_x0000_s1031" style="position:absolute;left:1843;top:319;height:8418;width:6688;rotation:0f;" o:connectortype="straight" coordorigin="0,0" coordsize="6688,8418">
              <o:lock v:ext="edit" position="f" selection="f" grouping="f" rotation="f" cropping="f" text="f" aspectratio="f"/>
              <v:shape id="AutoShape 8" o:spid="_x0000_s1032" type="#_x0000_t32" style="position:absolute;left:0;top:3;height:0;width:5244;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9" o:spid="_x0000_s1033" type="#_x0000_t32" style="position:absolute;left:0;top:0;height:8408;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0" o:spid="_x0000_s1034" type="#_x0000_t32" style="position:absolute;left:0;top:8408;height:0;width:668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 o:spid="_x0000_s1035" type="#_x0000_t32" style="position:absolute;left:0;top:4218;height:0;width:5244;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 o:spid="_x0000_s1036" type="#_x0000_t32" style="position:absolute;left:2413;top:0;height:4212;width:0;rotation:0f;" o:ole="f" o:connectortype="straight" fillcolor="#FFFFFF" filled="f" o:preferrelative="t" stroked="t" coordorigin="0,0" coordsize="21600,21600">
                <v:fill on="f" color2="#FFFFFF" focus="0%"/>
                <v:stroke color="#000000" color2="#FFFFFF" miterlimit="2" startarrow="block" endarrow="block"/>
                <v:imagedata gain="65536f" blacklevel="0f" gamma="0"/>
                <o:lock v:ext="edit" position="f" selection="f" grouping="f" rotation="f" cropping="f" text="f" aspectratio="f"/>
              </v:shape>
              <v:shape id="AutoShape 13" o:spid="_x0000_s1037" type="#_x0000_t32" style="position:absolute;left:2425;top:4211;height:4207;width:0;rotation:0f;" o:ole="f" o:connectortype="straight" fillcolor="#FFFFFF" filled="f" o:preferrelative="t" stroked="t" coordorigin="0,0" coordsize="21600,21600">
                <v:fill on="f" color2="#FFFFFF" focus="0%"/>
                <v:stroke color="#000000" color2="#FFFFFF" miterlimit="2" startarrow="block" endarrow="block"/>
                <v:imagedata gain="65536f" blacklevel="0f" gamma="0"/>
                <o:lock v:ext="edit" position="f" selection="f" grouping="f" rotation="f" cropping="f" text="f" aspectratio="f"/>
              </v:shape>
              <v:group id="Group 14" o:spid="_x0000_s1038" style="position:absolute;left:2;top:4219;height:189;width:4979;rotation:0f;" o:connectortype="straight" coordorigin="0,0" coordsize="4979,189">
                <o:lock v:ext="edit" position="f" selection="f" grouping="f" rotation="f" cropping="f" text="f" aspectratio="f"/>
                <v:shape id="AutoShape 15" o:spid="_x0000_s1039" type="#_x0000_t32" style="position:absolute;left:0;top:0;flip:x;height:189;width:156;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6" o:spid="_x0000_s1040" type="#_x0000_t32" style="position:absolute;left:229;top:0;flip:x;height:189;width:156;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7" o:spid="_x0000_s1041" type="#_x0000_t32" style="position:absolute;left:459;top:0;flip:x;height:189;width:156;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8" o:spid="_x0000_s1042" type="#_x0000_t32" style="position:absolute;left:689;top:0;flip:x;height:189;width:156;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9" o:spid="_x0000_s1043" type="#_x0000_t32" style="position:absolute;left:918;top:0;flip:x;height:189;width:156;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20" o:spid="_x0000_s1044" type="#_x0000_t32" style="position:absolute;left:1148;top:0;flip:x;height:189;width:156;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21" o:spid="_x0000_s1045" type="#_x0000_t32" style="position:absolute;left:1378;top:0;flip:x;height:189;width:156;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22" o:spid="_x0000_s1046" type="#_x0000_t32" style="position:absolute;left:1607;top:0;flip:x;height:189;width:156;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23" o:spid="_x0000_s1047" type="#_x0000_t32" style="position:absolute;left:1837;top:0;flip:x;height:189;width:156;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24" o:spid="_x0000_s1048" type="#_x0000_t32" style="position:absolute;left:2067;top:0;flip:x;height:189;width:156;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25" o:spid="_x0000_s1049" type="#_x0000_t32" style="position:absolute;left:2296;top:0;flip:x;height:189;width:156;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26" o:spid="_x0000_s1050" type="#_x0000_t32" style="position:absolute;left:2526;top:0;flip:x;height:189;width:156;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27" o:spid="_x0000_s1051" type="#_x0000_t32" style="position:absolute;left:2985;top:0;flip:x;height:189;width:156;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28" o:spid="_x0000_s1052" type="#_x0000_t32" style="position:absolute;left:3445;top:0;flip:x;height:189;width:156;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29" o:spid="_x0000_s1053" type="#_x0000_t32" style="position:absolute;left:4823;top:0;flip:x;height:189;width:156;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0" o:spid="_x0000_s1054" type="#_x0000_t32" style="position:absolute;left:3904;top:0;flip:x;height:189;width:156;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5" type="#_x0000_t32" style="position:absolute;left:4134;top:0;flip:x;height:189;width:156;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2" o:spid="_x0000_s1056" type="#_x0000_t32" style="position:absolute;left:4593;top:0;flip:x;height:189;width:156;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3" o:spid="_x0000_s1057" type="#_x0000_t32" style="position:absolute;left:4363;top:0;flip:x;height:189;width:156;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4" o:spid="_x0000_s1058" type="#_x0000_t32" style="position:absolute;left:2756;top:0;flip:x;height:189;width:156;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9" type="#_x0000_t32" style="position:absolute;left:3215;top:0;flip:x;height:189;width:156;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6" o:spid="_x0000_s1060" type="#_x0000_t32" style="position:absolute;left:3674;top:0;flip:x;height:189;width:156;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v:group>
            <v:shape id="Text Box 37" o:spid="_x0000_s1061" type="#_x0000_t202" style="position:absolute;left:4765;top:1777;height:783;width:3385;rotation:0f;"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sz w:val="32"/>
                      </w:rPr>
                    </w:pPr>
                    <w:r>
                      <w:rPr>
                        <w:sz w:val="32"/>
                      </w:rPr>
                      <w:t>h=    m</w:t>
                    </w:r>
                  </w:p>
                </w:txbxContent>
              </v:textbox>
            </v:shape>
            <v:shape id="Text Box 38" o:spid="_x0000_s1062" type="#_x0000_t202" style="position:absolute;left:4774;top:6213;height:783;width:3385;rotation:0f;"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sz w:val="32"/>
                      </w:rPr>
                    </w:pPr>
                    <w:r>
                      <w:rPr>
                        <w:sz w:val="32"/>
                      </w:rPr>
                      <w:t>h=    m</w:t>
                    </w:r>
                  </w:p>
                </w:txbxContent>
              </v:textbox>
            </v:shape>
            <v:shape id="Text Box 39" o:spid="_x0000_s1063" type="#_x0000_t202" style="position:absolute;left:7096;top:7766;height:783;width:2060;rotation:0f;"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ascii="方正楷体简体" w:eastAsia="方正楷体简体"/>
                        <w:sz w:val="32"/>
                      </w:rPr>
                    </w:pPr>
                    <w:r>
                      <w:rPr>
                        <w:rFonts w:hint="eastAsia" w:ascii="方正楷体简体" w:eastAsia="方正楷体简体"/>
                        <w:sz w:val="32"/>
                      </w:rPr>
                      <w:t>下界限高程</w:t>
                    </w:r>
                  </w:p>
                </w:txbxContent>
              </v:textbox>
            </v:shape>
            <v:shape id="Text Box 40" o:spid="_x0000_s1064" type="#_x0000_t202" style="position:absolute;left:7170;top:4139;height:783;width:2271;rotation:0f;"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ascii="方正楷体简体" w:eastAsia="方正楷体简体"/>
                        <w:sz w:val="32"/>
                      </w:rPr>
                    </w:pPr>
                    <w:r>
                      <w:rPr>
                        <w:rFonts w:hint="eastAsia" w:ascii="方正楷体简体" w:eastAsia="方正楷体简体"/>
                        <w:sz w:val="32"/>
                      </w:rPr>
                      <w:t>高程起算基点</w:t>
                    </w:r>
                  </w:p>
                </w:txbxContent>
              </v:textbox>
            </v:shape>
            <v:shape id="Text Box 41" o:spid="_x0000_s1065" type="#_x0000_t202" style="position:absolute;left:7103;top:0;height:783;width:2052;rotation:0f;"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ascii="方正楷体简体" w:eastAsia="方正楷体简体"/>
                        <w:sz w:val="32"/>
                      </w:rPr>
                    </w:pPr>
                    <w:r>
                      <w:rPr>
                        <w:rFonts w:hint="eastAsia" w:ascii="方正楷体简体" w:eastAsia="方正楷体简体"/>
                        <w:sz w:val="32"/>
                      </w:rPr>
                      <w:t>上界限高程</w:t>
                    </w:r>
                  </w:p>
                </w:txbxContent>
              </v:textbox>
            </v:shape>
          </v:group>
        </w:pict>
      </w:r>
    </w:p>
    <w:p>
      <w:pPr>
        <w:rPr>
          <w:rFonts w:eastAsia="黑体"/>
          <w:color w:val="auto"/>
          <w:kern w:val="0"/>
          <w:sz w:val="44"/>
        </w:rPr>
      </w:pPr>
    </w:p>
    <w:p>
      <w:pPr>
        <w:rPr>
          <w:rFonts w:eastAsia="黑体"/>
          <w:color w:val="auto"/>
          <w:kern w:val="0"/>
          <w:sz w:val="44"/>
        </w:rPr>
      </w:pPr>
    </w:p>
    <w:p>
      <w:pPr>
        <w:rPr>
          <w:rFonts w:eastAsia="黑体"/>
          <w:color w:val="auto"/>
          <w:kern w:val="0"/>
          <w:sz w:val="44"/>
        </w:rPr>
      </w:pPr>
    </w:p>
    <w:p>
      <w:pPr>
        <w:rPr>
          <w:rFonts w:eastAsia="黑体"/>
          <w:color w:val="auto"/>
          <w:kern w:val="0"/>
          <w:sz w:val="44"/>
        </w:rPr>
      </w:pPr>
    </w:p>
    <w:p>
      <w:pPr>
        <w:jc w:val="center"/>
        <w:rPr>
          <w:rFonts w:eastAsia="方正楷体简体"/>
          <w:color w:val="auto"/>
          <w:spacing w:val="60"/>
          <w:sz w:val="36"/>
        </w:rPr>
      </w:pPr>
    </w:p>
    <w:p>
      <w:pPr>
        <w:rPr>
          <w:rFonts w:eastAsia="黑体"/>
          <w:color w:val="auto"/>
          <w:kern w:val="0"/>
          <w:sz w:val="44"/>
        </w:rPr>
      </w:pPr>
    </w:p>
    <w:p>
      <w:pPr>
        <w:rPr>
          <w:rFonts w:eastAsia="黑体"/>
          <w:color w:val="auto"/>
          <w:kern w:val="0"/>
          <w:sz w:val="44"/>
        </w:rPr>
      </w:pPr>
    </w:p>
    <w:p>
      <w:pPr>
        <w:rPr>
          <w:rFonts w:eastAsia="黑体"/>
          <w:color w:val="auto"/>
          <w:kern w:val="0"/>
          <w:sz w:val="44"/>
        </w:rPr>
      </w:pPr>
    </w:p>
    <w:p>
      <w:pPr>
        <w:rPr>
          <w:rFonts w:eastAsia="黑体"/>
          <w:color w:val="auto"/>
          <w:kern w:val="0"/>
          <w:sz w:val="44"/>
        </w:rPr>
      </w:pPr>
    </w:p>
    <w:p>
      <w:pPr>
        <w:rPr>
          <w:rFonts w:eastAsia="黑体"/>
          <w:color w:val="auto"/>
          <w:kern w:val="0"/>
          <w:sz w:val="44"/>
        </w:rPr>
      </w:pPr>
    </w:p>
    <w:p>
      <w:pPr>
        <w:rPr>
          <w:rFonts w:eastAsia="黑体"/>
          <w:color w:val="auto"/>
          <w:kern w:val="0"/>
          <w:sz w:val="44"/>
        </w:rPr>
      </w:pPr>
    </w:p>
    <w:p>
      <w:pPr>
        <w:rPr>
          <w:rFonts w:eastAsia="黑体"/>
          <w:color w:val="auto"/>
          <w:kern w:val="0"/>
          <w:sz w:val="44"/>
        </w:rPr>
      </w:pPr>
    </w:p>
    <w:p>
      <w:pPr>
        <w:rPr>
          <w:rFonts w:eastAsia="黑体"/>
          <w:color w:val="auto"/>
          <w:kern w:val="0"/>
          <w:sz w:val="44"/>
        </w:rPr>
      </w:pPr>
    </w:p>
    <w:p>
      <w:pPr>
        <w:rPr>
          <w:rFonts w:eastAsia="黑体"/>
          <w:color w:val="auto"/>
          <w:kern w:val="0"/>
          <w:sz w:val="44"/>
        </w:rPr>
      </w:pPr>
    </w:p>
    <w:p>
      <w:pPr>
        <w:rPr>
          <w:rFonts w:eastAsia="黑体"/>
          <w:color w:val="auto"/>
          <w:kern w:val="0"/>
          <w:sz w:val="44"/>
        </w:rPr>
      </w:pPr>
      <w:r>
        <w:rPr>
          <w:rFonts w:ascii="Times New Roman" w:hAnsi="Times New Roman" w:eastAsia="MS Gothic" w:cs="Times New Roman"/>
          <w:color w:val="auto"/>
          <w:kern w:val="2"/>
          <w:sz w:val="21"/>
          <w:szCs w:val="24"/>
          <w:lang w:val="en-US" w:eastAsia="zh-CN" w:bidi="ar-SA"/>
        </w:rPr>
        <w:pict>
          <v:shape id="AutoShape 42" o:spid="_x0000_s1066" type="#_x0000_t32" style="position:absolute;left:0;margin-left:-36pt;margin-top:15.6pt;height:0.05pt;width:455.05pt;rotation:0f;z-index:251662336;"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p>
    <w:p>
      <w:pPr>
        <w:rPr>
          <w:rFonts w:eastAsia="黑体"/>
          <w:color w:val="auto"/>
          <w:kern w:val="0"/>
          <w:sz w:val="44"/>
        </w:rPr>
      </w:pPr>
    </w:p>
    <w:p>
      <w:pPr>
        <w:rPr>
          <w:rFonts w:eastAsia="方正楷体简体"/>
          <w:color w:val="auto"/>
          <w:kern w:val="0"/>
          <w:sz w:val="32"/>
        </w:rPr>
      </w:pPr>
      <w:r>
        <w:rPr>
          <w:rFonts w:eastAsia="方正楷体简体"/>
          <w:color w:val="auto"/>
          <w:kern w:val="0"/>
          <w:sz w:val="32"/>
        </w:rPr>
        <w:t>采用的高程系：</w:t>
      </w:r>
    </w:p>
    <w:p>
      <w:pPr>
        <w:rPr>
          <w:rFonts w:eastAsia="方正楷体简体"/>
          <w:color w:val="auto"/>
          <w:kern w:val="0"/>
          <w:sz w:val="32"/>
        </w:rPr>
      </w:pPr>
      <w:r>
        <w:rPr>
          <w:rFonts w:eastAsia="方正楷体简体"/>
          <w:color w:val="auto"/>
          <w:kern w:val="0"/>
          <w:sz w:val="32"/>
        </w:rPr>
        <w:t>比例尺：1：</w:t>
      </w:r>
    </w:p>
    <w:p>
      <w:pPr>
        <w:pageBreakBefore/>
        <w:rPr>
          <w:rFonts w:eastAsia="仿宋_GB2312"/>
          <w:color w:val="auto"/>
          <w:kern w:val="0"/>
          <w:sz w:val="32"/>
        </w:rPr>
      </w:pPr>
      <w:r>
        <w:rPr>
          <w:rFonts w:eastAsia="黑体"/>
          <w:color w:val="auto"/>
          <w:kern w:val="0"/>
          <w:sz w:val="32"/>
        </w:rPr>
        <w:t>附件3</w:t>
      </w:r>
    </w:p>
    <w:p>
      <w:pPr>
        <w:rPr>
          <w:rFonts w:eastAsia="黑体"/>
          <w:color w:val="auto"/>
          <w:kern w:val="0"/>
          <w:sz w:val="36"/>
        </w:rPr>
      </w:pPr>
      <w:r>
        <w:rPr>
          <w:rFonts w:eastAsia="黑体"/>
          <w:color w:val="auto"/>
          <w:kern w:val="0"/>
          <w:sz w:val="36"/>
        </w:rPr>
        <w:t>政府规划管理部门确定的出让宗地规划条件</w:t>
      </w:r>
    </w:p>
    <w:p>
      <w:pPr>
        <w:spacing w:line="100" w:lineRule="atLeast"/>
        <w:rPr>
          <w:rFonts w:eastAsia="黑体"/>
          <w:color w:val="auto"/>
          <w:kern w:val="0"/>
          <w:sz w:val="32"/>
        </w:rPr>
      </w:pPr>
    </w:p>
    <w:p>
      <w:pPr>
        <w:spacing w:line="100" w:lineRule="atLeast"/>
        <w:rPr>
          <w:rFonts w:eastAsia="黑体"/>
          <w:color w:val="auto"/>
          <w:kern w:val="0"/>
          <w:sz w:val="32"/>
        </w:rPr>
      </w:pPr>
    </w:p>
    <w:p>
      <w:pPr>
        <w:spacing w:line="100" w:lineRule="atLeast"/>
        <w:rPr>
          <w:rFonts w:eastAsia="黑体"/>
          <w:color w:val="auto"/>
          <w:kern w:val="0"/>
          <w:sz w:val="32"/>
        </w:rPr>
      </w:pPr>
    </w:p>
    <w:p>
      <w:pPr>
        <w:spacing w:line="100" w:lineRule="atLeast"/>
        <w:rPr>
          <w:rFonts w:eastAsia="黑体"/>
          <w:color w:val="auto"/>
          <w:kern w:val="0"/>
          <w:sz w:val="32"/>
        </w:rPr>
      </w:pPr>
    </w:p>
    <w:p>
      <w:pPr>
        <w:spacing w:line="100" w:lineRule="atLeast"/>
        <w:rPr>
          <w:rFonts w:eastAsia="黑体"/>
          <w:color w:val="auto"/>
          <w:kern w:val="0"/>
          <w:sz w:val="32"/>
        </w:rPr>
      </w:pPr>
    </w:p>
    <w:p>
      <w:pPr>
        <w:spacing w:line="100" w:lineRule="atLeast"/>
        <w:rPr>
          <w:rFonts w:eastAsia="黑体"/>
          <w:color w:val="auto"/>
          <w:kern w:val="0"/>
          <w:sz w:val="32"/>
        </w:rPr>
      </w:pPr>
    </w:p>
    <w:p>
      <w:pPr>
        <w:spacing w:line="100" w:lineRule="atLeast"/>
        <w:rPr>
          <w:rFonts w:eastAsia="黑体"/>
          <w:color w:val="auto"/>
          <w:kern w:val="0"/>
          <w:sz w:val="32"/>
        </w:rPr>
      </w:pPr>
    </w:p>
    <w:p>
      <w:pPr>
        <w:spacing w:line="100" w:lineRule="atLeast"/>
        <w:rPr>
          <w:rFonts w:eastAsia="黑体"/>
          <w:color w:val="auto"/>
          <w:kern w:val="0"/>
          <w:sz w:val="32"/>
        </w:rPr>
      </w:pPr>
    </w:p>
    <w:p>
      <w:pPr>
        <w:spacing w:line="100" w:lineRule="atLeast"/>
        <w:rPr>
          <w:rFonts w:eastAsia="黑体"/>
          <w:color w:val="auto"/>
          <w:kern w:val="0"/>
          <w:sz w:val="32"/>
        </w:rPr>
      </w:pPr>
    </w:p>
    <w:p>
      <w:pPr>
        <w:spacing w:line="100" w:lineRule="atLeast"/>
        <w:rPr>
          <w:rFonts w:eastAsia="黑体"/>
          <w:color w:val="auto"/>
          <w:kern w:val="0"/>
          <w:sz w:val="32"/>
        </w:rPr>
      </w:pPr>
    </w:p>
    <w:p>
      <w:pPr>
        <w:spacing w:line="100" w:lineRule="atLeast"/>
        <w:rPr>
          <w:rFonts w:eastAsia="黑体"/>
          <w:color w:val="auto"/>
          <w:kern w:val="0"/>
          <w:sz w:val="32"/>
        </w:rPr>
      </w:pPr>
    </w:p>
    <w:p>
      <w:pPr>
        <w:spacing w:line="100" w:lineRule="atLeast"/>
        <w:rPr>
          <w:rFonts w:eastAsia="黑体"/>
          <w:color w:val="auto"/>
          <w:kern w:val="0"/>
          <w:sz w:val="32"/>
        </w:rPr>
      </w:pPr>
    </w:p>
    <w:p>
      <w:pPr>
        <w:spacing w:line="100" w:lineRule="atLeast"/>
        <w:rPr>
          <w:rFonts w:eastAsia="黑体"/>
          <w:color w:val="auto"/>
          <w:kern w:val="0"/>
          <w:sz w:val="32"/>
        </w:rPr>
      </w:pPr>
    </w:p>
    <w:p>
      <w:pPr>
        <w:spacing w:line="100" w:lineRule="atLeast"/>
        <w:rPr>
          <w:rFonts w:eastAsia="黑体"/>
          <w:color w:val="auto"/>
          <w:kern w:val="0"/>
          <w:sz w:val="32"/>
        </w:rPr>
      </w:pPr>
    </w:p>
    <w:p>
      <w:pPr>
        <w:spacing w:line="100" w:lineRule="atLeast"/>
        <w:rPr>
          <w:rFonts w:eastAsia="黑体"/>
          <w:color w:val="auto"/>
          <w:kern w:val="0"/>
          <w:sz w:val="32"/>
        </w:rPr>
      </w:pPr>
    </w:p>
    <w:p>
      <w:pPr>
        <w:spacing w:line="500" w:lineRule="exact"/>
        <w:textAlignment w:val="baseline"/>
        <w:rPr>
          <w:rFonts w:ascii="仿宋_GB2312" w:hAnsi="仿宋_GB2312" w:eastAsia="仿宋_GB2312"/>
          <w:color w:val="auto"/>
          <w:kern w:val="0"/>
          <w:sz w:val="32"/>
        </w:rPr>
      </w:pPr>
    </w:p>
    <w:p>
      <w:pPr>
        <w:spacing w:line="540" w:lineRule="exact"/>
        <w:rPr>
          <w:rFonts w:eastAsia="仿宋_GB2312"/>
          <w:color w:val="auto"/>
          <w:sz w:val="28"/>
        </w:rPr>
      </w:pPr>
    </w:p>
    <w:p>
      <w:pPr>
        <w:spacing w:line="540" w:lineRule="exact"/>
        <w:rPr>
          <w:rFonts w:eastAsia="仿宋_GB2312"/>
          <w:color w:val="auto"/>
          <w:sz w:val="28"/>
        </w:rPr>
      </w:pPr>
    </w:p>
    <w:p>
      <w:pPr>
        <w:spacing w:line="540" w:lineRule="exact"/>
        <w:rPr>
          <w:rFonts w:eastAsia="仿宋_GB2312"/>
          <w:color w:val="auto"/>
          <w:sz w:val="28"/>
        </w:rPr>
      </w:pPr>
    </w:p>
    <w:p>
      <w:pPr>
        <w:rPr>
          <w:color w:val="auto"/>
        </w:rPr>
      </w:pPr>
    </w:p>
    <w:p>
      <w:pPr>
        <w:rPr>
          <w:color w:val="auto"/>
        </w:rPr>
      </w:pPr>
    </w:p>
    <w:p>
      <w:pPr>
        <w:spacing w:line="540" w:lineRule="exact"/>
        <w:rPr>
          <w:rFonts w:eastAsia="仿宋_GB2312"/>
          <w:color w:val="auto"/>
          <w:sz w:val="28"/>
        </w:rPr>
      </w:pPr>
    </w:p>
    <w:p>
      <w:pPr>
        <w:spacing w:line="540" w:lineRule="exact"/>
        <w:rPr>
          <w:rFonts w:eastAsia="仿宋_GB2312"/>
          <w:color w:val="auto"/>
          <w:sz w:val="28"/>
        </w:rPr>
      </w:pPr>
    </w:p>
    <w:p>
      <w:pPr>
        <w:spacing w:line="540" w:lineRule="exact"/>
        <w:rPr>
          <w:rFonts w:eastAsia="仿宋_GB2312"/>
          <w:color w:val="auto"/>
          <w:sz w:val="28"/>
        </w:rPr>
      </w:pPr>
    </w:p>
    <w:p>
      <w:pPr>
        <w:rPr>
          <w:color w:val="auto"/>
        </w:rPr>
      </w:pPr>
    </w:p>
    <w:p>
      <w:pPr>
        <w:rPr>
          <w:color w:val="auto"/>
        </w:rPr>
      </w:pPr>
    </w:p>
    <w:p>
      <w:pPr>
        <w:spacing w:line="540" w:lineRule="exact"/>
        <w:rPr>
          <w:rFonts w:eastAsia="仿宋_GB2312"/>
          <w:color w:val="auto"/>
          <w:sz w:val="28"/>
        </w:rPr>
      </w:pPr>
    </w:p>
    <w:sectPr>
      <w:footerReference r:id="rId4" w:type="default"/>
      <w:footerReference r:id="rId5"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0" w:usb1="00000000" w:usb2="00000010" w:usb3="00000000" w:csb0="00040000" w:csb1="00000000"/>
  </w:font>
  <w:font w:name="Cambria">
    <w:panose1 w:val="02040503050406030204"/>
    <w:charset w:val="00"/>
    <w:family w:val="auto"/>
    <w:pitch w:val="default"/>
    <w:sig w:usb0="E00002FF" w:usb1="400004FF" w:usb2="00000000" w:usb3="00000000" w:csb0="2000019F" w:csb1="00000000"/>
  </w:font>
  <w:font w:name="楷体_GB2312">
    <w:altName w:val="楷体"/>
    <w:panose1 w:val="02010609030101010101"/>
    <w:charset w:val="86"/>
    <w:family w:val="auto"/>
    <w:pitch w:val="default"/>
    <w:sig w:usb0="00000000" w:usb1="00000000" w:usb2="00000010" w:usb3="00000000" w:csb0="0004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MS Gothic">
    <w:panose1 w:val="020B0609070205080204"/>
    <w:charset w:val="80"/>
    <w:family w:val="auto"/>
    <w:pitch w:val="default"/>
    <w:sig w:usb0="E00002FF" w:usb1="6AC7FDFB" w:usb2="00000012" w:usb3="00000000" w:csb0="4002009F" w:csb1="DFD70000"/>
  </w:font>
  <w:font w:name="方正楷体简体">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framePr w:wrap="around" w:vAnchor="text" w:hAnchor="margin" w:xAlign="center" w:y="1"/>
      <w:rPr>
        <w:rStyle w:val="26"/>
      </w:rPr>
    </w:pPr>
    <w:r>
      <w:fldChar w:fldCharType="begin"/>
    </w:r>
    <w:r>
      <w:rPr>
        <w:rStyle w:val="26"/>
      </w:rPr>
      <w:instrText xml:space="preserve">PAGE  </w:instrText>
    </w:r>
    <w:r>
      <w:fldChar w:fldCharType="separate"/>
    </w:r>
    <w:r>
      <w:rPr>
        <w:rStyle w:val="26"/>
      </w:rPr>
      <w:t>2</w:t>
    </w:r>
    <w: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framePr w:wrap="around" w:vAnchor="text" w:hAnchor="margin" w:xAlign="center" w:y="1"/>
      <w:rPr>
        <w:rStyle w:val="26"/>
      </w:rPr>
    </w:pPr>
    <w:r>
      <w:fldChar w:fldCharType="begin"/>
    </w:r>
    <w:r>
      <w:rPr>
        <w:rStyle w:val="26"/>
      </w:rPr>
      <w:instrText xml:space="preserve">PAGE  </w:instrText>
    </w:r>
    <w:r>
      <w:fldChar w:fldCharType="end"/>
    </w:r>
  </w:p>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8964125">
    <w:nsid w:val="565D701D"/>
    <w:multiLevelType w:val="singleLevel"/>
    <w:tmpl w:val="565D701D"/>
    <w:lvl w:ilvl="0" w:tentative="1">
      <w:start w:val="3"/>
      <w:numFmt w:val="chineseCounting"/>
      <w:suff w:val="nothing"/>
      <w:lvlText w:val="第%1章"/>
      <w:lvlJc w:val="left"/>
    </w:lvl>
  </w:abstractNum>
  <w:abstractNum w:abstractNumId="1538190256">
    <w:nsid w:val="5BAEEBB0"/>
    <w:multiLevelType w:val="singleLevel"/>
    <w:tmpl w:val="5BAEEBB0"/>
    <w:lvl w:ilvl="0" w:tentative="1">
      <w:start w:val="1"/>
      <w:numFmt w:val="decimal"/>
      <w:suff w:val="nothing"/>
      <w:lvlText w:val="%1、"/>
      <w:lvlJc w:val="left"/>
    </w:lvl>
  </w:abstractNum>
  <w:abstractNum w:abstractNumId="11">
    <w:nsid w:val="0000000B"/>
    <w:multiLevelType w:val="multilevel"/>
    <w:tmpl w:val="0000000B"/>
    <w:lvl w:ilvl="0" w:tentative="1">
      <w:start w:val="1"/>
      <w:numFmt w:val="chineseCountingThousand"/>
      <w:lvlText w:val="第%1条"/>
      <w:lvlJc w:val="left"/>
      <w:pPr>
        <w:tabs>
          <w:tab w:val="left" w:pos="1288"/>
        </w:tabs>
        <w:ind w:left="29" w:firstLine="539"/>
      </w:pPr>
      <w:rPr>
        <w:rFonts w:hint="eastAsia" w:ascii="仿宋_GB2312" w:eastAsia="仿宋_GB2312"/>
        <w:b/>
        <w:color w:val="auto"/>
        <w:sz w:val="28"/>
        <w:szCs w:val="28"/>
        <w:lang w:val="en-US"/>
      </w:rPr>
    </w:lvl>
    <w:lvl w:ilvl="1" w:tentative="1">
      <w:start w:val="1"/>
      <w:numFmt w:val="japaneseCounting"/>
      <w:lvlText w:val="（%2）"/>
      <w:lvlJc w:val="left"/>
      <w:pPr>
        <w:tabs>
          <w:tab w:val="left" w:pos="1500"/>
        </w:tabs>
        <w:ind w:left="1500" w:hanging="1080"/>
      </w:pPr>
      <w:rPr>
        <w:rFonts w:hint="eastAsia"/>
      </w:rPr>
    </w:lvl>
    <w:lvl w:ilvl="2" w:tentative="1">
      <w:start w:val="1"/>
      <w:numFmt w:val="decimal"/>
      <w:lvlText w:val="%3、"/>
      <w:lvlJc w:val="left"/>
      <w:pPr>
        <w:tabs>
          <w:tab w:val="left" w:pos="1260"/>
        </w:tabs>
        <w:ind w:left="1260" w:hanging="720"/>
      </w:pPr>
      <w:rPr>
        <w:rFonts w:hint="eastAsia"/>
        <w:color w:val="auto"/>
      </w:rPr>
    </w:lvl>
    <w:lvl w:ilvl="3" w:tentative="1">
      <w:start w:val="1"/>
      <w:numFmt w:val="chineseCountingThousand"/>
      <w:lvlText w:val="%4、"/>
      <w:lvlJc w:val="left"/>
      <w:pPr>
        <w:tabs>
          <w:tab w:val="left" w:pos="567"/>
        </w:tabs>
        <w:ind w:left="0" w:firstLine="567"/>
      </w:pPr>
      <w:rPr>
        <w:rFonts w:hint="eastAsia"/>
        <w:b/>
        <w:color w:val="auto"/>
        <w:lang w:val="en-US"/>
      </w:rPr>
    </w:lvl>
    <w:lvl w:ilvl="4" w:tentative="1">
      <w:start w:val="1"/>
      <w:numFmt w:val="decimal"/>
      <w:lvlText w:val="（%5）"/>
      <w:lvlJc w:val="left"/>
      <w:pPr>
        <w:tabs>
          <w:tab w:val="left" w:pos="2400"/>
        </w:tabs>
        <w:ind w:left="2400" w:hanging="720"/>
      </w:pPr>
      <w:rPr>
        <w:rFonts w:hint="eastAsia"/>
      </w:rPr>
    </w:lvl>
    <w:lvl w:ilvl="5" w:tentative="1">
      <w:start w:val="1"/>
      <w:numFmt w:val="decimal"/>
      <w:lvlText w:val="%6."/>
      <w:lvlJc w:val="lef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7">
    <w:nsid w:val="00000007"/>
    <w:multiLevelType w:val="multilevel"/>
    <w:tmpl w:val="00000007"/>
    <w:lvl w:ilvl="0" w:tentative="1">
      <w:start w:val="1"/>
      <w:numFmt w:val="japaneseCounting"/>
      <w:lvlText w:val="第%1章"/>
      <w:lvlJc w:val="left"/>
      <w:pPr>
        <w:tabs>
          <w:tab w:val="left" w:pos="1919"/>
        </w:tabs>
        <w:ind w:left="1919" w:hanging="1230"/>
      </w:pPr>
      <w:rPr>
        <w:rFonts w:hint="eastAsia"/>
      </w:rPr>
    </w:lvl>
    <w:lvl w:ilvl="1" w:tentative="1">
      <w:start w:val="1"/>
      <w:numFmt w:val="chineseCountingThousand"/>
      <w:lvlText w:val="第%2条"/>
      <w:lvlJc w:val="left"/>
      <w:pPr>
        <w:tabs>
          <w:tab w:val="left" w:pos="2024"/>
        </w:tabs>
        <w:ind w:left="2024" w:hanging="915"/>
      </w:pPr>
      <w:rPr>
        <w:rFonts w:hint="eastAsia"/>
      </w:rPr>
    </w:lvl>
    <w:lvl w:ilvl="2" w:tentative="1">
      <w:start w:val="1"/>
      <w:numFmt w:val="decimal"/>
      <w:lvlText w:val="%3、"/>
      <w:lvlJc w:val="left"/>
      <w:pPr>
        <w:tabs>
          <w:tab w:val="left" w:pos="2249"/>
        </w:tabs>
        <w:ind w:left="2249" w:hanging="720"/>
      </w:pPr>
      <w:rPr>
        <w:rFonts w:hint="eastAsia"/>
      </w:rPr>
    </w:lvl>
    <w:lvl w:ilvl="3" w:tentative="1">
      <w:start w:val="1"/>
      <w:numFmt w:val="decimal"/>
      <w:lvlText w:val="（%4）"/>
      <w:lvlJc w:val="left"/>
      <w:pPr>
        <w:tabs>
          <w:tab w:val="left" w:pos="3389"/>
        </w:tabs>
        <w:ind w:left="3389" w:hanging="1440"/>
      </w:pPr>
      <w:rPr>
        <w:rFonts w:hint="eastAsia"/>
      </w:rPr>
    </w:lvl>
    <w:lvl w:ilvl="4" w:tentative="1">
      <w:start w:val="1"/>
      <w:numFmt w:val="decimal"/>
      <w:lvlText w:val="（%5）"/>
      <w:lvlJc w:val="left"/>
      <w:pPr>
        <w:tabs>
          <w:tab w:val="left" w:pos="3449"/>
        </w:tabs>
        <w:ind w:left="3449" w:hanging="1080"/>
      </w:pPr>
      <w:rPr>
        <w:rFonts w:hint="eastAsia"/>
      </w:rPr>
    </w:lvl>
    <w:lvl w:ilvl="5" w:tentative="1">
      <w:start w:val="1"/>
      <w:numFmt w:val="decimal"/>
      <w:lvlText w:val="（%6）"/>
      <w:lvlJc w:val="left"/>
      <w:pPr>
        <w:tabs>
          <w:tab w:val="left" w:pos="4229"/>
        </w:tabs>
        <w:ind w:left="4229" w:hanging="1440"/>
      </w:pPr>
      <w:rPr>
        <w:rFonts w:hint="eastAsia"/>
      </w:rPr>
    </w:lvl>
    <w:lvl w:ilvl="6" w:tentative="1">
      <w:start w:val="1"/>
      <w:numFmt w:val="decimal"/>
      <w:lvlText w:val="%7."/>
      <w:lvlJc w:val="left"/>
      <w:pPr>
        <w:tabs>
          <w:tab w:val="left" w:pos="3629"/>
        </w:tabs>
        <w:ind w:left="3629" w:hanging="420"/>
      </w:pPr>
    </w:lvl>
    <w:lvl w:ilvl="7" w:tentative="1">
      <w:start w:val="1"/>
      <w:numFmt w:val="lowerLetter"/>
      <w:lvlText w:val="%8)"/>
      <w:lvlJc w:val="left"/>
      <w:pPr>
        <w:tabs>
          <w:tab w:val="left" w:pos="4049"/>
        </w:tabs>
        <w:ind w:left="4049" w:hanging="420"/>
      </w:pPr>
    </w:lvl>
    <w:lvl w:ilvl="8" w:tentative="1">
      <w:start w:val="1"/>
      <w:numFmt w:val="lowerRoman"/>
      <w:lvlText w:val="%9."/>
      <w:lvlJc w:val="right"/>
      <w:pPr>
        <w:tabs>
          <w:tab w:val="left" w:pos="4469"/>
        </w:tabs>
        <w:ind w:left="4469" w:hanging="420"/>
      </w:pPr>
    </w:lvl>
  </w:abstractNum>
  <w:abstractNum w:abstractNumId="5">
    <w:nsid w:val="00000005"/>
    <w:multiLevelType w:val="multilevel"/>
    <w:tmpl w:val="00000005"/>
    <w:lvl w:ilvl="0" w:tentative="1">
      <w:start w:val="1"/>
      <w:numFmt w:val="decimal"/>
      <w:lvlText w:val="第%1条"/>
      <w:lvlJc w:val="left"/>
      <w:pPr>
        <w:ind w:left="1800" w:hanging="1800"/>
      </w:pPr>
      <w:rPr>
        <w:rFonts w:hint="eastAsia" w:ascii="仿宋_GB2312" w:eastAsia="仿宋_GB2312"/>
        <w:b/>
        <w:i w:val="0"/>
        <w:color w:val="auto"/>
        <w:lang w:val="en-US"/>
      </w:rPr>
    </w:lvl>
    <w:lvl w:ilvl="1" w:tentative="1">
      <w:start w:val="1"/>
      <w:numFmt w:val="lowerLetter"/>
      <w:lvlText w:val="%2)"/>
      <w:lvlJc w:val="left"/>
      <w:pPr>
        <w:ind w:left="1480" w:hanging="420"/>
      </w:pPr>
      <w:rPr>
        <w:rFonts w:hint="eastAsia"/>
      </w:rPr>
    </w:lvl>
    <w:lvl w:ilvl="2" w:tentative="1">
      <w:start w:val="1"/>
      <w:numFmt w:val="lowerRoman"/>
      <w:lvlText w:val="%3."/>
      <w:lvlJc w:val="right"/>
      <w:pPr>
        <w:ind w:left="1900" w:hanging="420"/>
      </w:pPr>
      <w:rPr>
        <w:rFonts w:hint="eastAsia"/>
      </w:rPr>
    </w:lvl>
    <w:lvl w:ilvl="3" w:tentative="1">
      <w:start w:val="1"/>
      <w:numFmt w:val="decimal"/>
      <w:lvlText w:val="%4."/>
      <w:lvlJc w:val="left"/>
      <w:pPr>
        <w:ind w:left="2320" w:hanging="420"/>
      </w:pPr>
      <w:rPr>
        <w:rFonts w:hint="eastAsia"/>
      </w:rPr>
    </w:lvl>
    <w:lvl w:ilvl="4" w:tentative="1">
      <w:start w:val="1"/>
      <w:numFmt w:val="lowerLetter"/>
      <w:lvlText w:val="%5)"/>
      <w:lvlJc w:val="left"/>
      <w:pPr>
        <w:ind w:left="2740" w:hanging="420"/>
      </w:pPr>
      <w:rPr>
        <w:rFonts w:hint="eastAsia"/>
      </w:rPr>
    </w:lvl>
    <w:lvl w:ilvl="5" w:tentative="1">
      <w:start w:val="1"/>
      <w:numFmt w:val="lowerRoman"/>
      <w:lvlText w:val="%6."/>
      <w:lvlJc w:val="right"/>
      <w:pPr>
        <w:ind w:left="3160" w:hanging="420"/>
      </w:pPr>
      <w:rPr>
        <w:rFonts w:hint="eastAsia"/>
      </w:rPr>
    </w:lvl>
    <w:lvl w:ilvl="6" w:tentative="1">
      <w:start w:val="1"/>
      <w:numFmt w:val="decimal"/>
      <w:lvlText w:val="%7."/>
      <w:lvlJc w:val="left"/>
      <w:pPr>
        <w:ind w:left="3580" w:hanging="420"/>
      </w:pPr>
      <w:rPr>
        <w:rFonts w:hint="eastAsia"/>
      </w:rPr>
    </w:lvl>
    <w:lvl w:ilvl="7" w:tentative="1">
      <w:start w:val="1"/>
      <w:numFmt w:val="lowerLetter"/>
      <w:lvlText w:val="%8)"/>
      <w:lvlJc w:val="left"/>
      <w:pPr>
        <w:ind w:left="4000" w:hanging="420"/>
      </w:pPr>
      <w:rPr>
        <w:rFonts w:hint="eastAsia"/>
      </w:rPr>
    </w:lvl>
    <w:lvl w:ilvl="8" w:tentative="1">
      <w:start w:val="1"/>
      <w:numFmt w:val="lowerRoman"/>
      <w:lvlText w:val="%9."/>
      <w:lvlJc w:val="right"/>
      <w:pPr>
        <w:ind w:left="4420" w:hanging="420"/>
      </w:pPr>
      <w:rPr>
        <w:rFonts w:hint="eastAsia"/>
      </w:rPr>
    </w:lvl>
  </w:abstractNum>
  <w:abstractNum w:abstractNumId="13">
    <w:nsid w:val="0000000D"/>
    <w:multiLevelType w:val="multilevel"/>
    <w:tmpl w:val="0000000D"/>
    <w:lvl w:ilvl="0" w:tentative="1">
      <w:start w:val="1"/>
      <w:numFmt w:val="decimal"/>
      <w:lvlText w:val="%1."/>
      <w:lvlJc w:val="left"/>
      <w:pPr>
        <w:tabs>
          <w:tab w:val="left" w:pos="1258"/>
        </w:tabs>
        <w:ind w:left="1258" w:hanging="42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839125142">
    <w:nsid w:val="32040896"/>
    <w:multiLevelType w:val="multilevel"/>
    <w:tmpl w:val="32040896"/>
    <w:lvl w:ilvl="0" w:tentative="1">
      <w:start w:val="1"/>
      <w:numFmt w:val="japaneseCounting"/>
      <w:lvlText w:val="第%1章"/>
      <w:lvlJc w:val="left"/>
      <w:pPr>
        <w:tabs>
          <w:tab w:val="left" w:pos="1125"/>
        </w:tabs>
        <w:ind w:left="1125" w:hanging="1125"/>
      </w:pPr>
      <w:rPr>
        <w:rFonts w:hint="eastAsia"/>
      </w:rPr>
    </w:lvl>
    <w:lvl w:ilvl="1" w:tentative="1">
      <w:start w:val="1"/>
      <w:numFmt w:val="decimal"/>
      <w:lvlText w:val="%2、"/>
      <w:lvlJc w:val="left"/>
      <w:pPr>
        <w:tabs>
          <w:tab w:val="left" w:pos="1140"/>
        </w:tabs>
        <w:ind w:left="1140" w:hanging="720"/>
      </w:pPr>
      <w:rPr>
        <w:rFonts w:hint="eastAsia"/>
      </w:rPr>
    </w:lvl>
    <w:lvl w:ilvl="2" w:tentative="1">
      <w:start w:val="1"/>
      <w:numFmt w:val="decimal"/>
      <w:lvlText w:val="%3、"/>
      <w:lvlJc w:val="left"/>
      <w:pPr>
        <w:tabs>
          <w:tab w:val="left" w:pos="1560"/>
        </w:tabs>
        <w:ind w:left="1560" w:hanging="720"/>
      </w:pPr>
      <w:rPr>
        <w:rFonts w:hint="eastAsia"/>
      </w:rPr>
    </w:lvl>
    <w:lvl w:ilvl="3" w:tentative="1">
      <w:start w:val="1"/>
      <w:numFmt w:val="decimal"/>
      <w:lvlText w:val="%4、"/>
      <w:lvlJc w:val="left"/>
      <w:pPr>
        <w:tabs>
          <w:tab w:val="left" w:pos="1980"/>
        </w:tabs>
        <w:ind w:left="1980" w:hanging="720"/>
      </w:pPr>
      <w:rPr>
        <w:rFonts w:hint="eastAsia"/>
      </w:rPr>
    </w:lvl>
    <w:lvl w:ilvl="4" w:tentative="1">
      <w:start w:val="1"/>
      <w:numFmt w:val="japaneseCounting"/>
      <w:lvlText w:val="%5、"/>
      <w:lvlJc w:val="left"/>
      <w:pPr>
        <w:tabs>
          <w:tab w:val="left" w:pos="2400"/>
        </w:tabs>
        <w:ind w:left="2400" w:hanging="720"/>
      </w:pPr>
      <w:rPr>
        <w:rFonts w:hint="eastAsia"/>
      </w:rPr>
    </w:lvl>
    <w:lvl w:ilvl="5" w:tentative="1">
      <w:start w:val="1"/>
      <w:numFmt w:val="decimal"/>
      <w:lvlText w:val="（%6）"/>
      <w:lvlJc w:val="left"/>
      <w:pPr>
        <w:tabs>
          <w:tab w:val="left" w:pos="2820"/>
        </w:tabs>
        <w:ind w:left="2820" w:hanging="720"/>
      </w:pPr>
      <w:rPr>
        <w:rFonts w:hint="eastAsia"/>
      </w:rPr>
    </w:lvl>
    <w:lvl w:ilvl="6" w:tentative="1">
      <w:start w:val="6"/>
      <w:numFmt w:val="japaneseCounting"/>
      <w:lvlText w:val="第%7条"/>
      <w:lvlJc w:val="left"/>
      <w:pPr>
        <w:tabs>
          <w:tab w:val="left" w:pos="3375"/>
        </w:tabs>
        <w:ind w:left="3375" w:hanging="855"/>
      </w:pPr>
      <w:rPr>
        <w:rFonts w:hint="default" w:hAnsi="宋体"/>
      </w:r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nsid w:val="00000002"/>
    <w:multiLevelType w:val="singleLevel"/>
    <w:tmpl w:val="00000002"/>
    <w:lvl w:ilvl="0" w:tentative="1">
      <w:start w:val="1"/>
      <w:numFmt w:val="decimal"/>
      <w:suff w:val="nothing"/>
      <w:lvlText w:val="%1、"/>
      <w:lvlJc w:val="left"/>
    </w:lvl>
  </w:abstractNum>
  <w:abstractNum w:abstractNumId="779253765">
    <w:nsid w:val="2E727805"/>
    <w:multiLevelType w:val="multilevel"/>
    <w:tmpl w:val="2E727805"/>
    <w:lvl w:ilvl="0" w:tentative="1">
      <w:start w:val="1"/>
      <w:numFmt w:val="japaneseCounting"/>
      <w:lvlText w:val="第%1章"/>
      <w:lvlJc w:val="left"/>
      <w:pPr>
        <w:ind w:left="1080" w:hanging="108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779253765"/>
  </w:num>
  <w:num w:numId="2">
    <w:abstractNumId w:val="11"/>
  </w:num>
  <w:num w:numId="3">
    <w:abstractNumId w:val="1448964125"/>
  </w:num>
  <w:num w:numId="4">
    <w:abstractNumId w:val="1538190256"/>
  </w:num>
  <w:num w:numId="5">
    <w:abstractNumId w:val="7"/>
  </w:num>
  <w:num w:numId="6">
    <w:abstractNumId w:val="839125142"/>
  </w:num>
  <w:num w:numId="7">
    <w:abstractNumId w:val="13"/>
    <w:lvlOverride w:ilvl="0">
      <w:startOverride w:val="1"/>
    </w:lvlOverride>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3B57"/>
    <w:rsid w:val="00007E20"/>
    <w:rsid w:val="00010CFC"/>
    <w:rsid w:val="0001328A"/>
    <w:rsid w:val="00015BF3"/>
    <w:rsid w:val="0001717A"/>
    <w:rsid w:val="00020448"/>
    <w:rsid w:val="000218BB"/>
    <w:rsid w:val="00022645"/>
    <w:rsid w:val="00022E61"/>
    <w:rsid w:val="0002545F"/>
    <w:rsid w:val="000357DA"/>
    <w:rsid w:val="00036B1C"/>
    <w:rsid w:val="00040939"/>
    <w:rsid w:val="00040E59"/>
    <w:rsid w:val="00042276"/>
    <w:rsid w:val="0004405E"/>
    <w:rsid w:val="00047632"/>
    <w:rsid w:val="00050FA4"/>
    <w:rsid w:val="00051696"/>
    <w:rsid w:val="0005373C"/>
    <w:rsid w:val="000546ED"/>
    <w:rsid w:val="0005593D"/>
    <w:rsid w:val="000574DC"/>
    <w:rsid w:val="000637B7"/>
    <w:rsid w:val="00064289"/>
    <w:rsid w:val="00071118"/>
    <w:rsid w:val="00071154"/>
    <w:rsid w:val="000712DA"/>
    <w:rsid w:val="000731BF"/>
    <w:rsid w:val="00082028"/>
    <w:rsid w:val="00084AD8"/>
    <w:rsid w:val="00084C64"/>
    <w:rsid w:val="00085768"/>
    <w:rsid w:val="00091DB8"/>
    <w:rsid w:val="00093472"/>
    <w:rsid w:val="0009378F"/>
    <w:rsid w:val="00094CE3"/>
    <w:rsid w:val="000953B7"/>
    <w:rsid w:val="0009684E"/>
    <w:rsid w:val="000A0384"/>
    <w:rsid w:val="000A10A9"/>
    <w:rsid w:val="000A4EFF"/>
    <w:rsid w:val="000B60E1"/>
    <w:rsid w:val="000C11D5"/>
    <w:rsid w:val="000C3AF1"/>
    <w:rsid w:val="000C4E60"/>
    <w:rsid w:val="000C555E"/>
    <w:rsid w:val="000D0E23"/>
    <w:rsid w:val="000D1E9D"/>
    <w:rsid w:val="000D2824"/>
    <w:rsid w:val="000D3DDE"/>
    <w:rsid w:val="000D43FD"/>
    <w:rsid w:val="000D4559"/>
    <w:rsid w:val="000D4C66"/>
    <w:rsid w:val="000D5785"/>
    <w:rsid w:val="000D791B"/>
    <w:rsid w:val="000E0C76"/>
    <w:rsid w:val="000E137F"/>
    <w:rsid w:val="000E1A70"/>
    <w:rsid w:val="000E2A91"/>
    <w:rsid w:val="000E2CEC"/>
    <w:rsid w:val="000E5E06"/>
    <w:rsid w:val="000E752D"/>
    <w:rsid w:val="000F3263"/>
    <w:rsid w:val="000F4E5E"/>
    <w:rsid w:val="000F6A69"/>
    <w:rsid w:val="000F6E70"/>
    <w:rsid w:val="000F7740"/>
    <w:rsid w:val="00104F75"/>
    <w:rsid w:val="001053D3"/>
    <w:rsid w:val="00110825"/>
    <w:rsid w:val="001120C3"/>
    <w:rsid w:val="00115499"/>
    <w:rsid w:val="0012203B"/>
    <w:rsid w:val="00123494"/>
    <w:rsid w:val="00125EB9"/>
    <w:rsid w:val="00127102"/>
    <w:rsid w:val="001327C9"/>
    <w:rsid w:val="00132F21"/>
    <w:rsid w:val="001350EC"/>
    <w:rsid w:val="00135C0E"/>
    <w:rsid w:val="00135C63"/>
    <w:rsid w:val="0014001F"/>
    <w:rsid w:val="00141E03"/>
    <w:rsid w:val="00141F55"/>
    <w:rsid w:val="001422DD"/>
    <w:rsid w:val="00143796"/>
    <w:rsid w:val="001447E9"/>
    <w:rsid w:val="001519D2"/>
    <w:rsid w:val="001526D1"/>
    <w:rsid w:val="001568BD"/>
    <w:rsid w:val="00156B0B"/>
    <w:rsid w:val="00160DDD"/>
    <w:rsid w:val="00161CCC"/>
    <w:rsid w:val="00163284"/>
    <w:rsid w:val="00165D51"/>
    <w:rsid w:val="001664A2"/>
    <w:rsid w:val="00167CA0"/>
    <w:rsid w:val="00172A27"/>
    <w:rsid w:val="00172FBE"/>
    <w:rsid w:val="00174B2E"/>
    <w:rsid w:val="001778EE"/>
    <w:rsid w:val="00177F1F"/>
    <w:rsid w:val="001803B3"/>
    <w:rsid w:val="0018695C"/>
    <w:rsid w:val="0018794B"/>
    <w:rsid w:val="00193396"/>
    <w:rsid w:val="001949BD"/>
    <w:rsid w:val="001A1EDA"/>
    <w:rsid w:val="001A3111"/>
    <w:rsid w:val="001B4F19"/>
    <w:rsid w:val="001B6B42"/>
    <w:rsid w:val="001B75E2"/>
    <w:rsid w:val="001C1AC9"/>
    <w:rsid w:val="001C394C"/>
    <w:rsid w:val="001C4D38"/>
    <w:rsid w:val="001C5BFA"/>
    <w:rsid w:val="001C5D8C"/>
    <w:rsid w:val="001C7035"/>
    <w:rsid w:val="001C73E0"/>
    <w:rsid w:val="001C7AE8"/>
    <w:rsid w:val="001D1A1E"/>
    <w:rsid w:val="001D3FA2"/>
    <w:rsid w:val="001D717C"/>
    <w:rsid w:val="001E3A39"/>
    <w:rsid w:val="001F0D78"/>
    <w:rsid w:val="001F12CE"/>
    <w:rsid w:val="001F2507"/>
    <w:rsid w:val="001F267B"/>
    <w:rsid w:val="001F35A3"/>
    <w:rsid w:val="001F3F0C"/>
    <w:rsid w:val="001F456F"/>
    <w:rsid w:val="001F5BEF"/>
    <w:rsid w:val="001F6DDD"/>
    <w:rsid w:val="002002BC"/>
    <w:rsid w:val="0020079B"/>
    <w:rsid w:val="0020217D"/>
    <w:rsid w:val="00202681"/>
    <w:rsid w:val="00204D6D"/>
    <w:rsid w:val="00205364"/>
    <w:rsid w:val="002074BA"/>
    <w:rsid w:val="00210424"/>
    <w:rsid w:val="002104CE"/>
    <w:rsid w:val="002108C3"/>
    <w:rsid w:val="00215F1F"/>
    <w:rsid w:val="00221D33"/>
    <w:rsid w:val="0022422A"/>
    <w:rsid w:val="002311F0"/>
    <w:rsid w:val="0023169E"/>
    <w:rsid w:val="0023604A"/>
    <w:rsid w:val="002361DC"/>
    <w:rsid w:val="00241117"/>
    <w:rsid w:val="00242EBF"/>
    <w:rsid w:val="00244B00"/>
    <w:rsid w:val="00246D97"/>
    <w:rsid w:val="0025126A"/>
    <w:rsid w:val="00251B9E"/>
    <w:rsid w:val="00252966"/>
    <w:rsid w:val="00252D33"/>
    <w:rsid w:val="002555FF"/>
    <w:rsid w:val="002608D2"/>
    <w:rsid w:val="0026149C"/>
    <w:rsid w:val="002635A5"/>
    <w:rsid w:val="00266259"/>
    <w:rsid w:val="0027120B"/>
    <w:rsid w:val="00273034"/>
    <w:rsid w:val="00273C2D"/>
    <w:rsid w:val="00276C14"/>
    <w:rsid w:val="00277BEA"/>
    <w:rsid w:val="00283F50"/>
    <w:rsid w:val="00284025"/>
    <w:rsid w:val="00285936"/>
    <w:rsid w:val="00287A89"/>
    <w:rsid w:val="00291722"/>
    <w:rsid w:val="00292E4E"/>
    <w:rsid w:val="00294891"/>
    <w:rsid w:val="00295C73"/>
    <w:rsid w:val="00296B97"/>
    <w:rsid w:val="00296EC7"/>
    <w:rsid w:val="002A103B"/>
    <w:rsid w:val="002A14DB"/>
    <w:rsid w:val="002A1785"/>
    <w:rsid w:val="002A2F5F"/>
    <w:rsid w:val="002A3034"/>
    <w:rsid w:val="002A344D"/>
    <w:rsid w:val="002A5F23"/>
    <w:rsid w:val="002A76A7"/>
    <w:rsid w:val="002B2E98"/>
    <w:rsid w:val="002B2EFF"/>
    <w:rsid w:val="002B3EC3"/>
    <w:rsid w:val="002B49A3"/>
    <w:rsid w:val="002C009B"/>
    <w:rsid w:val="002C050F"/>
    <w:rsid w:val="002C082B"/>
    <w:rsid w:val="002C0C0A"/>
    <w:rsid w:val="002C56F1"/>
    <w:rsid w:val="002C5C93"/>
    <w:rsid w:val="002D1991"/>
    <w:rsid w:val="002D1AB6"/>
    <w:rsid w:val="002D3024"/>
    <w:rsid w:val="002D33B2"/>
    <w:rsid w:val="002D44BE"/>
    <w:rsid w:val="002D4652"/>
    <w:rsid w:val="002D50BE"/>
    <w:rsid w:val="002D5A56"/>
    <w:rsid w:val="002E1763"/>
    <w:rsid w:val="002E65CD"/>
    <w:rsid w:val="002E72A9"/>
    <w:rsid w:val="002E789E"/>
    <w:rsid w:val="003031CB"/>
    <w:rsid w:val="00305857"/>
    <w:rsid w:val="003108E0"/>
    <w:rsid w:val="00311136"/>
    <w:rsid w:val="00314F03"/>
    <w:rsid w:val="003235E7"/>
    <w:rsid w:val="00324589"/>
    <w:rsid w:val="00325BDE"/>
    <w:rsid w:val="003260FB"/>
    <w:rsid w:val="00330559"/>
    <w:rsid w:val="0033194A"/>
    <w:rsid w:val="00331AA3"/>
    <w:rsid w:val="00331CD1"/>
    <w:rsid w:val="0033313E"/>
    <w:rsid w:val="00333CDC"/>
    <w:rsid w:val="00336A79"/>
    <w:rsid w:val="003439DE"/>
    <w:rsid w:val="0034651F"/>
    <w:rsid w:val="00346709"/>
    <w:rsid w:val="00347A5D"/>
    <w:rsid w:val="0035439A"/>
    <w:rsid w:val="00361EE2"/>
    <w:rsid w:val="00364A5F"/>
    <w:rsid w:val="0036535D"/>
    <w:rsid w:val="0036583B"/>
    <w:rsid w:val="00366E0D"/>
    <w:rsid w:val="0036743D"/>
    <w:rsid w:val="00374F5B"/>
    <w:rsid w:val="003751B0"/>
    <w:rsid w:val="003757C7"/>
    <w:rsid w:val="00377996"/>
    <w:rsid w:val="00380B5A"/>
    <w:rsid w:val="00381665"/>
    <w:rsid w:val="003826B2"/>
    <w:rsid w:val="003851F8"/>
    <w:rsid w:val="003852D3"/>
    <w:rsid w:val="00385498"/>
    <w:rsid w:val="00392745"/>
    <w:rsid w:val="0039296F"/>
    <w:rsid w:val="00395C93"/>
    <w:rsid w:val="0039648E"/>
    <w:rsid w:val="003A3484"/>
    <w:rsid w:val="003A366B"/>
    <w:rsid w:val="003A4ACB"/>
    <w:rsid w:val="003B47DD"/>
    <w:rsid w:val="003B4D0C"/>
    <w:rsid w:val="003B5437"/>
    <w:rsid w:val="003B71A2"/>
    <w:rsid w:val="003C1BB6"/>
    <w:rsid w:val="003C209C"/>
    <w:rsid w:val="003C3FE3"/>
    <w:rsid w:val="003D0570"/>
    <w:rsid w:val="003D2D9C"/>
    <w:rsid w:val="003D382C"/>
    <w:rsid w:val="003D4A91"/>
    <w:rsid w:val="003D72B0"/>
    <w:rsid w:val="003D77F7"/>
    <w:rsid w:val="003E09BA"/>
    <w:rsid w:val="003E15AE"/>
    <w:rsid w:val="003E3E05"/>
    <w:rsid w:val="003E4C5E"/>
    <w:rsid w:val="003E61E4"/>
    <w:rsid w:val="003E6BF6"/>
    <w:rsid w:val="003F47CF"/>
    <w:rsid w:val="003F6CA7"/>
    <w:rsid w:val="003F7750"/>
    <w:rsid w:val="004057B7"/>
    <w:rsid w:val="004137B6"/>
    <w:rsid w:val="00414296"/>
    <w:rsid w:val="00414E6A"/>
    <w:rsid w:val="00415A5F"/>
    <w:rsid w:val="004171DC"/>
    <w:rsid w:val="00421471"/>
    <w:rsid w:val="004228B2"/>
    <w:rsid w:val="00425DCC"/>
    <w:rsid w:val="00427595"/>
    <w:rsid w:val="00431226"/>
    <w:rsid w:val="00432982"/>
    <w:rsid w:val="004341BA"/>
    <w:rsid w:val="004355AE"/>
    <w:rsid w:val="00441074"/>
    <w:rsid w:val="004423D4"/>
    <w:rsid w:val="00442B85"/>
    <w:rsid w:val="00444295"/>
    <w:rsid w:val="00444A48"/>
    <w:rsid w:val="00447627"/>
    <w:rsid w:val="004516F7"/>
    <w:rsid w:val="00452AE8"/>
    <w:rsid w:val="00453189"/>
    <w:rsid w:val="00453C78"/>
    <w:rsid w:val="00453EF1"/>
    <w:rsid w:val="00455192"/>
    <w:rsid w:val="00460E35"/>
    <w:rsid w:val="00462970"/>
    <w:rsid w:val="00463D6A"/>
    <w:rsid w:val="0046447F"/>
    <w:rsid w:val="00464D23"/>
    <w:rsid w:val="00465D0D"/>
    <w:rsid w:val="00467160"/>
    <w:rsid w:val="004701BD"/>
    <w:rsid w:val="0047040A"/>
    <w:rsid w:val="0047326B"/>
    <w:rsid w:val="00473DF4"/>
    <w:rsid w:val="004807D2"/>
    <w:rsid w:val="0048543F"/>
    <w:rsid w:val="00493D67"/>
    <w:rsid w:val="0049584A"/>
    <w:rsid w:val="00496C4D"/>
    <w:rsid w:val="0049733D"/>
    <w:rsid w:val="00497EBC"/>
    <w:rsid w:val="004A0364"/>
    <w:rsid w:val="004A1093"/>
    <w:rsid w:val="004A3862"/>
    <w:rsid w:val="004B2D37"/>
    <w:rsid w:val="004B612E"/>
    <w:rsid w:val="004B63EC"/>
    <w:rsid w:val="004B6888"/>
    <w:rsid w:val="004B68E9"/>
    <w:rsid w:val="004B7537"/>
    <w:rsid w:val="004B7687"/>
    <w:rsid w:val="004C1CD7"/>
    <w:rsid w:val="004C60A5"/>
    <w:rsid w:val="004D36D8"/>
    <w:rsid w:val="004D4481"/>
    <w:rsid w:val="004D5237"/>
    <w:rsid w:val="004D795D"/>
    <w:rsid w:val="004E03C5"/>
    <w:rsid w:val="004E05D0"/>
    <w:rsid w:val="004E7C2B"/>
    <w:rsid w:val="004F31DD"/>
    <w:rsid w:val="004F6880"/>
    <w:rsid w:val="005153DC"/>
    <w:rsid w:val="00520ECB"/>
    <w:rsid w:val="0052197B"/>
    <w:rsid w:val="00523FB7"/>
    <w:rsid w:val="005244FC"/>
    <w:rsid w:val="005264F2"/>
    <w:rsid w:val="00527DF1"/>
    <w:rsid w:val="0053086F"/>
    <w:rsid w:val="00531678"/>
    <w:rsid w:val="005348C4"/>
    <w:rsid w:val="00534F44"/>
    <w:rsid w:val="00535425"/>
    <w:rsid w:val="00535733"/>
    <w:rsid w:val="00536D65"/>
    <w:rsid w:val="00541793"/>
    <w:rsid w:val="0054239D"/>
    <w:rsid w:val="00544C26"/>
    <w:rsid w:val="00545373"/>
    <w:rsid w:val="00545804"/>
    <w:rsid w:val="0054709E"/>
    <w:rsid w:val="00553902"/>
    <w:rsid w:val="005566EE"/>
    <w:rsid w:val="00557AC9"/>
    <w:rsid w:val="00562706"/>
    <w:rsid w:val="00563798"/>
    <w:rsid w:val="005640D2"/>
    <w:rsid w:val="00565B50"/>
    <w:rsid w:val="00565D66"/>
    <w:rsid w:val="005671AF"/>
    <w:rsid w:val="005774ED"/>
    <w:rsid w:val="005779C4"/>
    <w:rsid w:val="00577A5B"/>
    <w:rsid w:val="00577E3E"/>
    <w:rsid w:val="00581281"/>
    <w:rsid w:val="00581889"/>
    <w:rsid w:val="005906C6"/>
    <w:rsid w:val="00590FC1"/>
    <w:rsid w:val="0059261B"/>
    <w:rsid w:val="00593C2E"/>
    <w:rsid w:val="005950C4"/>
    <w:rsid w:val="00596537"/>
    <w:rsid w:val="00596DAF"/>
    <w:rsid w:val="00596F3E"/>
    <w:rsid w:val="0059755C"/>
    <w:rsid w:val="005A349E"/>
    <w:rsid w:val="005A558B"/>
    <w:rsid w:val="005A6402"/>
    <w:rsid w:val="005B33E7"/>
    <w:rsid w:val="005B59C9"/>
    <w:rsid w:val="005B6838"/>
    <w:rsid w:val="005C176D"/>
    <w:rsid w:val="005C3711"/>
    <w:rsid w:val="005C3A18"/>
    <w:rsid w:val="005C4E50"/>
    <w:rsid w:val="005C5383"/>
    <w:rsid w:val="005C757F"/>
    <w:rsid w:val="005D1743"/>
    <w:rsid w:val="005D1DE7"/>
    <w:rsid w:val="005D2075"/>
    <w:rsid w:val="005D620E"/>
    <w:rsid w:val="005D63BB"/>
    <w:rsid w:val="005D6DED"/>
    <w:rsid w:val="005D7AD4"/>
    <w:rsid w:val="005E05B2"/>
    <w:rsid w:val="005E23DA"/>
    <w:rsid w:val="005E3A91"/>
    <w:rsid w:val="005E7812"/>
    <w:rsid w:val="005E7878"/>
    <w:rsid w:val="005F026B"/>
    <w:rsid w:val="005F1069"/>
    <w:rsid w:val="005F3167"/>
    <w:rsid w:val="005F36FC"/>
    <w:rsid w:val="005F46C3"/>
    <w:rsid w:val="005F5C6E"/>
    <w:rsid w:val="0060127C"/>
    <w:rsid w:val="006033D2"/>
    <w:rsid w:val="00611771"/>
    <w:rsid w:val="00612BBD"/>
    <w:rsid w:val="00612E8F"/>
    <w:rsid w:val="006131B1"/>
    <w:rsid w:val="00615A76"/>
    <w:rsid w:val="0061665C"/>
    <w:rsid w:val="0061677A"/>
    <w:rsid w:val="006170A9"/>
    <w:rsid w:val="00617887"/>
    <w:rsid w:val="00617BD4"/>
    <w:rsid w:val="00621C45"/>
    <w:rsid w:val="006228CD"/>
    <w:rsid w:val="0063552E"/>
    <w:rsid w:val="00636481"/>
    <w:rsid w:val="00636983"/>
    <w:rsid w:val="006403B9"/>
    <w:rsid w:val="00640BFA"/>
    <w:rsid w:val="00643024"/>
    <w:rsid w:val="006453B0"/>
    <w:rsid w:val="00646613"/>
    <w:rsid w:val="00650DA6"/>
    <w:rsid w:val="00651CCB"/>
    <w:rsid w:val="00653080"/>
    <w:rsid w:val="00653F15"/>
    <w:rsid w:val="006553B7"/>
    <w:rsid w:val="0066652A"/>
    <w:rsid w:val="00666EC1"/>
    <w:rsid w:val="00667185"/>
    <w:rsid w:val="00670CD2"/>
    <w:rsid w:val="0068125A"/>
    <w:rsid w:val="0068177B"/>
    <w:rsid w:val="00687FB8"/>
    <w:rsid w:val="00696817"/>
    <w:rsid w:val="00697071"/>
    <w:rsid w:val="006A1963"/>
    <w:rsid w:val="006A25B4"/>
    <w:rsid w:val="006B226A"/>
    <w:rsid w:val="006B3B5F"/>
    <w:rsid w:val="006B5D8E"/>
    <w:rsid w:val="006C0417"/>
    <w:rsid w:val="006D2DA4"/>
    <w:rsid w:val="006D43EE"/>
    <w:rsid w:val="006D56B9"/>
    <w:rsid w:val="006D7DE3"/>
    <w:rsid w:val="006E0739"/>
    <w:rsid w:val="006E1C59"/>
    <w:rsid w:val="006E2836"/>
    <w:rsid w:val="006E3C73"/>
    <w:rsid w:val="006E430D"/>
    <w:rsid w:val="006E4B2E"/>
    <w:rsid w:val="006F1D83"/>
    <w:rsid w:val="006F2558"/>
    <w:rsid w:val="006F25D2"/>
    <w:rsid w:val="006F4E85"/>
    <w:rsid w:val="006F5431"/>
    <w:rsid w:val="00703D34"/>
    <w:rsid w:val="00706CFE"/>
    <w:rsid w:val="00710BC1"/>
    <w:rsid w:val="00711F84"/>
    <w:rsid w:val="00713E98"/>
    <w:rsid w:val="007144EE"/>
    <w:rsid w:val="00714F57"/>
    <w:rsid w:val="0071783C"/>
    <w:rsid w:val="00721D36"/>
    <w:rsid w:val="007224F7"/>
    <w:rsid w:val="007224FA"/>
    <w:rsid w:val="00722BA8"/>
    <w:rsid w:val="00724459"/>
    <w:rsid w:val="00724E50"/>
    <w:rsid w:val="007253B5"/>
    <w:rsid w:val="00727134"/>
    <w:rsid w:val="00727837"/>
    <w:rsid w:val="0072787D"/>
    <w:rsid w:val="007302FD"/>
    <w:rsid w:val="00730FA8"/>
    <w:rsid w:val="00731834"/>
    <w:rsid w:val="00731D11"/>
    <w:rsid w:val="00731DE6"/>
    <w:rsid w:val="007330CD"/>
    <w:rsid w:val="00736163"/>
    <w:rsid w:val="007371D5"/>
    <w:rsid w:val="00740434"/>
    <w:rsid w:val="007417FB"/>
    <w:rsid w:val="007426F4"/>
    <w:rsid w:val="0074505B"/>
    <w:rsid w:val="007455DD"/>
    <w:rsid w:val="007519EA"/>
    <w:rsid w:val="0075257D"/>
    <w:rsid w:val="00753A35"/>
    <w:rsid w:val="00753CBF"/>
    <w:rsid w:val="00754688"/>
    <w:rsid w:val="00756925"/>
    <w:rsid w:val="00757623"/>
    <w:rsid w:val="00761DD3"/>
    <w:rsid w:val="00762033"/>
    <w:rsid w:val="00762E56"/>
    <w:rsid w:val="00763A13"/>
    <w:rsid w:val="00763BE3"/>
    <w:rsid w:val="00763ED6"/>
    <w:rsid w:val="00767EB6"/>
    <w:rsid w:val="00776423"/>
    <w:rsid w:val="007804AC"/>
    <w:rsid w:val="0078164B"/>
    <w:rsid w:val="00781B51"/>
    <w:rsid w:val="00782CF6"/>
    <w:rsid w:val="00783B83"/>
    <w:rsid w:val="00784112"/>
    <w:rsid w:val="0078439C"/>
    <w:rsid w:val="0078649D"/>
    <w:rsid w:val="00786AED"/>
    <w:rsid w:val="007921AE"/>
    <w:rsid w:val="00796548"/>
    <w:rsid w:val="007A069E"/>
    <w:rsid w:val="007A489B"/>
    <w:rsid w:val="007A53D1"/>
    <w:rsid w:val="007A6282"/>
    <w:rsid w:val="007A6373"/>
    <w:rsid w:val="007B1497"/>
    <w:rsid w:val="007B6E6D"/>
    <w:rsid w:val="007C0193"/>
    <w:rsid w:val="007C055D"/>
    <w:rsid w:val="007C2861"/>
    <w:rsid w:val="007C485D"/>
    <w:rsid w:val="007C4D8C"/>
    <w:rsid w:val="007C564D"/>
    <w:rsid w:val="007C568F"/>
    <w:rsid w:val="007C5BFB"/>
    <w:rsid w:val="007C5C48"/>
    <w:rsid w:val="007D067D"/>
    <w:rsid w:val="007D1963"/>
    <w:rsid w:val="007D2287"/>
    <w:rsid w:val="007D2957"/>
    <w:rsid w:val="007D3173"/>
    <w:rsid w:val="007E2D92"/>
    <w:rsid w:val="007E370F"/>
    <w:rsid w:val="007E7DAE"/>
    <w:rsid w:val="00800950"/>
    <w:rsid w:val="00806136"/>
    <w:rsid w:val="008079DE"/>
    <w:rsid w:val="008100FC"/>
    <w:rsid w:val="00811B6B"/>
    <w:rsid w:val="0081375F"/>
    <w:rsid w:val="008154C0"/>
    <w:rsid w:val="0082033D"/>
    <w:rsid w:val="00820524"/>
    <w:rsid w:val="00821C24"/>
    <w:rsid w:val="00822609"/>
    <w:rsid w:val="00822DA5"/>
    <w:rsid w:val="00823109"/>
    <w:rsid w:val="0082776A"/>
    <w:rsid w:val="008307EC"/>
    <w:rsid w:val="008309E4"/>
    <w:rsid w:val="00831D0D"/>
    <w:rsid w:val="008326CC"/>
    <w:rsid w:val="00840CB0"/>
    <w:rsid w:val="00841430"/>
    <w:rsid w:val="008438B8"/>
    <w:rsid w:val="00843AE5"/>
    <w:rsid w:val="00843CDA"/>
    <w:rsid w:val="008471DC"/>
    <w:rsid w:val="00847645"/>
    <w:rsid w:val="00847D6B"/>
    <w:rsid w:val="00851EB4"/>
    <w:rsid w:val="00853212"/>
    <w:rsid w:val="0085401C"/>
    <w:rsid w:val="00857384"/>
    <w:rsid w:val="00857591"/>
    <w:rsid w:val="00860AB0"/>
    <w:rsid w:val="008616EF"/>
    <w:rsid w:val="00862F0C"/>
    <w:rsid w:val="00864178"/>
    <w:rsid w:val="008657B7"/>
    <w:rsid w:val="00866219"/>
    <w:rsid w:val="00876674"/>
    <w:rsid w:val="008773F0"/>
    <w:rsid w:val="00877B4A"/>
    <w:rsid w:val="00885563"/>
    <w:rsid w:val="0089039A"/>
    <w:rsid w:val="0089296F"/>
    <w:rsid w:val="00894F54"/>
    <w:rsid w:val="0089767C"/>
    <w:rsid w:val="008A2F9E"/>
    <w:rsid w:val="008A60FC"/>
    <w:rsid w:val="008B0651"/>
    <w:rsid w:val="008B522E"/>
    <w:rsid w:val="008B54C7"/>
    <w:rsid w:val="008B6CBD"/>
    <w:rsid w:val="008C014C"/>
    <w:rsid w:val="008C0391"/>
    <w:rsid w:val="008C18A3"/>
    <w:rsid w:val="008D5D86"/>
    <w:rsid w:val="008E317D"/>
    <w:rsid w:val="008E6ACB"/>
    <w:rsid w:val="008F12DC"/>
    <w:rsid w:val="008F4B15"/>
    <w:rsid w:val="008F59EC"/>
    <w:rsid w:val="008F692F"/>
    <w:rsid w:val="00900B65"/>
    <w:rsid w:val="0090140B"/>
    <w:rsid w:val="0090225B"/>
    <w:rsid w:val="00905DF5"/>
    <w:rsid w:val="00906D4F"/>
    <w:rsid w:val="00907711"/>
    <w:rsid w:val="00913DBC"/>
    <w:rsid w:val="00915757"/>
    <w:rsid w:val="00916AA3"/>
    <w:rsid w:val="00917FA0"/>
    <w:rsid w:val="009207C5"/>
    <w:rsid w:val="00920A2E"/>
    <w:rsid w:val="00921128"/>
    <w:rsid w:val="009226F7"/>
    <w:rsid w:val="00923900"/>
    <w:rsid w:val="0092406D"/>
    <w:rsid w:val="00924EA0"/>
    <w:rsid w:val="00925AB3"/>
    <w:rsid w:val="00927CEA"/>
    <w:rsid w:val="009309F3"/>
    <w:rsid w:val="009364AF"/>
    <w:rsid w:val="009379F6"/>
    <w:rsid w:val="00951707"/>
    <w:rsid w:val="009527A3"/>
    <w:rsid w:val="00952F3A"/>
    <w:rsid w:val="009535F7"/>
    <w:rsid w:val="0095482E"/>
    <w:rsid w:val="0095622E"/>
    <w:rsid w:val="0096003B"/>
    <w:rsid w:val="009602FD"/>
    <w:rsid w:val="009626DA"/>
    <w:rsid w:val="00967D66"/>
    <w:rsid w:val="00972526"/>
    <w:rsid w:val="009730FD"/>
    <w:rsid w:val="00973680"/>
    <w:rsid w:val="00975050"/>
    <w:rsid w:val="00976A89"/>
    <w:rsid w:val="00984298"/>
    <w:rsid w:val="0098491C"/>
    <w:rsid w:val="00985FBA"/>
    <w:rsid w:val="00987094"/>
    <w:rsid w:val="0098733F"/>
    <w:rsid w:val="00993D16"/>
    <w:rsid w:val="00997CC6"/>
    <w:rsid w:val="009A03EC"/>
    <w:rsid w:val="009A1306"/>
    <w:rsid w:val="009A3FD9"/>
    <w:rsid w:val="009A51F4"/>
    <w:rsid w:val="009A79A2"/>
    <w:rsid w:val="009A7A64"/>
    <w:rsid w:val="009B03EA"/>
    <w:rsid w:val="009B308A"/>
    <w:rsid w:val="009B3534"/>
    <w:rsid w:val="009B4549"/>
    <w:rsid w:val="009B51B7"/>
    <w:rsid w:val="009C0EA5"/>
    <w:rsid w:val="009C12C6"/>
    <w:rsid w:val="009C188E"/>
    <w:rsid w:val="009C3F11"/>
    <w:rsid w:val="009C45F2"/>
    <w:rsid w:val="009C6BDE"/>
    <w:rsid w:val="009C72B9"/>
    <w:rsid w:val="009D2AE6"/>
    <w:rsid w:val="009D3C1B"/>
    <w:rsid w:val="009D4459"/>
    <w:rsid w:val="009D540D"/>
    <w:rsid w:val="009D6076"/>
    <w:rsid w:val="009D658C"/>
    <w:rsid w:val="009E32E7"/>
    <w:rsid w:val="009E3509"/>
    <w:rsid w:val="009E3ABC"/>
    <w:rsid w:val="009E3DE6"/>
    <w:rsid w:val="009E3DFB"/>
    <w:rsid w:val="009E4DA8"/>
    <w:rsid w:val="009F4702"/>
    <w:rsid w:val="00A01CA4"/>
    <w:rsid w:val="00A03605"/>
    <w:rsid w:val="00A03ACB"/>
    <w:rsid w:val="00A048DA"/>
    <w:rsid w:val="00A04D1B"/>
    <w:rsid w:val="00A0716A"/>
    <w:rsid w:val="00A073ED"/>
    <w:rsid w:val="00A07AC7"/>
    <w:rsid w:val="00A11A77"/>
    <w:rsid w:val="00A12186"/>
    <w:rsid w:val="00A200E3"/>
    <w:rsid w:val="00A2236B"/>
    <w:rsid w:val="00A23415"/>
    <w:rsid w:val="00A2370B"/>
    <w:rsid w:val="00A23B98"/>
    <w:rsid w:val="00A244C7"/>
    <w:rsid w:val="00A24BC3"/>
    <w:rsid w:val="00A25DFE"/>
    <w:rsid w:val="00A273B4"/>
    <w:rsid w:val="00A31D60"/>
    <w:rsid w:val="00A32EE7"/>
    <w:rsid w:val="00A3312E"/>
    <w:rsid w:val="00A34B85"/>
    <w:rsid w:val="00A35627"/>
    <w:rsid w:val="00A35D5B"/>
    <w:rsid w:val="00A35DAC"/>
    <w:rsid w:val="00A374D3"/>
    <w:rsid w:val="00A41845"/>
    <w:rsid w:val="00A41BC1"/>
    <w:rsid w:val="00A4631E"/>
    <w:rsid w:val="00A472BE"/>
    <w:rsid w:val="00A52359"/>
    <w:rsid w:val="00A548F5"/>
    <w:rsid w:val="00A5507F"/>
    <w:rsid w:val="00A55E87"/>
    <w:rsid w:val="00A5658D"/>
    <w:rsid w:val="00A62C68"/>
    <w:rsid w:val="00A66A9A"/>
    <w:rsid w:val="00A73829"/>
    <w:rsid w:val="00A77A6E"/>
    <w:rsid w:val="00A80CA3"/>
    <w:rsid w:val="00A83BD1"/>
    <w:rsid w:val="00A855CB"/>
    <w:rsid w:val="00A867D1"/>
    <w:rsid w:val="00A92B43"/>
    <w:rsid w:val="00A933AF"/>
    <w:rsid w:val="00A9530B"/>
    <w:rsid w:val="00A95F89"/>
    <w:rsid w:val="00AA14D5"/>
    <w:rsid w:val="00AA423B"/>
    <w:rsid w:val="00AA47BB"/>
    <w:rsid w:val="00AA5772"/>
    <w:rsid w:val="00AA5C96"/>
    <w:rsid w:val="00AB0D4A"/>
    <w:rsid w:val="00AB0F5E"/>
    <w:rsid w:val="00AB2645"/>
    <w:rsid w:val="00AB35EF"/>
    <w:rsid w:val="00AB363C"/>
    <w:rsid w:val="00AB3CE4"/>
    <w:rsid w:val="00AB5320"/>
    <w:rsid w:val="00AC3F77"/>
    <w:rsid w:val="00AC5F2B"/>
    <w:rsid w:val="00AC7BB8"/>
    <w:rsid w:val="00AC7E44"/>
    <w:rsid w:val="00AD1210"/>
    <w:rsid w:val="00AD2D2E"/>
    <w:rsid w:val="00AD2F7B"/>
    <w:rsid w:val="00AD482E"/>
    <w:rsid w:val="00AE0E25"/>
    <w:rsid w:val="00AE11AB"/>
    <w:rsid w:val="00AE1694"/>
    <w:rsid w:val="00AE25D3"/>
    <w:rsid w:val="00AE2C61"/>
    <w:rsid w:val="00AE3631"/>
    <w:rsid w:val="00AE6CD2"/>
    <w:rsid w:val="00AF0771"/>
    <w:rsid w:val="00AF14D9"/>
    <w:rsid w:val="00AF374C"/>
    <w:rsid w:val="00AF37EF"/>
    <w:rsid w:val="00AF3BB1"/>
    <w:rsid w:val="00AF421C"/>
    <w:rsid w:val="00AF489B"/>
    <w:rsid w:val="00AF69FB"/>
    <w:rsid w:val="00AF77CB"/>
    <w:rsid w:val="00AF7962"/>
    <w:rsid w:val="00B01277"/>
    <w:rsid w:val="00B02FC3"/>
    <w:rsid w:val="00B0387C"/>
    <w:rsid w:val="00B039E8"/>
    <w:rsid w:val="00B0462B"/>
    <w:rsid w:val="00B157AA"/>
    <w:rsid w:val="00B1583C"/>
    <w:rsid w:val="00B17630"/>
    <w:rsid w:val="00B2035A"/>
    <w:rsid w:val="00B222C5"/>
    <w:rsid w:val="00B24BAC"/>
    <w:rsid w:val="00B25ED0"/>
    <w:rsid w:val="00B26B50"/>
    <w:rsid w:val="00B3161A"/>
    <w:rsid w:val="00B32A48"/>
    <w:rsid w:val="00B330BB"/>
    <w:rsid w:val="00B45A76"/>
    <w:rsid w:val="00B47A2E"/>
    <w:rsid w:val="00B500DB"/>
    <w:rsid w:val="00B51DA0"/>
    <w:rsid w:val="00B525BA"/>
    <w:rsid w:val="00B52E57"/>
    <w:rsid w:val="00B533D7"/>
    <w:rsid w:val="00B559D4"/>
    <w:rsid w:val="00B56AA3"/>
    <w:rsid w:val="00B57806"/>
    <w:rsid w:val="00B6027F"/>
    <w:rsid w:val="00B628FE"/>
    <w:rsid w:val="00B66BA5"/>
    <w:rsid w:val="00B80F0A"/>
    <w:rsid w:val="00B81D44"/>
    <w:rsid w:val="00B8239E"/>
    <w:rsid w:val="00B82BED"/>
    <w:rsid w:val="00B85725"/>
    <w:rsid w:val="00B85C31"/>
    <w:rsid w:val="00B85D16"/>
    <w:rsid w:val="00B86622"/>
    <w:rsid w:val="00B945C8"/>
    <w:rsid w:val="00BA0833"/>
    <w:rsid w:val="00BA3267"/>
    <w:rsid w:val="00BA329B"/>
    <w:rsid w:val="00BA3C12"/>
    <w:rsid w:val="00BA420B"/>
    <w:rsid w:val="00BA437D"/>
    <w:rsid w:val="00BA5623"/>
    <w:rsid w:val="00BA60AF"/>
    <w:rsid w:val="00BA7F72"/>
    <w:rsid w:val="00BB2F0D"/>
    <w:rsid w:val="00BB3A9C"/>
    <w:rsid w:val="00BB5A0A"/>
    <w:rsid w:val="00BB6038"/>
    <w:rsid w:val="00BB6826"/>
    <w:rsid w:val="00BC263C"/>
    <w:rsid w:val="00BC281C"/>
    <w:rsid w:val="00BC5787"/>
    <w:rsid w:val="00BD3C4D"/>
    <w:rsid w:val="00BD5310"/>
    <w:rsid w:val="00BE1E91"/>
    <w:rsid w:val="00BE241C"/>
    <w:rsid w:val="00BE57ED"/>
    <w:rsid w:val="00BE6E3A"/>
    <w:rsid w:val="00BE6F9E"/>
    <w:rsid w:val="00BE795F"/>
    <w:rsid w:val="00BF0124"/>
    <w:rsid w:val="00BF0DBF"/>
    <w:rsid w:val="00BF0DDC"/>
    <w:rsid w:val="00BF62D0"/>
    <w:rsid w:val="00C000CD"/>
    <w:rsid w:val="00C0170E"/>
    <w:rsid w:val="00C02DB7"/>
    <w:rsid w:val="00C07958"/>
    <w:rsid w:val="00C11056"/>
    <w:rsid w:val="00C11984"/>
    <w:rsid w:val="00C1713E"/>
    <w:rsid w:val="00C2201A"/>
    <w:rsid w:val="00C22D76"/>
    <w:rsid w:val="00C2365F"/>
    <w:rsid w:val="00C2565A"/>
    <w:rsid w:val="00C32CEF"/>
    <w:rsid w:val="00C3697E"/>
    <w:rsid w:val="00C369DA"/>
    <w:rsid w:val="00C40A40"/>
    <w:rsid w:val="00C421F6"/>
    <w:rsid w:val="00C43B21"/>
    <w:rsid w:val="00C43D3D"/>
    <w:rsid w:val="00C444B3"/>
    <w:rsid w:val="00C45039"/>
    <w:rsid w:val="00C5054A"/>
    <w:rsid w:val="00C51122"/>
    <w:rsid w:val="00C51B3B"/>
    <w:rsid w:val="00C53A74"/>
    <w:rsid w:val="00C56BA4"/>
    <w:rsid w:val="00C60575"/>
    <w:rsid w:val="00C609DD"/>
    <w:rsid w:val="00C619E0"/>
    <w:rsid w:val="00C66B05"/>
    <w:rsid w:val="00C67072"/>
    <w:rsid w:val="00C67F2A"/>
    <w:rsid w:val="00C742E9"/>
    <w:rsid w:val="00C752A3"/>
    <w:rsid w:val="00C76627"/>
    <w:rsid w:val="00C77403"/>
    <w:rsid w:val="00C80EE6"/>
    <w:rsid w:val="00C814EE"/>
    <w:rsid w:val="00C81935"/>
    <w:rsid w:val="00C81C74"/>
    <w:rsid w:val="00C82076"/>
    <w:rsid w:val="00C83BA9"/>
    <w:rsid w:val="00C85B4E"/>
    <w:rsid w:val="00C87F8F"/>
    <w:rsid w:val="00C904C2"/>
    <w:rsid w:val="00C91250"/>
    <w:rsid w:val="00C92DE2"/>
    <w:rsid w:val="00CA0DD8"/>
    <w:rsid w:val="00CA10A5"/>
    <w:rsid w:val="00CA265E"/>
    <w:rsid w:val="00CA3119"/>
    <w:rsid w:val="00CA540E"/>
    <w:rsid w:val="00CB12EF"/>
    <w:rsid w:val="00CB1DA9"/>
    <w:rsid w:val="00CB3E68"/>
    <w:rsid w:val="00CB4B60"/>
    <w:rsid w:val="00CB5B05"/>
    <w:rsid w:val="00CB64F6"/>
    <w:rsid w:val="00CC5CE4"/>
    <w:rsid w:val="00CC6637"/>
    <w:rsid w:val="00CC6681"/>
    <w:rsid w:val="00CD0DF9"/>
    <w:rsid w:val="00CD13A4"/>
    <w:rsid w:val="00CD1FFD"/>
    <w:rsid w:val="00CD3337"/>
    <w:rsid w:val="00CD6592"/>
    <w:rsid w:val="00CD6AFD"/>
    <w:rsid w:val="00CD723C"/>
    <w:rsid w:val="00CE4674"/>
    <w:rsid w:val="00CE55D0"/>
    <w:rsid w:val="00CE65DE"/>
    <w:rsid w:val="00CE6637"/>
    <w:rsid w:val="00CF3962"/>
    <w:rsid w:val="00CF5B32"/>
    <w:rsid w:val="00D001AB"/>
    <w:rsid w:val="00D02863"/>
    <w:rsid w:val="00D03021"/>
    <w:rsid w:val="00D10F22"/>
    <w:rsid w:val="00D1401A"/>
    <w:rsid w:val="00D15D9D"/>
    <w:rsid w:val="00D22243"/>
    <w:rsid w:val="00D23099"/>
    <w:rsid w:val="00D246C9"/>
    <w:rsid w:val="00D24CCE"/>
    <w:rsid w:val="00D277DA"/>
    <w:rsid w:val="00D31562"/>
    <w:rsid w:val="00D3246C"/>
    <w:rsid w:val="00D34AB0"/>
    <w:rsid w:val="00D35DB4"/>
    <w:rsid w:val="00D36D94"/>
    <w:rsid w:val="00D4345C"/>
    <w:rsid w:val="00D45214"/>
    <w:rsid w:val="00D456B2"/>
    <w:rsid w:val="00D47DC8"/>
    <w:rsid w:val="00D505E5"/>
    <w:rsid w:val="00D50F83"/>
    <w:rsid w:val="00D5292C"/>
    <w:rsid w:val="00D578C6"/>
    <w:rsid w:val="00D57C0F"/>
    <w:rsid w:val="00D638B3"/>
    <w:rsid w:val="00D6504E"/>
    <w:rsid w:val="00D658AF"/>
    <w:rsid w:val="00D7041F"/>
    <w:rsid w:val="00D72A62"/>
    <w:rsid w:val="00D74CD6"/>
    <w:rsid w:val="00D75353"/>
    <w:rsid w:val="00D7557E"/>
    <w:rsid w:val="00D7561F"/>
    <w:rsid w:val="00D763D4"/>
    <w:rsid w:val="00D846E7"/>
    <w:rsid w:val="00D86E2D"/>
    <w:rsid w:val="00D87C1C"/>
    <w:rsid w:val="00D9175F"/>
    <w:rsid w:val="00D92FF1"/>
    <w:rsid w:val="00DA5D37"/>
    <w:rsid w:val="00DA7122"/>
    <w:rsid w:val="00DB3488"/>
    <w:rsid w:val="00DB59CB"/>
    <w:rsid w:val="00DB6569"/>
    <w:rsid w:val="00DB6DDA"/>
    <w:rsid w:val="00DB74CB"/>
    <w:rsid w:val="00DB7584"/>
    <w:rsid w:val="00DC250D"/>
    <w:rsid w:val="00DC5935"/>
    <w:rsid w:val="00DC719A"/>
    <w:rsid w:val="00DD4F9A"/>
    <w:rsid w:val="00DD5270"/>
    <w:rsid w:val="00DD661A"/>
    <w:rsid w:val="00DE4BB1"/>
    <w:rsid w:val="00DE4D8D"/>
    <w:rsid w:val="00DF13BD"/>
    <w:rsid w:val="00DF3690"/>
    <w:rsid w:val="00DF3DF1"/>
    <w:rsid w:val="00DF6BAA"/>
    <w:rsid w:val="00DF70A9"/>
    <w:rsid w:val="00E00204"/>
    <w:rsid w:val="00E00ADD"/>
    <w:rsid w:val="00E00FCA"/>
    <w:rsid w:val="00E018B6"/>
    <w:rsid w:val="00E02863"/>
    <w:rsid w:val="00E049C3"/>
    <w:rsid w:val="00E04BB8"/>
    <w:rsid w:val="00E07074"/>
    <w:rsid w:val="00E071FD"/>
    <w:rsid w:val="00E135D6"/>
    <w:rsid w:val="00E14128"/>
    <w:rsid w:val="00E16C55"/>
    <w:rsid w:val="00E21855"/>
    <w:rsid w:val="00E21EA8"/>
    <w:rsid w:val="00E25899"/>
    <w:rsid w:val="00E25E2C"/>
    <w:rsid w:val="00E27723"/>
    <w:rsid w:val="00E27BD2"/>
    <w:rsid w:val="00E30650"/>
    <w:rsid w:val="00E316F2"/>
    <w:rsid w:val="00E34B58"/>
    <w:rsid w:val="00E3658B"/>
    <w:rsid w:val="00E40CCD"/>
    <w:rsid w:val="00E42B82"/>
    <w:rsid w:val="00E47A95"/>
    <w:rsid w:val="00E523FB"/>
    <w:rsid w:val="00E54290"/>
    <w:rsid w:val="00E54A6C"/>
    <w:rsid w:val="00E54DC1"/>
    <w:rsid w:val="00E56A83"/>
    <w:rsid w:val="00E5703C"/>
    <w:rsid w:val="00E61875"/>
    <w:rsid w:val="00E633BD"/>
    <w:rsid w:val="00E6392F"/>
    <w:rsid w:val="00E648C0"/>
    <w:rsid w:val="00E67B1D"/>
    <w:rsid w:val="00E71409"/>
    <w:rsid w:val="00E734CE"/>
    <w:rsid w:val="00E74172"/>
    <w:rsid w:val="00E7667D"/>
    <w:rsid w:val="00E80B96"/>
    <w:rsid w:val="00E80FA2"/>
    <w:rsid w:val="00E87A1C"/>
    <w:rsid w:val="00E9143E"/>
    <w:rsid w:val="00E9150F"/>
    <w:rsid w:val="00E91D7F"/>
    <w:rsid w:val="00E93F2B"/>
    <w:rsid w:val="00E93F68"/>
    <w:rsid w:val="00E9665D"/>
    <w:rsid w:val="00E96B50"/>
    <w:rsid w:val="00EA6DA8"/>
    <w:rsid w:val="00EA7480"/>
    <w:rsid w:val="00EB3730"/>
    <w:rsid w:val="00EB47E4"/>
    <w:rsid w:val="00EB63A3"/>
    <w:rsid w:val="00EB63E8"/>
    <w:rsid w:val="00EB7882"/>
    <w:rsid w:val="00EB7AF7"/>
    <w:rsid w:val="00EC0D71"/>
    <w:rsid w:val="00EC2CF5"/>
    <w:rsid w:val="00EC2EBB"/>
    <w:rsid w:val="00EC3725"/>
    <w:rsid w:val="00EC4822"/>
    <w:rsid w:val="00EC615B"/>
    <w:rsid w:val="00ED14E3"/>
    <w:rsid w:val="00ED2ECF"/>
    <w:rsid w:val="00ED5341"/>
    <w:rsid w:val="00EE01E2"/>
    <w:rsid w:val="00EE0F54"/>
    <w:rsid w:val="00EE1CB6"/>
    <w:rsid w:val="00EE5F52"/>
    <w:rsid w:val="00EF111F"/>
    <w:rsid w:val="00EF1D85"/>
    <w:rsid w:val="00EF1F16"/>
    <w:rsid w:val="00EF4FB6"/>
    <w:rsid w:val="00EF533B"/>
    <w:rsid w:val="00EF56FA"/>
    <w:rsid w:val="00EF614A"/>
    <w:rsid w:val="00F0112D"/>
    <w:rsid w:val="00F01D30"/>
    <w:rsid w:val="00F0504E"/>
    <w:rsid w:val="00F114C7"/>
    <w:rsid w:val="00F12A2D"/>
    <w:rsid w:val="00F14F0C"/>
    <w:rsid w:val="00F24EBF"/>
    <w:rsid w:val="00F258D8"/>
    <w:rsid w:val="00F31641"/>
    <w:rsid w:val="00F3202F"/>
    <w:rsid w:val="00F32639"/>
    <w:rsid w:val="00F3742A"/>
    <w:rsid w:val="00F37CDD"/>
    <w:rsid w:val="00F4062E"/>
    <w:rsid w:val="00F4207F"/>
    <w:rsid w:val="00F47C7B"/>
    <w:rsid w:val="00F52D3E"/>
    <w:rsid w:val="00F54148"/>
    <w:rsid w:val="00F55E13"/>
    <w:rsid w:val="00F6644D"/>
    <w:rsid w:val="00F66AA7"/>
    <w:rsid w:val="00F7430B"/>
    <w:rsid w:val="00F75DBE"/>
    <w:rsid w:val="00F80926"/>
    <w:rsid w:val="00F83512"/>
    <w:rsid w:val="00F84172"/>
    <w:rsid w:val="00F85565"/>
    <w:rsid w:val="00F86A8D"/>
    <w:rsid w:val="00F9179A"/>
    <w:rsid w:val="00F954D5"/>
    <w:rsid w:val="00FA19F0"/>
    <w:rsid w:val="00FA378D"/>
    <w:rsid w:val="00FA5074"/>
    <w:rsid w:val="00FA654B"/>
    <w:rsid w:val="00FB2C2F"/>
    <w:rsid w:val="00FB53B6"/>
    <w:rsid w:val="00FB6CE9"/>
    <w:rsid w:val="00FC0A49"/>
    <w:rsid w:val="00FC3B6D"/>
    <w:rsid w:val="00FC5311"/>
    <w:rsid w:val="00FC56AC"/>
    <w:rsid w:val="00FC7B69"/>
    <w:rsid w:val="00FD0489"/>
    <w:rsid w:val="00FD1043"/>
    <w:rsid w:val="00FD5CD3"/>
    <w:rsid w:val="00FE3EFE"/>
    <w:rsid w:val="00FE6167"/>
    <w:rsid w:val="00FF2366"/>
    <w:rsid w:val="015E4386"/>
    <w:rsid w:val="020F2D5C"/>
    <w:rsid w:val="024163C5"/>
    <w:rsid w:val="02A9205D"/>
    <w:rsid w:val="03100864"/>
    <w:rsid w:val="03FA3648"/>
    <w:rsid w:val="04DC4642"/>
    <w:rsid w:val="04F81DB4"/>
    <w:rsid w:val="050429AF"/>
    <w:rsid w:val="058C2D7B"/>
    <w:rsid w:val="058E7A48"/>
    <w:rsid w:val="05BE62FA"/>
    <w:rsid w:val="065B747D"/>
    <w:rsid w:val="06842132"/>
    <w:rsid w:val="06AF0006"/>
    <w:rsid w:val="0770546B"/>
    <w:rsid w:val="07A92FFF"/>
    <w:rsid w:val="07E00B52"/>
    <w:rsid w:val="082043D0"/>
    <w:rsid w:val="082D18F6"/>
    <w:rsid w:val="08351567"/>
    <w:rsid w:val="08BE18EF"/>
    <w:rsid w:val="09194AB8"/>
    <w:rsid w:val="091C70F6"/>
    <w:rsid w:val="0A222220"/>
    <w:rsid w:val="0AC10A10"/>
    <w:rsid w:val="0AC32834"/>
    <w:rsid w:val="0B655C41"/>
    <w:rsid w:val="0C00511C"/>
    <w:rsid w:val="0C2B3A90"/>
    <w:rsid w:val="0CC0267A"/>
    <w:rsid w:val="0CEA407F"/>
    <w:rsid w:val="0D6A180E"/>
    <w:rsid w:val="0D8E3FCC"/>
    <w:rsid w:val="0D953E5D"/>
    <w:rsid w:val="0DE202F5"/>
    <w:rsid w:val="0DEB3061"/>
    <w:rsid w:val="0E1279AE"/>
    <w:rsid w:val="0E803D5C"/>
    <w:rsid w:val="0EEB2958"/>
    <w:rsid w:val="0F9F0F6F"/>
    <w:rsid w:val="0FC57674"/>
    <w:rsid w:val="0FE92B27"/>
    <w:rsid w:val="10074D95"/>
    <w:rsid w:val="100D6AAF"/>
    <w:rsid w:val="10D900FF"/>
    <w:rsid w:val="10F84285"/>
    <w:rsid w:val="12321767"/>
    <w:rsid w:val="127C66E3"/>
    <w:rsid w:val="12A70420"/>
    <w:rsid w:val="12F85906"/>
    <w:rsid w:val="130828B2"/>
    <w:rsid w:val="144725B8"/>
    <w:rsid w:val="145565AF"/>
    <w:rsid w:val="14832F7A"/>
    <w:rsid w:val="156173A0"/>
    <w:rsid w:val="1573093F"/>
    <w:rsid w:val="158D2DE6"/>
    <w:rsid w:val="158F3BDC"/>
    <w:rsid w:val="15920A50"/>
    <w:rsid w:val="15FB04A4"/>
    <w:rsid w:val="16107839"/>
    <w:rsid w:val="16274226"/>
    <w:rsid w:val="16F7653D"/>
    <w:rsid w:val="17815AB7"/>
    <w:rsid w:val="17CC53B7"/>
    <w:rsid w:val="17F83B61"/>
    <w:rsid w:val="180171CA"/>
    <w:rsid w:val="18062D14"/>
    <w:rsid w:val="18941432"/>
    <w:rsid w:val="18C64AD7"/>
    <w:rsid w:val="1923660C"/>
    <w:rsid w:val="19B43841"/>
    <w:rsid w:val="19C41B53"/>
    <w:rsid w:val="19EA223D"/>
    <w:rsid w:val="19F25FC4"/>
    <w:rsid w:val="1A135155"/>
    <w:rsid w:val="1A384090"/>
    <w:rsid w:val="1AB3725D"/>
    <w:rsid w:val="1AC54F79"/>
    <w:rsid w:val="1AFE63D7"/>
    <w:rsid w:val="1B1E6460"/>
    <w:rsid w:val="1B9A16F1"/>
    <w:rsid w:val="1BD141B1"/>
    <w:rsid w:val="1D066AEF"/>
    <w:rsid w:val="1D143544"/>
    <w:rsid w:val="1D3819D0"/>
    <w:rsid w:val="1E2C5F9D"/>
    <w:rsid w:val="1EA76383"/>
    <w:rsid w:val="1F2A5357"/>
    <w:rsid w:val="1F5D2184"/>
    <w:rsid w:val="1FB3647A"/>
    <w:rsid w:val="1FE40AF5"/>
    <w:rsid w:val="20A86923"/>
    <w:rsid w:val="20BD3045"/>
    <w:rsid w:val="21B13A35"/>
    <w:rsid w:val="22444E3B"/>
    <w:rsid w:val="229B5A7F"/>
    <w:rsid w:val="22B43762"/>
    <w:rsid w:val="232451AE"/>
    <w:rsid w:val="23761F39"/>
    <w:rsid w:val="23A664A9"/>
    <w:rsid w:val="23D800AB"/>
    <w:rsid w:val="2490242A"/>
    <w:rsid w:val="24E66D70"/>
    <w:rsid w:val="25213E33"/>
    <w:rsid w:val="252D1BAE"/>
    <w:rsid w:val="25437031"/>
    <w:rsid w:val="25901CE1"/>
    <w:rsid w:val="26AC2692"/>
    <w:rsid w:val="26DA712D"/>
    <w:rsid w:val="272D45D3"/>
    <w:rsid w:val="273B6F83"/>
    <w:rsid w:val="27BF4F70"/>
    <w:rsid w:val="27C2034A"/>
    <w:rsid w:val="27E43A9C"/>
    <w:rsid w:val="280B22F3"/>
    <w:rsid w:val="289A6D28"/>
    <w:rsid w:val="28A711F2"/>
    <w:rsid w:val="28C85ECC"/>
    <w:rsid w:val="296576F6"/>
    <w:rsid w:val="29767600"/>
    <w:rsid w:val="29FE1E73"/>
    <w:rsid w:val="2A3D0C4C"/>
    <w:rsid w:val="2A876A9E"/>
    <w:rsid w:val="2A8E792D"/>
    <w:rsid w:val="2AA0747E"/>
    <w:rsid w:val="2AAA15A8"/>
    <w:rsid w:val="2BB54AE6"/>
    <w:rsid w:val="2C2A6F85"/>
    <w:rsid w:val="2CB200E7"/>
    <w:rsid w:val="2CB7626D"/>
    <w:rsid w:val="2CC97D88"/>
    <w:rsid w:val="2D0D2526"/>
    <w:rsid w:val="2D1B06DF"/>
    <w:rsid w:val="2D87143F"/>
    <w:rsid w:val="2DB3213F"/>
    <w:rsid w:val="2E155DEA"/>
    <w:rsid w:val="2E6455AA"/>
    <w:rsid w:val="2EA674F5"/>
    <w:rsid w:val="2EB140D5"/>
    <w:rsid w:val="2EB27523"/>
    <w:rsid w:val="2EC56265"/>
    <w:rsid w:val="2EE37DED"/>
    <w:rsid w:val="2F921E5A"/>
    <w:rsid w:val="2FE85327"/>
    <w:rsid w:val="304847C2"/>
    <w:rsid w:val="305E46A6"/>
    <w:rsid w:val="30C65138"/>
    <w:rsid w:val="30FC3062"/>
    <w:rsid w:val="31570E00"/>
    <w:rsid w:val="318F6D5C"/>
    <w:rsid w:val="31BD0C02"/>
    <w:rsid w:val="32274C1C"/>
    <w:rsid w:val="323E62A2"/>
    <w:rsid w:val="327A14D8"/>
    <w:rsid w:val="329D3315"/>
    <w:rsid w:val="32EA1347"/>
    <w:rsid w:val="33740EA5"/>
    <w:rsid w:val="340764EB"/>
    <w:rsid w:val="34224B16"/>
    <w:rsid w:val="3427319D"/>
    <w:rsid w:val="346D1596"/>
    <w:rsid w:val="34B82A8C"/>
    <w:rsid w:val="352C2A4A"/>
    <w:rsid w:val="36DB7248"/>
    <w:rsid w:val="37070261"/>
    <w:rsid w:val="375E6AC1"/>
    <w:rsid w:val="37CC2099"/>
    <w:rsid w:val="38007D4D"/>
    <w:rsid w:val="380419A8"/>
    <w:rsid w:val="385E1E07"/>
    <w:rsid w:val="38F9006A"/>
    <w:rsid w:val="392400CC"/>
    <w:rsid w:val="39240781"/>
    <w:rsid w:val="3A16675B"/>
    <w:rsid w:val="3A9E1B37"/>
    <w:rsid w:val="3B84439B"/>
    <w:rsid w:val="3BA810F0"/>
    <w:rsid w:val="3BAC7AF6"/>
    <w:rsid w:val="3BDF37C8"/>
    <w:rsid w:val="3D245501"/>
    <w:rsid w:val="3D471A96"/>
    <w:rsid w:val="3D7B218F"/>
    <w:rsid w:val="3E1533E8"/>
    <w:rsid w:val="3E733781"/>
    <w:rsid w:val="3EF46872"/>
    <w:rsid w:val="3F464DDE"/>
    <w:rsid w:val="3F744629"/>
    <w:rsid w:val="4034052C"/>
    <w:rsid w:val="40EA2B3B"/>
    <w:rsid w:val="418B5E63"/>
    <w:rsid w:val="41F027BE"/>
    <w:rsid w:val="42B02601"/>
    <w:rsid w:val="42F43172"/>
    <w:rsid w:val="44052221"/>
    <w:rsid w:val="44204C51"/>
    <w:rsid w:val="443424E7"/>
    <w:rsid w:val="447A1E68"/>
    <w:rsid w:val="448F0E23"/>
    <w:rsid w:val="44F466D7"/>
    <w:rsid w:val="45651A65"/>
    <w:rsid w:val="45B27966"/>
    <w:rsid w:val="45DC1766"/>
    <w:rsid w:val="45DD6060"/>
    <w:rsid w:val="46006617"/>
    <w:rsid w:val="464D55E6"/>
    <w:rsid w:val="467A3B2C"/>
    <w:rsid w:val="467C7857"/>
    <w:rsid w:val="46DE0477"/>
    <w:rsid w:val="47A63299"/>
    <w:rsid w:val="484B436B"/>
    <w:rsid w:val="486F660B"/>
    <w:rsid w:val="4875046F"/>
    <w:rsid w:val="489C375D"/>
    <w:rsid w:val="48BB0690"/>
    <w:rsid w:val="48D661E8"/>
    <w:rsid w:val="49244D8F"/>
    <w:rsid w:val="496E2796"/>
    <w:rsid w:val="498F0BBB"/>
    <w:rsid w:val="49BB4F03"/>
    <w:rsid w:val="4A4967FC"/>
    <w:rsid w:val="4AC8497F"/>
    <w:rsid w:val="4ACE1F5C"/>
    <w:rsid w:val="4ADD5C83"/>
    <w:rsid w:val="4AEB622A"/>
    <w:rsid w:val="4AFC3310"/>
    <w:rsid w:val="4B20115D"/>
    <w:rsid w:val="4B433966"/>
    <w:rsid w:val="4B755874"/>
    <w:rsid w:val="4B763087"/>
    <w:rsid w:val="4C057DBA"/>
    <w:rsid w:val="4C671669"/>
    <w:rsid w:val="4CBA7DEE"/>
    <w:rsid w:val="4E1869F4"/>
    <w:rsid w:val="4E8C14BC"/>
    <w:rsid w:val="4E9663FC"/>
    <w:rsid w:val="4EC7398C"/>
    <w:rsid w:val="4EF3327E"/>
    <w:rsid w:val="4EFC70A4"/>
    <w:rsid w:val="4F0F442E"/>
    <w:rsid w:val="4F1A65A4"/>
    <w:rsid w:val="4F290E6D"/>
    <w:rsid w:val="4F580CE2"/>
    <w:rsid w:val="4FBE3A06"/>
    <w:rsid w:val="506256F1"/>
    <w:rsid w:val="50C53E30"/>
    <w:rsid w:val="511F276F"/>
    <w:rsid w:val="51CB39BF"/>
    <w:rsid w:val="53327A8E"/>
    <w:rsid w:val="53C5495E"/>
    <w:rsid w:val="53F579BF"/>
    <w:rsid w:val="54190C85"/>
    <w:rsid w:val="54CE74AF"/>
    <w:rsid w:val="554C2519"/>
    <w:rsid w:val="55712ADC"/>
    <w:rsid w:val="55D447DE"/>
    <w:rsid w:val="56DA0C25"/>
    <w:rsid w:val="5719293D"/>
    <w:rsid w:val="57D55AA3"/>
    <w:rsid w:val="57E26ABC"/>
    <w:rsid w:val="57ED682B"/>
    <w:rsid w:val="58477698"/>
    <w:rsid w:val="584B2C69"/>
    <w:rsid w:val="58790FB3"/>
    <w:rsid w:val="58C7536D"/>
    <w:rsid w:val="59A4671D"/>
    <w:rsid w:val="59D4366C"/>
    <w:rsid w:val="59D714F6"/>
    <w:rsid w:val="59DB57DC"/>
    <w:rsid w:val="59DE5C80"/>
    <w:rsid w:val="5A176A5C"/>
    <w:rsid w:val="5A4D50CE"/>
    <w:rsid w:val="5A5677BB"/>
    <w:rsid w:val="5A882CAD"/>
    <w:rsid w:val="5A913518"/>
    <w:rsid w:val="5AFE34D7"/>
    <w:rsid w:val="5B156281"/>
    <w:rsid w:val="5C236DA6"/>
    <w:rsid w:val="5C936DF0"/>
    <w:rsid w:val="5CE8685C"/>
    <w:rsid w:val="5CFE039F"/>
    <w:rsid w:val="5D012F29"/>
    <w:rsid w:val="5DCD0168"/>
    <w:rsid w:val="5E855BEE"/>
    <w:rsid w:val="5EBB3D58"/>
    <w:rsid w:val="5EC07CE2"/>
    <w:rsid w:val="5F42603D"/>
    <w:rsid w:val="5F6E53B8"/>
    <w:rsid w:val="5F6F5F7E"/>
    <w:rsid w:val="607863AD"/>
    <w:rsid w:val="60E67719"/>
    <w:rsid w:val="61215C6A"/>
    <w:rsid w:val="61343606"/>
    <w:rsid w:val="61407419"/>
    <w:rsid w:val="61731397"/>
    <w:rsid w:val="61A41B52"/>
    <w:rsid w:val="61CD6E4C"/>
    <w:rsid w:val="61ED0555"/>
    <w:rsid w:val="62166B8A"/>
    <w:rsid w:val="628568D5"/>
    <w:rsid w:val="62E93C70"/>
    <w:rsid w:val="63007DF0"/>
    <w:rsid w:val="63420A3C"/>
    <w:rsid w:val="638A735E"/>
    <w:rsid w:val="638F35FB"/>
    <w:rsid w:val="6405004B"/>
    <w:rsid w:val="640C0830"/>
    <w:rsid w:val="640F0617"/>
    <w:rsid w:val="64CD2F01"/>
    <w:rsid w:val="65177DE9"/>
    <w:rsid w:val="65564C81"/>
    <w:rsid w:val="657A6B4E"/>
    <w:rsid w:val="658A6AA3"/>
    <w:rsid w:val="658B39B5"/>
    <w:rsid w:val="65EC10C6"/>
    <w:rsid w:val="661D1216"/>
    <w:rsid w:val="66243C48"/>
    <w:rsid w:val="67217E3E"/>
    <w:rsid w:val="67662B31"/>
    <w:rsid w:val="677724C6"/>
    <w:rsid w:val="684A4429"/>
    <w:rsid w:val="686A6EAF"/>
    <w:rsid w:val="68AA45C9"/>
    <w:rsid w:val="68C71474"/>
    <w:rsid w:val="68F14280"/>
    <w:rsid w:val="69362DAC"/>
    <w:rsid w:val="69383A55"/>
    <w:rsid w:val="69B745FF"/>
    <w:rsid w:val="6AD23D6C"/>
    <w:rsid w:val="6B1E4C5A"/>
    <w:rsid w:val="6C14665D"/>
    <w:rsid w:val="6C2800D7"/>
    <w:rsid w:val="6D0454C0"/>
    <w:rsid w:val="6D172503"/>
    <w:rsid w:val="6D1B140E"/>
    <w:rsid w:val="6D4638C2"/>
    <w:rsid w:val="6D467CD3"/>
    <w:rsid w:val="6D850E3D"/>
    <w:rsid w:val="6DB90012"/>
    <w:rsid w:val="6E324C83"/>
    <w:rsid w:val="6EA6013F"/>
    <w:rsid w:val="6EE90704"/>
    <w:rsid w:val="6F3D462A"/>
    <w:rsid w:val="6F5773C4"/>
    <w:rsid w:val="6F75314A"/>
    <w:rsid w:val="6F9C7FA4"/>
    <w:rsid w:val="70C87915"/>
    <w:rsid w:val="70D46FAB"/>
    <w:rsid w:val="71142BF9"/>
    <w:rsid w:val="71653239"/>
    <w:rsid w:val="71960D98"/>
    <w:rsid w:val="71C24786"/>
    <w:rsid w:val="71D1629F"/>
    <w:rsid w:val="71EE1A89"/>
    <w:rsid w:val="72481879"/>
    <w:rsid w:val="725610CF"/>
    <w:rsid w:val="728F1E42"/>
    <w:rsid w:val="72BD22DF"/>
    <w:rsid w:val="72DB535F"/>
    <w:rsid w:val="731E2BD1"/>
    <w:rsid w:val="736E1745"/>
    <w:rsid w:val="737517D7"/>
    <w:rsid w:val="737E763F"/>
    <w:rsid w:val="744E4474"/>
    <w:rsid w:val="74BC6591"/>
    <w:rsid w:val="75A53C91"/>
    <w:rsid w:val="75C96ACE"/>
    <w:rsid w:val="76EF6D60"/>
    <w:rsid w:val="770D005F"/>
    <w:rsid w:val="771A5176"/>
    <w:rsid w:val="77252929"/>
    <w:rsid w:val="77361ACE"/>
    <w:rsid w:val="773C312D"/>
    <w:rsid w:val="77CC2A1C"/>
    <w:rsid w:val="78AA6B87"/>
    <w:rsid w:val="792067C5"/>
    <w:rsid w:val="795F00AD"/>
    <w:rsid w:val="799B4F12"/>
    <w:rsid w:val="79D5586A"/>
    <w:rsid w:val="7A9B7337"/>
    <w:rsid w:val="7B2873F4"/>
    <w:rsid w:val="7B425546"/>
    <w:rsid w:val="7B532BF8"/>
    <w:rsid w:val="7B623D27"/>
    <w:rsid w:val="7B65370C"/>
    <w:rsid w:val="7B8E2806"/>
    <w:rsid w:val="7BA660F5"/>
    <w:rsid w:val="7BD663DA"/>
    <w:rsid w:val="7D345694"/>
    <w:rsid w:val="7DE45B1A"/>
    <w:rsid w:val="7DF612B7"/>
    <w:rsid w:val="7E173605"/>
    <w:rsid w:val="7E2D6E97"/>
    <w:rsid w:val="7E5106CC"/>
    <w:rsid w:val="7EB2746C"/>
    <w:rsid w:val="7EDD0F4E"/>
    <w:rsid w:val="7F10171A"/>
    <w:rsid w:val="7F1D3298"/>
    <w:rsid w:val="7F257302"/>
    <w:rsid w:val="7F610509"/>
    <w:rsid w:val="7F8348E8"/>
    <w:rsid w:val="7FE02C51"/>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4"/>
        <o:r id="V:Rule2" type="connector" idref="#Group 7"/>
        <o:r id="V:Rule3" type="connector" idref="#AutoShape 8"/>
        <o:r id="V:Rule4" type="connector" idref="#AutoShape 9"/>
        <o:r id="V:Rule5" type="connector" idref="#AutoShape 10"/>
        <o:r id="V:Rule6" type="connector" idref="#AutoShape 11"/>
        <o:r id="V:Rule7" type="connector" idref="#AutoShape 12"/>
        <o:r id="V:Rule8" type="connector" idref="#AutoShape 13"/>
        <o:r id="V:Rule9" type="connector" idref="#Group 14"/>
        <o:r id="V:Rule10" type="connector" idref="#AutoShape 15"/>
        <o:r id="V:Rule11" type="connector" idref="#AutoShape 16"/>
        <o:r id="V:Rule12" type="connector" idref="#AutoShape 17"/>
        <o:r id="V:Rule13" type="connector" idref="#AutoShape 18"/>
        <o:r id="V:Rule14" type="connector" idref="#AutoShape 19"/>
        <o:r id="V:Rule15" type="connector" idref="#AutoShape 20"/>
        <o:r id="V:Rule16" type="connector" idref="#AutoShape 21"/>
        <o:r id="V:Rule17" type="connector" idref="#AutoShape 22"/>
        <o:r id="V:Rule18" type="connector" idref="#AutoShape 23"/>
        <o:r id="V:Rule19" type="connector" idref="#AutoShape 24"/>
        <o:r id="V:Rule20" type="connector" idref="#AutoShape 25"/>
        <o:r id="V:Rule21" type="connector" idref="#AutoShape 26"/>
        <o:r id="V:Rule22" type="connector" idref="#AutoShape 27"/>
        <o:r id="V:Rule23" type="connector" idref="#AutoShape 28"/>
        <o:r id="V:Rule24" type="connector" idref="#AutoShape 29"/>
        <o:r id="V:Rule25" type="connector" idref="#AutoShape 30"/>
        <o:r id="V:Rule26" type="connector" idref="#AutoShape 31"/>
        <o:r id="V:Rule27" type="connector" idref="#AutoShape 32"/>
        <o:r id="V:Rule28" type="connector" idref="#AutoShape 33"/>
        <o:r id="V:Rule29" type="connector" idref="#AutoShape 34"/>
        <o:r id="V:Rule30" type="connector" idref="#AutoShape 35"/>
        <o:r id="V:Rule31" type="connector" idref="#AutoShape 36"/>
        <o:r id="V:Rule32" type="connector" idref="#AutoShape 42"/>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nhideWhenUsed="0" w:uiPriority="39" w:semiHidden="0" w:name="toc 2"/>
    <w:lsdException w:uiPriority="39" w:name="toc 3"/>
    <w:lsdException w:unhideWhenUsed="0" w:uiPriority="0" w:semiHidden="0" w:name="toc 4"/>
    <w:lsdException w:uiPriority="39" w:name="toc 5"/>
    <w:lsdException w:unhideWhenUsed="0" w:uiPriority="0" w:semiHidden="0" w:name="toc 6"/>
    <w:lsdException w:uiPriority="39" w:name="toc 7"/>
    <w:lsdException w:uiPriority="39" w:name="toc 8"/>
    <w:lsdException w:uiPriority="39" w:name="toc 9"/>
    <w:lsdException w:uiPriority="0" w:name="Normal Indent"/>
    <w:lsdException w:uiPriority="0" w:name="footnote text"/>
    <w:lsdException w:uiPriority="99" w:semiHidden="0" w:name="annotation text"/>
    <w:lsdException w:unhideWhenUsed="0"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nhideWhenUsed="0" w:uiPriority="99"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nhideWhenUsed="0" w:uiPriority="0" w:semiHidden="0" w:name="Body Text 2"/>
    <w:lsdException w:uiPriority="0" w:name="Body Text 3"/>
    <w:lsdException w:unhideWhenUsed="0" w:uiPriority="0" w:semiHidden="0" w:name="Body Text Indent 2"/>
    <w:lsdException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99" w:semiHidden="0" w:name="Plain Text"/>
    <w:lsdException w:uiPriority="0" w:name="E-mail Signature"/>
    <w:lsdException w:qFormat="1" w:unhideWhenUsed="0" w:uiPriority="34" w:semiHidden="0" w:nam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8"/>
    <w:qFormat/>
    <w:uiPriority w:val="0"/>
    <w:pPr>
      <w:keepNext/>
      <w:keepLines/>
      <w:spacing w:before="340" w:after="330" w:line="576" w:lineRule="auto"/>
      <w:jc w:val="center"/>
      <w:outlineLvl w:val="0"/>
    </w:pPr>
    <w:rPr>
      <w:b/>
      <w:bCs/>
      <w:kern w:val="44"/>
      <w:sz w:val="44"/>
      <w:szCs w:val="44"/>
    </w:rPr>
  </w:style>
  <w:style w:type="paragraph" w:styleId="3">
    <w:name w:val="heading 2"/>
    <w:basedOn w:val="1"/>
    <w:next w:val="1"/>
    <w:link w:val="45"/>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link w:val="54"/>
    <w:unhideWhenUsed/>
    <w:qFormat/>
    <w:uiPriority w:val="9"/>
    <w:pPr>
      <w:keepNext/>
      <w:keepLines/>
      <w:spacing w:before="260" w:after="260" w:line="416" w:lineRule="auto"/>
      <w:outlineLvl w:val="2"/>
    </w:pPr>
    <w:rPr>
      <w:b/>
      <w:bCs/>
      <w:sz w:val="32"/>
      <w:szCs w:val="32"/>
    </w:rPr>
  </w:style>
  <w:style w:type="paragraph" w:styleId="5">
    <w:name w:val="heading 6"/>
    <w:basedOn w:val="1"/>
    <w:next w:val="1"/>
    <w:link w:val="49"/>
    <w:qFormat/>
    <w:uiPriority w:val="0"/>
    <w:pPr>
      <w:keepNext/>
      <w:keepLines/>
      <w:spacing w:before="240" w:after="64" w:line="317" w:lineRule="auto"/>
      <w:outlineLvl w:val="5"/>
    </w:pPr>
    <w:rPr>
      <w:rFonts w:ascii="Cambria" w:hAnsi="Cambria"/>
      <w:b/>
      <w:bCs/>
      <w:sz w:val="24"/>
    </w:rPr>
  </w:style>
  <w:style w:type="character" w:default="1" w:styleId="24">
    <w:name w:val="Default Paragraph Font"/>
    <w:link w:val="25"/>
    <w:unhideWhenUsed/>
    <w:uiPriority w:val="1"/>
  </w:style>
  <w:style w:type="table" w:default="1" w:styleId="29">
    <w:name w:val="Normal Table"/>
    <w:unhideWhenUsed/>
    <w:qFormat/>
    <w:uiPriority w:val="99"/>
    <w:tblPr>
      <w:tblStyle w:val="29"/>
      <w:tblLayout w:type="fixed"/>
      <w:tblCellMar>
        <w:top w:w="0" w:type="dxa"/>
        <w:left w:w="108" w:type="dxa"/>
        <w:bottom w:w="0" w:type="dxa"/>
        <w:right w:w="108" w:type="dxa"/>
      </w:tblCellMar>
    </w:tblPr>
    <w:tcPr>
      <w:textDirection w:val="lrTb"/>
    </w:tcPr>
  </w:style>
  <w:style w:type="paragraph" w:styleId="6">
    <w:name w:val="annotation subject"/>
    <w:basedOn w:val="7"/>
    <w:next w:val="7"/>
    <w:link w:val="53"/>
    <w:unhideWhenUsed/>
    <w:uiPriority w:val="99"/>
    <w:rPr>
      <w:b/>
      <w:bCs/>
    </w:rPr>
  </w:style>
  <w:style w:type="paragraph" w:styleId="7">
    <w:name w:val="annotation text"/>
    <w:basedOn w:val="1"/>
    <w:link w:val="52"/>
    <w:unhideWhenUsed/>
    <w:uiPriority w:val="99"/>
    <w:pPr>
      <w:jc w:val="left"/>
    </w:pPr>
  </w:style>
  <w:style w:type="paragraph" w:styleId="8">
    <w:name w:val="Document Map"/>
    <w:basedOn w:val="1"/>
    <w:uiPriority w:val="0"/>
    <w:pPr>
      <w:shd w:val="clear" w:color="auto" w:fill="000080"/>
    </w:pPr>
  </w:style>
  <w:style w:type="paragraph" w:styleId="9">
    <w:name w:val="Body Text"/>
    <w:basedOn w:val="1"/>
    <w:link w:val="55"/>
    <w:uiPriority w:val="99"/>
    <w:pPr>
      <w:spacing w:after="120"/>
    </w:pPr>
  </w:style>
  <w:style w:type="paragraph" w:styleId="10">
    <w:name w:val="Body Text Indent"/>
    <w:basedOn w:val="1"/>
    <w:link w:val="46"/>
    <w:uiPriority w:val="0"/>
    <w:pPr>
      <w:spacing w:line="360" w:lineRule="auto"/>
      <w:ind w:right="-108" w:firstLine="720" w:firstLineChars="225"/>
      <w:jc w:val="left"/>
    </w:pPr>
    <w:rPr>
      <w:rFonts w:ascii="仿宋_GB2312" w:eastAsia="仿宋_GB2312"/>
      <w:sz w:val="32"/>
    </w:rPr>
  </w:style>
  <w:style w:type="paragraph" w:styleId="11">
    <w:name w:val="Plain Text"/>
    <w:basedOn w:val="1"/>
    <w:link w:val="56"/>
    <w:uiPriority w:val="99"/>
    <w:rPr>
      <w:rFonts w:hint="eastAsia" w:ascii="宋体" w:hAnsi="Courier New" w:cs="Courier New"/>
      <w:szCs w:val="21"/>
    </w:rPr>
  </w:style>
  <w:style w:type="paragraph" w:styleId="12">
    <w:name w:val="Date"/>
    <w:basedOn w:val="1"/>
    <w:next w:val="1"/>
    <w:uiPriority w:val="0"/>
    <w:pPr>
      <w:ind w:left="100" w:leftChars="2500"/>
    </w:pPr>
  </w:style>
  <w:style w:type="paragraph" w:styleId="13">
    <w:name w:val="Body Text Indent 2"/>
    <w:basedOn w:val="1"/>
    <w:uiPriority w:val="0"/>
    <w:pPr>
      <w:spacing w:after="120" w:line="480" w:lineRule="auto"/>
      <w:ind w:left="420" w:leftChars="200"/>
    </w:pPr>
    <w:rPr>
      <w:szCs w:val="20"/>
    </w:rPr>
  </w:style>
  <w:style w:type="paragraph" w:styleId="14">
    <w:name w:val="Balloon Text"/>
    <w:basedOn w:val="1"/>
    <w:link w:val="42"/>
    <w:uiPriority w:val="0"/>
    <w:rPr>
      <w:sz w:val="18"/>
      <w:szCs w:val="18"/>
    </w:rPr>
  </w:style>
  <w:style w:type="paragraph" w:styleId="15">
    <w:name w:val="footer"/>
    <w:basedOn w:val="1"/>
    <w:link w:val="44"/>
    <w:uiPriority w:val="0"/>
    <w:pPr>
      <w:tabs>
        <w:tab w:val="center" w:pos="4153"/>
        <w:tab w:val="right" w:pos="8306"/>
      </w:tabs>
      <w:snapToGrid w:val="0"/>
      <w:jc w:val="left"/>
    </w:pPr>
    <w:rPr>
      <w:sz w:val="18"/>
      <w:szCs w:val="18"/>
    </w:rPr>
  </w:style>
  <w:style w:type="paragraph" w:styleId="16">
    <w:name w:val="header"/>
    <w:basedOn w:val="1"/>
    <w:link w:val="47"/>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iPriority w:val="39"/>
    <w:pPr>
      <w:tabs>
        <w:tab w:val="right" w:leader="dot" w:pos="8296"/>
      </w:tabs>
      <w:spacing w:line="276" w:lineRule="auto"/>
      <w:jc w:val="center"/>
    </w:pPr>
    <w:rPr>
      <w:rFonts w:eastAsia="仿宋_GB2312"/>
      <w:bCs/>
      <w:spacing w:val="-24"/>
      <w:kern w:val="0"/>
      <w:sz w:val="30"/>
      <w:szCs w:val="30"/>
    </w:rPr>
  </w:style>
  <w:style w:type="paragraph" w:styleId="18">
    <w:name w:val="toc 4"/>
    <w:basedOn w:val="1"/>
    <w:next w:val="1"/>
    <w:uiPriority w:val="0"/>
    <w:pPr>
      <w:ind w:left="1260" w:leftChars="600"/>
    </w:pPr>
  </w:style>
  <w:style w:type="paragraph" w:styleId="19">
    <w:name w:val="toc 6"/>
    <w:basedOn w:val="1"/>
    <w:next w:val="1"/>
    <w:uiPriority w:val="0"/>
    <w:pPr>
      <w:ind w:left="2100" w:leftChars="1000"/>
    </w:pPr>
  </w:style>
  <w:style w:type="paragraph" w:styleId="20">
    <w:name w:val="Body Text Indent 3"/>
    <w:basedOn w:val="1"/>
    <w:link w:val="50"/>
    <w:uiPriority w:val="0"/>
    <w:pPr>
      <w:ind w:firstLine="727" w:firstLineChars="202"/>
    </w:pPr>
    <w:rPr>
      <w:rFonts w:ascii="楷体_GB2312" w:eastAsia="楷体_GB2312"/>
      <w:spacing w:val="20"/>
      <w:kern w:val="15"/>
      <w:sz w:val="32"/>
    </w:rPr>
  </w:style>
  <w:style w:type="paragraph" w:styleId="21">
    <w:name w:val="toc 2"/>
    <w:basedOn w:val="1"/>
    <w:next w:val="1"/>
    <w:uiPriority w:val="39"/>
    <w:pPr>
      <w:tabs>
        <w:tab w:val="left" w:pos="-3261"/>
        <w:tab w:val="left" w:pos="840"/>
        <w:tab w:val="right" w:leader="dot" w:pos="8296"/>
      </w:tabs>
      <w:spacing w:line="276" w:lineRule="auto"/>
      <w:ind w:right="560"/>
    </w:pPr>
    <w:rPr>
      <w:rFonts w:ascii="仿宋_GB2312" w:eastAsia="仿宋_GB2312"/>
      <w:sz w:val="28"/>
      <w:szCs w:val="28"/>
    </w:rPr>
  </w:style>
  <w:style w:type="paragraph" w:styleId="22">
    <w:name w:val="Body Text 2"/>
    <w:basedOn w:val="1"/>
    <w:uiPriority w:val="0"/>
    <w:pPr>
      <w:spacing w:after="120" w:line="480" w:lineRule="auto"/>
    </w:pPr>
  </w:style>
  <w:style w:type="paragraph" w:styleId="23">
    <w:name w:val="Title"/>
    <w:basedOn w:val="1"/>
    <w:next w:val="1"/>
    <w:link w:val="51"/>
    <w:qFormat/>
    <w:uiPriority w:val="0"/>
    <w:pPr>
      <w:spacing w:before="240" w:after="60"/>
      <w:jc w:val="center"/>
      <w:outlineLvl w:val="0"/>
    </w:pPr>
    <w:rPr>
      <w:rFonts w:ascii="Cambria" w:hAnsi="Cambria"/>
      <w:b/>
      <w:bCs/>
      <w:sz w:val="32"/>
      <w:szCs w:val="32"/>
    </w:rPr>
  </w:style>
  <w:style w:type="paragraph" w:customStyle="1" w:styleId="25">
    <w:name w:val=" Char"/>
    <w:basedOn w:val="1"/>
    <w:link w:val="24"/>
    <w:uiPriority w:val="0"/>
    <w:pPr>
      <w:spacing w:line="360" w:lineRule="auto"/>
    </w:pPr>
  </w:style>
  <w:style w:type="character" w:styleId="26">
    <w:name w:val="page number"/>
    <w:basedOn w:val="24"/>
    <w:uiPriority w:val="0"/>
    <w:rPr/>
  </w:style>
  <w:style w:type="character" w:styleId="27">
    <w:name w:val="Hyperlink"/>
    <w:qFormat/>
    <w:uiPriority w:val="99"/>
    <w:rPr>
      <w:color w:val="0000FF"/>
      <w:u w:val="single"/>
    </w:rPr>
  </w:style>
  <w:style w:type="character" w:styleId="28">
    <w:name w:val="annotation reference"/>
    <w:basedOn w:val="24"/>
    <w:unhideWhenUsed/>
    <w:uiPriority w:val="0"/>
    <w:rPr>
      <w:sz w:val="21"/>
      <w:szCs w:val="21"/>
    </w:rPr>
  </w:style>
  <w:style w:type="paragraph" w:customStyle="1" w:styleId="30">
    <w:name w:val="Char"/>
    <w:basedOn w:val="1"/>
    <w:uiPriority w:val="0"/>
  </w:style>
  <w:style w:type="paragraph" w:customStyle="1" w:styleId="31">
    <w:name w:val="6"/>
    <w:basedOn w:val="1"/>
    <w:next w:val="9"/>
    <w:uiPriority w:val="0"/>
    <w:pPr>
      <w:jc w:val="center"/>
    </w:pPr>
    <w:rPr>
      <w:sz w:val="44"/>
    </w:rPr>
  </w:style>
  <w:style w:type="paragraph" w:customStyle="1" w:styleId="32">
    <w:name w:val="Char Char Char1 Char Char Char Char"/>
    <w:basedOn w:val="1"/>
    <w:qFormat/>
    <w:uiPriority w:val="0"/>
    <w:rPr>
      <w:rFonts w:ascii="宋体" w:hAnsi="宋体" w:cs="Courier New"/>
      <w:sz w:val="32"/>
      <w:szCs w:val="32"/>
    </w:rPr>
  </w:style>
  <w:style w:type="paragraph" w:customStyle="1" w:styleId="33">
    <w:name w:val="页眉1"/>
    <w:basedOn w:val="1"/>
    <w:link w:val="43"/>
    <w:uiPriority w:val="0"/>
    <w:pPr>
      <w:pBdr>
        <w:bottom w:val="single" w:color="auto" w:sz="6" w:space="1"/>
      </w:pBdr>
      <w:tabs>
        <w:tab w:val="center" w:pos="4153"/>
        <w:tab w:val="right" w:pos="8306"/>
      </w:tabs>
      <w:snapToGrid w:val="0"/>
      <w:jc w:val="center"/>
    </w:pPr>
    <w:rPr>
      <w:sz w:val="18"/>
      <w:szCs w:val="18"/>
    </w:rPr>
  </w:style>
  <w:style w:type="paragraph" w:customStyle="1" w:styleId="34">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列出段落1"/>
    <w:basedOn w:val="1"/>
    <w:qFormat/>
    <w:uiPriority w:val="0"/>
    <w:pPr>
      <w:ind w:firstLine="420" w:firstLineChars="200"/>
    </w:pPr>
    <w:rPr>
      <w:rFonts w:ascii="Calibri" w:hAnsi="Calibri"/>
      <w:szCs w:val="22"/>
    </w:rPr>
  </w:style>
  <w:style w:type="paragraph" w:customStyle="1" w:styleId="36">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37">
    <w:name w:val="四号"/>
    <w:basedOn w:val="1"/>
    <w:qFormat/>
    <w:uiPriority w:val="0"/>
    <w:pPr>
      <w:overflowPunct w:val="0"/>
      <w:spacing w:line="360" w:lineRule="auto"/>
      <w:jc w:val="left"/>
      <w:textAlignment w:val="baseline"/>
    </w:pPr>
    <w:rPr>
      <w:sz w:val="28"/>
      <w:szCs w:val="20"/>
    </w:rPr>
  </w:style>
  <w:style w:type="paragraph" w:customStyle="1" w:styleId="38">
    <w:name w:val="样式1"/>
    <w:basedOn w:val="4"/>
    <w:uiPriority w:val="0"/>
    <w:pPr>
      <w:tabs>
        <w:tab w:val="left" w:pos="-60"/>
      </w:tabs>
      <w:spacing w:before="0" w:after="0" w:line="240" w:lineRule="exact"/>
      <w:ind w:left="-60" w:firstLine="420"/>
    </w:pPr>
    <w:rPr>
      <w:rFonts w:eastAsia="仿宋_GB2312"/>
      <w:b w:val="0"/>
      <w:bCs w:val="0"/>
      <w:sz w:val="28"/>
      <w:szCs w:val="20"/>
    </w:rPr>
  </w:style>
  <w:style w:type="paragraph" w:customStyle="1" w:styleId="39">
    <w:name w:val="Char Char Char Char Char Char"/>
    <w:basedOn w:val="1"/>
    <w:uiPriority w:val="0"/>
    <w:rPr>
      <w:rFonts w:ascii="仿宋_GB2312" w:eastAsia="仿宋_GB2312"/>
      <w:sz w:val="32"/>
      <w:szCs w:val="32"/>
    </w:rPr>
  </w:style>
  <w:style w:type="paragraph" w:customStyle="1" w:styleId="40">
    <w:name w:val="列出段落11"/>
    <w:basedOn w:val="1"/>
    <w:uiPriority w:val="0"/>
    <w:pPr>
      <w:ind w:firstLine="420" w:firstLineChars="200"/>
    </w:pPr>
    <w:rPr>
      <w:szCs w:val="20"/>
    </w:rPr>
  </w:style>
  <w:style w:type="paragraph" w:styleId="41">
    <w:name w:val=""/>
    <w:basedOn w:val="1"/>
    <w:qFormat/>
    <w:uiPriority w:val="34"/>
    <w:pPr>
      <w:ind w:firstLine="420" w:firstLineChars="200"/>
    </w:pPr>
    <w:rPr>
      <w:rFonts w:ascii="Calibri" w:hAnsi="Calibri" w:eastAsia="宋体" w:cs="Times New Roman"/>
      <w:szCs w:val="22"/>
    </w:rPr>
  </w:style>
  <w:style w:type="character" w:customStyle="1" w:styleId="42">
    <w:name w:val="批注框文本 Char"/>
    <w:link w:val="14"/>
    <w:uiPriority w:val="0"/>
    <w:rPr>
      <w:kern w:val="2"/>
      <w:sz w:val="18"/>
      <w:szCs w:val="18"/>
    </w:rPr>
  </w:style>
  <w:style w:type="character" w:customStyle="1" w:styleId="43">
    <w:name w:val="页眉 Char"/>
    <w:link w:val="33"/>
    <w:uiPriority w:val="0"/>
    <w:rPr>
      <w:rFonts w:eastAsia="宋体"/>
      <w:kern w:val="2"/>
      <w:sz w:val="18"/>
      <w:szCs w:val="18"/>
      <w:lang w:val="en-US" w:eastAsia="zh-CN" w:bidi="ar-SA"/>
    </w:rPr>
  </w:style>
  <w:style w:type="character" w:customStyle="1" w:styleId="44">
    <w:name w:val="页脚 Char"/>
    <w:link w:val="15"/>
    <w:uiPriority w:val="0"/>
    <w:rPr>
      <w:kern w:val="2"/>
      <w:sz w:val="18"/>
      <w:szCs w:val="18"/>
    </w:rPr>
  </w:style>
  <w:style w:type="character" w:customStyle="1" w:styleId="45">
    <w:name w:val="标题 2 Char"/>
    <w:link w:val="3"/>
    <w:uiPriority w:val="0"/>
    <w:rPr>
      <w:rFonts w:ascii="Arial" w:hAnsi="Arial" w:eastAsia="黑体"/>
      <w:b/>
      <w:bCs/>
      <w:kern w:val="2"/>
      <w:sz w:val="32"/>
      <w:szCs w:val="32"/>
    </w:rPr>
  </w:style>
  <w:style w:type="character" w:customStyle="1" w:styleId="46">
    <w:name w:val="正文文本缩进 Char"/>
    <w:link w:val="10"/>
    <w:qFormat/>
    <w:uiPriority w:val="0"/>
    <w:rPr>
      <w:rFonts w:ascii="仿宋_GB2312" w:eastAsia="仿宋_GB2312"/>
      <w:kern w:val="2"/>
      <w:sz w:val="32"/>
      <w:szCs w:val="24"/>
    </w:rPr>
  </w:style>
  <w:style w:type="character" w:customStyle="1" w:styleId="47">
    <w:name w:val="页眉 Char1"/>
    <w:link w:val="16"/>
    <w:uiPriority w:val="0"/>
    <w:rPr>
      <w:kern w:val="2"/>
      <w:sz w:val="18"/>
      <w:szCs w:val="18"/>
    </w:rPr>
  </w:style>
  <w:style w:type="character" w:customStyle="1" w:styleId="48">
    <w:name w:val="标题 1 Char"/>
    <w:link w:val="2"/>
    <w:qFormat/>
    <w:uiPriority w:val="0"/>
    <w:rPr>
      <w:rFonts w:eastAsia="宋体"/>
      <w:b/>
      <w:bCs/>
      <w:kern w:val="44"/>
      <w:sz w:val="44"/>
      <w:szCs w:val="44"/>
      <w:lang w:val="en-US" w:eastAsia="zh-CN" w:bidi="ar-SA"/>
    </w:rPr>
  </w:style>
  <w:style w:type="character" w:customStyle="1" w:styleId="49">
    <w:name w:val="标题 6 Char"/>
    <w:link w:val="5"/>
    <w:uiPriority w:val="0"/>
    <w:rPr>
      <w:rFonts w:ascii="Cambria" w:hAnsi="Cambria" w:eastAsia="宋体" w:cs="Times New Roman"/>
      <w:b/>
      <w:bCs/>
      <w:kern w:val="2"/>
      <w:sz w:val="24"/>
      <w:szCs w:val="24"/>
    </w:rPr>
  </w:style>
  <w:style w:type="character" w:customStyle="1" w:styleId="50">
    <w:name w:val="正文文本缩进 3 Char"/>
    <w:link w:val="20"/>
    <w:qFormat/>
    <w:uiPriority w:val="0"/>
    <w:rPr>
      <w:rFonts w:ascii="楷体_GB2312" w:eastAsia="楷体_GB2312"/>
      <w:spacing w:val="20"/>
      <w:kern w:val="15"/>
      <w:sz w:val="32"/>
      <w:szCs w:val="24"/>
    </w:rPr>
  </w:style>
  <w:style w:type="character" w:customStyle="1" w:styleId="51">
    <w:name w:val="标题 Char"/>
    <w:link w:val="23"/>
    <w:uiPriority w:val="0"/>
    <w:rPr>
      <w:rFonts w:ascii="Cambria" w:hAnsi="Cambria" w:cs="Times New Roman"/>
      <w:b/>
      <w:bCs/>
      <w:kern w:val="2"/>
      <w:sz w:val="32"/>
      <w:szCs w:val="32"/>
    </w:rPr>
  </w:style>
  <w:style w:type="character" w:customStyle="1" w:styleId="52">
    <w:name w:val="批注文字 Char"/>
    <w:basedOn w:val="24"/>
    <w:link w:val="7"/>
    <w:semiHidden/>
    <w:qFormat/>
    <w:uiPriority w:val="99"/>
    <w:rPr>
      <w:kern w:val="2"/>
      <w:sz w:val="21"/>
      <w:szCs w:val="24"/>
    </w:rPr>
  </w:style>
  <w:style w:type="character" w:customStyle="1" w:styleId="53">
    <w:name w:val="批注主题 Char"/>
    <w:basedOn w:val="52"/>
    <w:link w:val="6"/>
    <w:semiHidden/>
    <w:uiPriority w:val="99"/>
    <w:rPr>
      <w:b/>
      <w:bCs/>
      <w:kern w:val="2"/>
      <w:sz w:val="21"/>
      <w:szCs w:val="24"/>
    </w:rPr>
  </w:style>
  <w:style w:type="character" w:customStyle="1" w:styleId="54">
    <w:name w:val="标题 3 Char"/>
    <w:basedOn w:val="24"/>
    <w:link w:val="4"/>
    <w:semiHidden/>
    <w:uiPriority w:val="9"/>
    <w:rPr>
      <w:b/>
      <w:bCs/>
      <w:kern w:val="2"/>
      <w:sz w:val="32"/>
      <w:szCs w:val="32"/>
    </w:rPr>
  </w:style>
  <w:style w:type="character" w:customStyle="1" w:styleId="55">
    <w:name w:val="正文文本 Char"/>
    <w:basedOn w:val="24"/>
    <w:link w:val="9"/>
    <w:qFormat/>
    <w:locked/>
    <w:uiPriority w:val="99"/>
    <w:rPr>
      <w:kern w:val="2"/>
      <w:sz w:val="21"/>
      <w:szCs w:val="24"/>
    </w:rPr>
  </w:style>
  <w:style w:type="character" w:customStyle="1" w:styleId="56">
    <w:name w:val="纯文本 Char"/>
    <w:basedOn w:val="24"/>
    <w:link w:val="11"/>
    <w:locked/>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储备中心</Company>
  <Pages>57</Pages>
  <Words>3536</Words>
  <Characters>20157</Characters>
  <Lines>167</Lines>
  <Paragraphs>47</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2015-12-02T09:15:00Z</dcterms:created>
  <dc:creator>16475</dc:creator>
  <cp:lastModifiedBy>Administrator</cp:lastModifiedBy>
  <cp:lastPrinted>2018-10-19T02:18:00Z</cp:lastPrinted>
  <dcterms:modified xsi:type="dcterms:W3CDTF">2018-10-22T01:49:36Z</dcterms:modified>
  <dc:title>采育01-0044</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