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560" w:lineRule="exact"/>
        <w:jc w:val="both"/>
        <w:rPr>
          <w:rFonts w:hint="eastAsia" w:ascii="黑体" w:hAnsi="黑体" w:eastAsia="黑体" w:cs="黑体"/>
          <w:sz w:val="32"/>
          <w:szCs w:val="32"/>
          <w:u w:val="none"/>
          <w:lang w:eastAsia="zh-CN"/>
        </w:rPr>
      </w:pPr>
    </w:p>
    <w:p>
      <w:pPr>
        <w:spacing w:line="560" w:lineRule="exact"/>
        <w:jc w:val="both"/>
        <w:rPr>
          <w:rFonts w:hint="eastAsia" w:ascii="黑体" w:hAnsi="黑体" w:eastAsia="黑体" w:cs="黑体"/>
          <w:sz w:val="32"/>
          <w:szCs w:val="32"/>
          <w:u w:val="none"/>
          <w:lang w:eastAsia="zh-CN"/>
        </w:rPr>
      </w:pPr>
      <w:r>
        <w:rPr>
          <w:rFonts w:hint="eastAsia" w:ascii="黑体" w:hAnsi="黑体" w:eastAsia="黑体" w:cs="黑体"/>
          <w:sz w:val="32"/>
          <w:szCs w:val="32"/>
          <w:u w:val="none"/>
          <w:lang w:eastAsia="zh-CN"/>
        </w:rPr>
        <w:t>附件</w:t>
      </w:r>
      <w:r>
        <w:rPr>
          <w:rFonts w:hint="eastAsia" w:ascii="黑体" w:hAnsi="黑体" w:eastAsia="黑体" w:cs="黑体"/>
          <w:sz w:val="32"/>
          <w:szCs w:val="32"/>
          <w:u w:val="none"/>
          <w:lang w:val="en-US" w:eastAsia="zh-CN"/>
        </w:rPr>
        <w:t>2</w:t>
      </w:r>
    </w:p>
    <w:p>
      <w:pPr>
        <w:spacing w:line="560" w:lineRule="exact"/>
        <w:jc w:val="center"/>
        <w:rPr>
          <w:rFonts w:hint="eastAsia" w:eastAsia="方正小标宋简体"/>
          <w:sz w:val="44"/>
          <w:szCs w:val="44"/>
          <w:u w:val="none"/>
          <w:lang w:eastAsia="zh-CN"/>
        </w:rPr>
      </w:pPr>
    </w:p>
    <w:p>
      <w:pPr>
        <w:spacing w:line="560" w:lineRule="exact"/>
        <w:jc w:val="center"/>
        <w:rPr>
          <w:rFonts w:hint="default" w:eastAsia="方正小标宋简体"/>
          <w:sz w:val="44"/>
          <w:szCs w:val="44"/>
          <w:lang w:val="en-US" w:eastAsia="zh-CN"/>
        </w:rPr>
      </w:pPr>
      <w:r>
        <w:rPr>
          <w:rFonts w:hint="eastAsia" w:eastAsia="方正小标宋简体"/>
          <w:sz w:val="44"/>
          <w:szCs w:val="44"/>
          <w:u w:val="none"/>
          <w:lang w:eastAsia="zh-CN"/>
        </w:rPr>
        <w:t>大兴</w:t>
      </w:r>
      <w:r>
        <w:rPr>
          <w:rFonts w:hint="eastAsia" w:eastAsia="方正小标宋简体"/>
          <w:sz w:val="44"/>
          <w:szCs w:val="44"/>
        </w:rPr>
        <w:t>区强化监督督办问题整改查处情况</w:t>
      </w:r>
    </w:p>
    <w:p>
      <w:pPr>
        <w:spacing w:line="560" w:lineRule="exact"/>
        <w:jc w:val="center"/>
        <w:rPr>
          <w:rFonts w:hint="eastAsia" w:eastAsia="方正小标宋简体"/>
          <w:sz w:val="44"/>
          <w:szCs w:val="44"/>
        </w:rPr>
      </w:pPr>
      <w:r>
        <w:rPr>
          <w:rFonts w:hint="eastAsia" w:eastAsia="方正小标宋简体"/>
          <w:sz w:val="44"/>
          <w:szCs w:val="44"/>
        </w:rPr>
        <w:t>（</w:t>
      </w:r>
      <w:r>
        <w:rPr>
          <w:rFonts w:eastAsia="方正小标宋简体"/>
          <w:sz w:val="44"/>
          <w:szCs w:val="44"/>
        </w:rPr>
        <w:t>2019</w:t>
      </w:r>
      <w:r>
        <w:rPr>
          <w:rFonts w:hint="eastAsia" w:eastAsia="方正小标宋简体"/>
          <w:sz w:val="44"/>
          <w:szCs w:val="44"/>
        </w:rPr>
        <w:t>年</w:t>
      </w:r>
      <w:r>
        <w:rPr>
          <w:rFonts w:eastAsia="方正小标宋简体"/>
          <w:sz w:val="44"/>
          <w:szCs w:val="44"/>
        </w:rPr>
        <w:t>3</w:t>
      </w:r>
      <w:r>
        <w:rPr>
          <w:rFonts w:hint="eastAsia" w:eastAsia="方正小标宋简体"/>
          <w:sz w:val="44"/>
          <w:szCs w:val="44"/>
        </w:rPr>
        <w:t>月</w:t>
      </w:r>
      <w:r>
        <w:rPr>
          <w:rFonts w:eastAsia="方正小标宋简体"/>
          <w:sz w:val="44"/>
          <w:szCs w:val="44"/>
        </w:rPr>
        <w:t>18</w:t>
      </w:r>
      <w:r>
        <w:rPr>
          <w:rFonts w:hint="eastAsia" w:eastAsia="方正小标宋简体"/>
          <w:sz w:val="44"/>
          <w:szCs w:val="44"/>
        </w:rPr>
        <w:t>日至</w:t>
      </w:r>
      <w:r>
        <w:rPr>
          <w:rFonts w:eastAsia="方正小标宋简体"/>
          <w:sz w:val="44"/>
          <w:szCs w:val="44"/>
        </w:rPr>
        <w:t>3</w:t>
      </w:r>
      <w:r>
        <w:rPr>
          <w:rFonts w:hint="eastAsia" w:eastAsia="方正小标宋简体"/>
          <w:sz w:val="44"/>
          <w:szCs w:val="44"/>
        </w:rPr>
        <w:t>月</w:t>
      </w:r>
      <w:r>
        <w:rPr>
          <w:rFonts w:eastAsia="方正小标宋简体"/>
          <w:sz w:val="44"/>
          <w:szCs w:val="44"/>
        </w:rPr>
        <w:t>31</w:t>
      </w:r>
      <w:r>
        <w:rPr>
          <w:rFonts w:hint="eastAsia" w:eastAsia="方正小标宋简体"/>
          <w:sz w:val="44"/>
          <w:szCs w:val="44"/>
        </w:rPr>
        <w:t>日）</w:t>
      </w:r>
    </w:p>
    <w:p>
      <w:pPr>
        <w:spacing w:line="560" w:lineRule="exact"/>
        <w:jc w:val="center"/>
        <w:rPr>
          <w:rFonts w:hint="eastAsia" w:eastAsia="方正小标宋简体"/>
          <w:sz w:val="44"/>
          <w:szCs w:val="44"/>
        </w:rPr>
      </w:pPr>
    </w:p>
    <w:tbl>
      <w:tblPr>
        <w:tblStyle w:val="3"/>
        <w:tblW w:w="14550" w:type="dxa"/>
        <w:jc w:val="center"/>
        <w:tblInd w:w="-251"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28" w:type="dxa"/>
          <w:bottom w:w="57" w:type="dxa"/>
          <w:right w:w="28" w:type="dxa"/>
        </w:tblCellMar>
      </w:tblPr>
      <w:tblGrid>
        <w:gridCol w:w="654"/>
        <w:gridCol w:w="634"/>
        <w:gridCol w:w="316"/>
        <w:gridCol w:w="317"/>
        <w:gridCol w:w="433"/>
        <w:gridCol w:w="834"/>
        <w:gridCol w:w="866"/>
        <w:gridCol w:w="700"/>
        <w:gridCol w:w="1050"/>
        <w:gridCol w:w="1567"/>
        <w:gridCol w:w="633"/>
        <w:gridCol w:w="4017"/>
        <w:gridCol w:w="1862"/>
        <w:gridCol w:w="66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28" w:type="dxa"/>
            <w:bottom w:w="57" w:type="dxa"/>
            <w:right w:w="28" w:type="dxa"/>
          </w:tblCellMar>
        </w:tblPrEx>
        <w:trPr>
          <w:cantSplit/>
          <w:tblHeader/>
          <w:jc w:val="center"/>
        </w:trPr>
        <w:tc>
          <w:tcPr>
            <w:tcW w:w="654" w:type="dxa"/>
            <w:tcBorders>
              <w:top w:val="single" w:color="auto" w:sz="8" w:space="0"/>
              <w:left w:val="single" w:color="auto" w:sz="8" w:space="0"/>
              <w:bottom w:val="single" w:color="auto" w:sz="4" w:space="0"/>
              <w:right w:val="single" w:color="auto" w:sz="4" w:space="0"/>
            </w:tcBorders>
            <w:vAlign w:val="center"/>
          </w:tcPr>
          <w:p>
            <w:pPr>
              <w:widowControl/>
              <w:jc w:val="center"/>
              <w:textAlignment w:val="center"/>
              <w:rPr>
                <w:rFonts w:eastAsia="黑体"/>
                <w:color w:val="000000"/>
                <w:kern w:val="0"/>
                <w:szCs w:val="21"/>
              </w:rPr>
            </w:pPr>
            <w:r>
              <w:rPr>
                <w:rFonts w:hint="eastAsia" w:hAnsi="黑体" w:eastAsia="黑体"/>
                <w:color w:val="000000"/>
                <w:kern w:val="0"/>
                <w:szCs w:val="21"/>
              </w:rPr>
              <w:t>编号</w:t>
            </w:r>
          </w:p>
        </w:tc>
        <w:tc>
          <w:tcPr>
            <w:tcW w:w="634" w:type="dxa"/>
            <w:tcBorders>
              <w:top w:val="single" w:color="auto" w:sz="8" w:space="0"/>
              <w:left w:val="single" w:color="auto" w:sz="4" w:space="0"/>
              <w:bottom w:val="single" w:color="auto" w:sz="4" w:space="0"/>
              <w:right w:val="single" w:color="auto" w:sz="4" w:space="0"/>
            </w:tcBorders>
            <w:vAlign w:val="center"/>
          </w:tcPr>
          <w:p>
            <w:pPr>
              <w:widowControl/>
              <w:jc w:val="center"/>
              <w:textAlignment w:val="center"/>
              <w:rPr>
                <w:rFonts w:eastAsia="黑体"/>
                <w:color w:val="000000"/>
                <w:kern w:val="0"/>
                <w:szCs w:val="21"/>
              </w:rPr>
            </w:pPr>
            <w:r>
              <w:rPr>
                <w:rFonts w:hint="eastAsia" w:hAnsi="黑体" w:eastAsia="黑体"/>
                <w:color w:val="000000"/>
                <w:kern w:val="0"/>
                <w:szCs w:val="21"/>
              </w:rPr>
              <w:t>检查时间</w:t>
            </w:r>
          </w:p>
        </w:tc>
        <w:tc>
          <w:tcPr>
            <w:tcW w:w="316" w:type="dxa"/>
            <w:tcBorders>
              <w:top w:val="single" w:color="auto" w:sz="8" w:space="0"/>
              <w:left w:val="single" w:color="auto" w:sz="4" w:space="0"/>
              <w:bottom w:val="single" w:color="auto" w:sz="4" w:space="0"/>
              <w:right w:val="single" w:color="auto" w:sz="4" w:space="0"/>
            </w:tcBorders>
            <w:vAlign w:val="center"/>
          </w:tcPr>
          <w:p>
            <w:pPr>
              <w:widowControl/>
              <w:jc w:val="center"/>
              <w:textAlignment w:val="center"/>
              <w:rPr>
                <w:rFonts w:eastAsia="黑体"/>
                <w:color w:val="000000"/>
                <w:kern w:val="0"/>
                <w:szCs w:val="21"/>
              </w:rPr>
            </w:pPr>
            <w:r>
              <w:rPr>
                <w:rFonts w:hint="eastAsia" w:hAnsi="黑体" w:eastAsia="黑体"/>
                <w:color w:val="000000"/>
                <w:kern w:val="0"/>
                <w:szCs w:val="21"/>
              </w:rPr>
              <w:t>市</w:t>
            </w:r>
          </w:p>
        </w:tc>
        <w:tc>
          <w:tcPr>
            <w:tcW w:w="317" w:type="dxa"/>
            <w:tcBorders>
              <w:top w:val="single" w:color="auto" w:sz="8" w:space="0"/>
              <w:left w:val="single" w:color="auto" w:sz="4" w:space="0"/>
              <w:bottom w:val="single" w:color="auto" w:sz="4" w:space="0"/>
              <w:right w:val="single" w:color="auto" w:sz="4" w:space="0"/>
            </w:tcBorders>
            <w:vAlign w:val="center"/>
          </w:tcPr>
          <w:p>
            <w:pPr>
              <w:widowControl/>
              <w:jc w:val="center"/>
              <w:textAlignment w:val="center"/>
              <w:rPr>
                <w:rFonts w:eastAsia="黑体"/>
                <w:color w:val="000000"/>
                <w:kern w:val="0"/>
                <w:szCs w:val="21"/>
              </w:rPr>
            </w:pPr>
            <w:r>
              <w:rPr>
                <w:rFonts w:hint="eastAsia" w:hAnsi="黑体" w:eastAsia="黑体"/>
                <w:color w:val="000000"/>
                <w:kern w:val="0"/>
                <w:szCs w:val="21"/>
              </w:rPr>
              <w:t>区</w:t>
            </w:r>
          </w:p>
        </w:tc>
        <w:tc>
          <w:tcPr>
            <w:tcW w:w="433" w:type="dxa"/>
            <w:tcBorders>
              <w:top w:val="single" w:color="auto" w:sz="8" w:space="0"/>
              <w:left w:val="single" w:color="auto" w:sz="4" w:space="0"/>
              <w:bottom w:val="single" w:color="auto" w:sz="4" w:space="0"/>
              <w:right w:val="single" w:color="auto" w:sz="4" w:space="0"/>
            </w:tcBorders>
            <w:vAlign w:val="center"/>
          </w:tcPr>
          <w:p>
            <w:pPr>
              <w:widowControl/>
              <w:jc w:val="center"/>
              <w:textAlignment w:val="center"/>
              <w:rPr>
                <w:rFonts w:eastAsia="黑体"/>
                <w:color w:val="000000"/>
                <w:kern w:val="0"/>
                <w:szCs w:val="21"/>
              </w:rPr>
            </w:pPr>
            <w:r>
              <w:rPr>
                <w:rFonts w:hint="eastAsia" w:hAnsi="黑体" w:eastAsia="黑体"/>
                <w:color w:val="000000"/>
                <w:kern w:val="0"/>
                <w:szCs w:val="21"/>
              </w:rPr>
              <w:t>乡镇</w:t>
            </w:r>
          </w:p>
        </w:tc>
        <w:tc>
          <w:tcPr>
            <w:tcW w:w="834" w:type="dxa"/>
            <w:tcBorders>
              <w:top w:val="single" w:color="auto" w:sz="8" w:space="0"/>
              <w:left w:val="single" w:color="auto" w:sz="4" w:space="0"/>
              <w:bottom w:val="single" w:color="auto" w:sz="4" w:space="0"/>
              <w:right w:val="single" w:color="auto" w:sz="4" w:space="0"/>
            </w:tcBorders>
            <w:vAlign w:val="center"/>
          </w:tcPr>
          <w:p>
            <w:pPr>
              <w:widowControl/>
              <w:jc w:val="center"/>
              <w:textAlignment w:val="center"/>
              <w:rPr>
                <w:rFonts w:eastAsia="黑体"/>
                <w:color w:val="000000"/>
                <w:kern w:val="0"/>
                <w:szCs w:val="21"/>
              </w:rPr>
            </w:pPr>
            <w:r>
              <w:rPr>
                <w:rFonts w:hint="eastAsia" w:hAnsi="黑体" w:eastAsia="黑体"/>
                <w:color w:val="000000"/>
                <w:kern w:val="0"/>
                <w:szCs w:val="21"/>
              </w:rPr>
              <w:t>污染源</w:t>
            </w:r>
          </w:p>
          <w:p>
            <w:pPr>
              <w:widowControl/>
              <w:jc w:val="center"/>
              <w:textAlignment w:val="center"/>
              <w:rPr>
                <w:rFonts w:eastAsia="黑体"/>
                <w:color w:val="000000"/>
                <w:kern w:val="0"/>
                <w:szCs w:val="21"/>
              </w:rPr>
            </w:pPr>
            <w:r>
              <w:rPr>
                <w:rFonts w:hint="eastAsia" w:hAnsi="黑体" w:eastAsia="黑体"/>
                <w:color w:val="000000"/>
                <w:kern w:val="0"/>
                <w:szCs w:val="21"/>
              </w:rPr>
              <w:t>名称</w:t>
            </w:r>
          </w:p>
        </w:tc>
        <w:tc>
          <w:tcPr>
            <w:tcW w:w="866" w:type="dxa"/>
            <w:tcBorders>
              <w:top w:val="single" w:color="auto" w:sz="8" w:space="0"/>
              <w:left w:val="single" w:color="auto" w:sz="4" w:space="0"/>
              <w:bottom w:val="single" w:color="auto" w:sz="4" w:space="0"/>
              <w:right w:val="single" w:color="auto" w:sz="4" w:space="0"/>
            </w:tcBorders>
            <w:vAlign w:val="center"/>
          </w:tcPr>
          <w:p>
            <w:pPr>
              <w:widowControl/>
              <w:jc w:val="center"/>
              <w:textAlignment w:val="center"/>
              <w:rPr>
                <w:rFonts w:eastAsia="黑体"/>
                <w:color w:val="000000"/>
                <w:kern w:val="0"/>
                <w:szCs w:val="21"/>
              </w:rPr>
            </w:pPr>
            <w:r>
              <w:rPr>
                <w:rFonts w:hint="eastAsia" w:hAnsi="黑体" w:eastAsia="黑体"/>
                <w:color w:val="000000"/>
                <w:kern w:val="0"/>
                <w:szCs w:val="21"/>
              </w:rPr>
              <w:t>污染源</w:t>
            </w:r>
          </w:p>
          <w:p>
            <w:pPr>
              <w:widowControl/>
              <w:jc w:val="center"/>
              <w:textAlignment w:val="center"/>
              <w:rPr>
                <w:rFonts w:eastAsia="黑体"/>
                <w:color w:val="000000"/>
                <w:kern w:val="0"/>
                <w:szCs w:val="21"/>
              </w:rPr>
            </w:pPr>
            <w:r>
              <w:rPr>
                <w:rFonts w:hint="eastAsia" w:hAnsi="黑体" w:eastAsia="黑体"/>
                <w:color w:val="000000"/>
                <w:kern w:val="0"/>
                <w:szCs w:val="21"/>
              </w:rPr>
              <w:t>地址</w:t>
            </w:r>
          </w:p>
        </w:tc>
        <w:tc>
          <w:tcPr>
            <w:tcW w:w="700" w:type="dxa"/>
            <w:tcBorders>
              <w:top w:val="single" w:color="auto" w:sz="8" w:space="0"/>
              <w:left w:val="single" w:color="auto" w:sz="4" w:space="0"/>
              <w:bottom w:val="single" w:color="auto" w:sz="4" w:space="0"/>
              <w:right w:val="single" w:color="auto" w:sz="4" w:space="0"/>
            </w:tcBorders>
            <w:vAlign w:val="center"/>
          </w:tcPr>
          <w:p>
            <w:pPr>
              <w:widowControl/>
              <w:jc w:val="center"/>
              <w:textAlignment w:val="center"/>
              <w:rPr>
                <w:rFonts w:eastAsia="黑体"/>
                <w:color w:val="000000"/>
                <w:kern w:val="0"/>
                <w:szCs w:val="21"/>
              </w:rPr>
            </w:pPr>
            <w:r>
              <w:rPr>
                <w:rFonts w:hint="eastAsia" w:hAnsi="黑体" w:eastAsia="黑体"/>
                <w:color w:val="000000"/>
                <w:kern w:val="0"/>
                <w:szCs w:val="21"/>
              </w:rPr>
              <w:t>问题类型</w:t>
            </w:r>
          </w:p>
        </w:tc>
        <w:tc>
          <w:tcPr>
            <w:tcW w:w="1050" w:type="dxa"/>
            <w:tcBorders>
              <w:top w:val="single" w:color="auto" w:sz="8" w:space="0"/>
              <w:left w:val="single" w:color="auto" w:sz="4" w:space="0"/>
              <w:bottom w:val="single" w:color="auto" w:sz="4" w:space="0"/>
              <w:right w:val="single" w:color="auto" w:sz="4" w:space="0"/>
            </w:tcBorders>
            <w:vAlign w:val="center"/>
          </w:tcPr>
          <w:p>
            <w:pPr>
              <w:widowControl/>
              <w:jc w:val="center"/>
              <w:textAlignment w:val="center"/>
              <w:rPr>
                <w:rFonts w:eastAsia="黑体"/>
                <w:color w:val="000000"/>
                <w:kern w:val="0"/>
                <w:szCs w:val="21"/>
              </w:rPr>
            </w:pPr>
            <w:r>
              <w:rPr>
                <w:rFonts w:hint="eastAsia" w:hAnsi="黑体" w:eastAsia="黑体"/>
                <w:color w:val="000000"/>
                <w:kern w:val="0"/>
                <w:szCs w:val="21"/>
              </w:rPr>
              <w:t>现场问题情况详述</w:t>
            </w:r>
          </w:p>
        </w:tc>
        <w:tc>
          <w:tcPr>
            <w:tcW w:w="1567" w:type="dxa"/>
            <w:tcBorders>
              <w:top w:val="single" w:color="auto" w:sz="8" w:space="0"/>
              <w:left w:val="single" w:color="auto" w:sz="4" w:space="0"/>
              <w:bottom w:val="single" w:color="auto" w:sz="4" w:space="0"/>
              <w:right w:val="single" w:color="auto" w:sz="4" w:space="0"/>
            </w:tcBorders>
            <w:vAlign w:val="center"/>
          </w:tcPr>
          <w:p>
            <w:pPr>
              <w:widowControl/>
              <w:jc w:val="center"/>
              <w:textAlignment w:val="center"/>
              <w:rPr>
                <w:rFonts w:eastAsia="黑体"/>
                <w:color w:val="000000"/>
                <w:kern w:val="0"/>
                <w:szCs w:val="21"/>
              </w:rPr>
            </w:pPr>
            <w:r>
              <w:rPr>
                <w:rFonts w:hint="eastAsia" w:hAnsi="黑体" w:eastAsia="黑体"/>
                <w:color w:val="000000"/>
                <w:kern w:val="0"/>
                <w:szCs w:val="21"/>
              </w:rPr>
              <w:t>整改要求</w:t>
            </w:r>
          </w:p>
        </w:tc>
        <w:tc>
          <w:tcPr>
            <w:tcW w:w="633" w:type="dxa"/>
            <w:tcBorders>
              <w:top w:val="single" w:color="auto" w:sz="8" w:space="0"/>
              <w:left w:val="single" w:color="auto" w:sz="4" w:space="0"/>
              <w:bottom w:val="single" w:color="auto" w:sz="4" w:space="0"/>
              <w:right w:val="single" w:color="auto" w:sz="4" w:space="0"/>
            </w:tcBorders>
            <w:vAlign w:val="center"/>
          </w:tcPr>
          <w:p>
            <w:pPr>
              <w:widowControl/>
              <w:jc w:val="center"/>
              <w:textAlignment w:val="center"/>
              <w:rPr>
                <w:rFonts w:eastAsia="黑体"/>
                <w:color w:val="000000"/>
                <w:kern w:val="0"/>
                <w:szCs w:val="21"/>
              </w:rPr>
            </w:pPr>
            <w:r>
              <w:rPr>
                <w:rFonts w:hint="eastAsia" w:hAnsi="黑体" w:eastAsia="黑体"/>
                <w:color w:val="000000"/>
                <w:kern w:val="0"/>
                <w:szCs w:val="21"/>
              </w:rPr>
              <w:t>整改时限</w:t>
            </w:r>
          </w:p>
        </w:tc>
        <w:tc>
          <w:tcPr>
            <w:tcW w:w="4017" w:type="dxa"/>
            <w:tcBorders>
              <w:top w:val="single" w:color="auto" w:sz="8" w:space="0"/>
              <w:left w:val="single" w:color="auto" w:sz="4" w:space="0"/>
              <w:bottom w:val="single" w:color="auto" w:sz="4" w:space="0"/>
              <w:right w:val="single" w:color="auto" w:sz="4" w:space="0"/>
            </w:tcBorders>
            <w:vAlign w:val="center"/>
          </w:tcPr>
          <w:p>
            <w:pPr>
              <w:widowControl/>
              <w:jc w:val="center"/>
              <w:textAlignment w:val="center"/>
              <w:rPr>
                <w:rFonts w:eastAsia="黑体"/>
                <w:color w:val="000000"/>
                <w:kern w:val="0"/>
                <w:szCs w:val="21"/>
              </w:rPr>
            </w:pPr>
            <w:r>
              <w:rPr>
                <w:rFonts w:hint="eastAsia" w:hAnsi="黑体" w:eastAsia="黑体"/>
                <w:color w:val="000000"/>
                <w:kern w:val="0"/>
                <w:szCs w:val="21"/>
              </w:rPr>
              <w:t>整改（进展）情况</w:t>
            </w:r>
          </w:p>
        </w:tc>
        <w:tc>
          <w:tcPr>
            <w:tcW w:w="1862" w:type="dxa"/>
            <w:tcBorders>
              <w:top w:val="single" w:color="auto" w:sz="8" w:space="0"/>
              <w:left w:val="single" w:color="auto" w:sz="4" w:space="0"/>
              <w:bottom w:val="single" w:color="auto" w:sz="4" w:space="0"/>
              <w:right w:val="single" w:color="auto" w:sz="4" w:space="0"/>
            </w:tcBorders>
            <w:vAlign w:val="center"/>
          </w:tcPr>
          <w:p>
            <w:pPr>
              <w:widowControl/>
              <w:jc w:val="center"/>
              <w:textAlignment w:val="center"/>
              <w:rPr>
                <w:rFonts w:eastAsia="黑体"/>
                <w:color w:val="000000"/>
                <w:kern w:val="0"/>
                <w:szCs w:val="21"/>
              </w:rPr>
            </w:pPr>
            <w:r>
              <w:rPr>
                <w:rFonts w:hint="eastAsia" w:hAnsi="黑体" w:eastAsia="黑体"/>
                <w:color w:val="000000"/>
                <w:kern w:val="0"/>
                <w:szCs w:val="21"/>
              </w:rPr>
              <w:t>查处情况</w:t>
            </w:r>
          </w:p>
        </w:tc>
        <w:tc>
          <w:tcPr>
            <w:tcW w:w="667" w:type="dxa"/>
            <w:tcBorders>
              <w:top w:val="single" w:color="auto" w:sz="8" w:space="0"/>
              <w:left w:val="single" w:color="auto" w:sz="4" w:space="0"/>
              <w:bottom w:val="single" w:color="auto" w:sz="4" w:space="0"/>
              <w:right w:val="single" w:color="auto" w:sz="8" w:space="0"/>
            </w:tcBorders>
            <w:vAlign w:val="center"/>
          </w:tcPr>
          <w:p>
            <w:pPr>
              <w:widowControl/>
              <w:jc w:val="center"/>
              <w:textAlignment w:val="center"/>
              <w:rPr>
                <w:rFonts w:eastAsia="黑体"/>
                <w:color w:val="000000"/>
                <w:kern w:val="0"/>
                <w:szCs w:val="21"/>
              </w:rPr>
            </w:pPr>
            <w:r>
              <w:rPr>
                <w:rFonts w:hint="eastAsia" w:hAnsi="黑体" w:eastAsia="黑体"/>
                <w:color w:val="000000"/>
                <w:kern w:val="0"/>
                <w:szCs w:val="21"/>
              </w:rPr>
              <w:t>是否完成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28" w:type="dxa"/>
            <w:bottom w:w="57" w:type="dxa"/>
            <w:right w:w="28" w:type="dxa"/>
          </w:tblCellMar>
        </w:tblPrEx>
        <w:trPr>
          <w:cantSplit/>
          <w:jc w:val="center"/>
        </w:trPr>
        <w:tc>
          <w:tcPr>
            <w:tcW w:w="654" w:type="dxa"/>
            <w:tcBorders>
              <w:top w:val="single" w:color="auto" w:sz="4" w:space="0"/>
              <w:left w:val="single" w:color="auto" w:sz="8" w:space="0"/>
              <w:bottom w:val="single" w:color="auto" w:sz="8" w:space="0"/>
              <w:right w:val="single" w:color="auto" w:sz="4" w:space="0"/>
            </w:tcBorders>
            <w:vAlign w:val="center"/>
          </w:tcPr>
          <w:p>
            <w:pPr>
              <w:widowControl/>
              <w:jc w:val="center"/>
              <w:textAlignment w:val="bottom"/>
              <w:rPr>
                <w:rFonts w:hint="eastAsia" w:ascii="宋体" w:hAnsi="宋体" w:eastAsia="宋体" w:cs="宋体"/>
                <w:sz w:val="24"/>
                <w:szCs w:val="22"/>
              </w:rPr>
            </w:pPr>
            <w:r>
              <w:rPr>
                <w:rFonts w:hint="eastAsia" w:ascii="宋体" w:hAnsi="宋体" w:eastAsia="宋体" w:cs="宋体"/>
                <w:szCs w:val="21"/>
              </w:rPr>
              <w:t>BJ-20-017</w:t>
            </w:r>
          </w:p>
        </w:tc>
        <w:tc>
          <w:tcPr>
            <w:tcW w:w="634" w:type="dxa"/>
            <w:tcBorders>
              <w:top w:val="single" w:color="auto" w:sz="4" w:space="0"/>
              <w:left w:val="single" w:color="auto" w:sz="4" w:space="0"/>
              <w:bottom w:val="single" w:color="auto" w:sz="8" w:space="0"/>
              <w:right w:val="single" w:color="auto" w:sz="4" w:space="0"/>
            </w:tcBorders>
            <w:vAlign w:val="center"/>
          </w:tcPr>
          <w:p>
            <w:pPr>
              <w:widowControl/>
              <w:jc w:val="center"/>
              <w:textAlignment w:val="bottom"/>
              <w:rPr>
                <w:rFonts w:hint="eastAsia" w:ascii="宋体" w:hAnsi="宋体" w:eastAsia="宋体" w:cs="宋体"/>
                <w:sz w:val="24"/>
                <w:szCs w:val="22"/>
              </w:rPr>
            </w:pPr>
            <w:r>
              <w:rPr>
                <w:rFonts w:hint="eastAsia" w:ascii="宋体" w:hAnsi="宋体" w:eastAsia="宋体" w:cs="宋体"/>
                <w:szCs w:val="21"/>
              </w:rPr>
              <w:t>2019/3/23</w:t>
            </w:r>
          </w:p>
        </w:tc>
        <w:tc>
          <w:tcPr>
            <w:tcW w:w="316" w:type="dxa"/>
            <w:tcBorders>
              <w:top w:val="single" w:color="auto" w:sz="4" w:space="0"/>
              <w:left w:val="single" w:color="auto" w:sz="4" w:space="0"/>
              <w:bottom w:val="single" w:color="auto" w:sz="8" w:space="0"/>
              <w:right w:val="single" w:color="auto" w:sz="4" w:space="0"/>
            </w:tcBorders>
            <w:vAlign w:val="center"/>
          </w:tcPr>
          <w:p>
            <w:pPr>
              <w:widowControl/>
              <w:jc w:val="center"/>
              <w:textAlignment w:val="bottom"/>
              <w:rPr>
                <w:rFonts w:hint="eastAsia" w:ascii="宋体" w:hAnsi="宋体" w:eastAsia="宋体" w:cs="宋体"/>
                <w:sz w:val="24"/>
                <w:szCs w:val="22"/>
              </w:rPr>
            </w:pPr>
            <w:r>
              <w:rPr>
                <w:rFonts w:hint="eastAsia" w:ascii="宋体" w:hAnsi="宋体" w:eastAsia="宋体" w:cs="宋体"/>
                <w:szCs w:val="21"/>
              </w:rPr>
              <w:t>北京市</w:t>
            </w:r>
          </w:p>
        </w:tc>
        <w:tc>
          <w:tcPr>
            <w:tcW w:w="317" w:type="dxa"/>
            <w:tcBorders>
              <w:top w:val="single" w:color="auto" w:sz="4" w:space="0"/>
              <w:left w:val="single" w:color="auto" w:sz="4" w:space="0"/>
              <w:bottom w:val="single" w:color="auto" w:sz="8" w:space="0"/>
              <w:right w:val="single" w:color="auto" w:sz="4" w:space="0"/>
            </w:tcBorders>
            <w:vAlign w:val="center"/>
          </w:tcPr>
          <w:p>
            <w:pPr>
              <w:widowControl/>
              <w:jc w:val="center"/>
              <w:textAlignment w:val="bottom"/>
              <w:rPr>
                <w:rFonts w:hint="eastAsia" w:ascii="宋体" w:hAnsi="宋体" w:eastAsia="宋体" w:cs="宋体"/>
                <w:sz w:val="24"/>
                <w:szCs w:val="22"/>
              </w:rPr>
            </w:pPr>
            <w:r>
              <w:rPr>
                <w:rFonts w:hint="eastAsia" w:ascii="宋体" w:hAnsi="宋体" w:eastAsia="宋体" w:cs="宋体"/>
                <w:szCs w:val="21"/>
              </w:rPr>
              <w:t>大兴区</w:t>
            </w:r>
          </w:p>
        </w:tc>
        <w:tc>
          <w:tcPr>
            <w:tcW w:w="433" w:type="dxa"/>
            <w:tcBorders>
              <w:top w:val="single" w:color="auto" w:sz="4" w:space="0"/>
              <w:left w:val="single" w:color="auto" w:sz="4" w:space="0"/>
              <w:bottom w:val="single" w:color="auto" w:sz="8" w:space="0"/>
              <w:right w:val="single" w:color="auto" w:sz="4" w:space="0"/>
            </w:tcBorders>
            <w:vAlign w:val="center"/>
          </w:tcPr>
          <w:p>
            <w:pPr>
              <w:widowControl/>
              <w:jc w:val="center"/>
              <w:textAlignment w:val="bottom"/>
              <w:rPr>
                <w:rFonts w:hint="eastAsia" w:ascii="宋体" w:hAnsi="宋体" w:eastAsia="宋体" w:cs="宋体"/>
                <w:sz w:val="24"/>
                <w:szCs w:val="22"/>
              </w:rPr>
            </w:pPr>
            <w:r>
              <w:rPr>
                <w:rFonts w:hint="eastAsia" w:ascii="宋体" w:hAnsi="宋体" w:eastAsia="宋体" w:cs="宋体"/>
                <w:szCs w:val="21"/>
              </w:rPr>
              <w:t>亦庄镇</w:t>
            </w:r>
          </w:p>
        </w:tc>
        <w:tc>
          <w:tcPr>
            <w:tcW w:w="834" w:type="dxa"/>
            <w:tcBorders>
              <w:top w:val="single" w:color="auto" w:sz="4" w:space="0"/>
              <w:left w:val="single" w:color="auto" w:sz="4" w:space="0"/>
              <w:bottom w:val="single" w:color="auto" w:sz="8" w:space="0"/>
              <w:right w:val="single" w:color="auto" w:sz="4" w:space="0"/>
            </w:tcBorders>
            <w:vAlign w:val="center"/>
          </w:tcPr>
          <w:p>
            <w:pPr>
              <w:widowControl/>
              <w:jc w:val="center"/>
              <w:textAlignment w:val="bottom"/>
              <w:rPr>
                <w:rFonts w:hint="eastAsia" w:ascii="宋体" w:hAnsi="宋体" w:eastAsia="宋体" w:cs="宋体"/>
                <w:sz w:val="24"/>
                <w:szCs w:val="22"/>
              </w:rPr>
            </w:pPr>
            <w:r>
              <w:rPr>
                <w:rFonts w:hint="eastAsia" w:ascii="宋体" w:hAnsi="宋体" w:eastAsia="宋体" w:cs="宋体"/>
                <w:szCs w:val="21"/>
              </w:rPr>
              <w:t>大羊坊桥西南侧工地</w:t>
            </w:r>
          </w:p>
        </w:tc>
        <w:tc>
          <w:tcPr>
            <w:tcW w:w="866" w:type="dxa"/>
            <w:tcBorders>
              <w:top w:val="single" w:color="auto" w:sz="4" w:space="0"/>
              <w:left w:val="single" w:color="auto" w:sz="4" w:space="0"/>
              <w:bottom w:val="single" w:color="auto" w:sz="8" w:space="0"/>
              <w:right w:val="single" w:color="auto" w:sz="4" w:space="0"/>
            </w:tcBorders>
            <w:vAlign w:val="center"/>
          </w:tcPr>
          <w:p>
            <w:pPr>
              <w:widowControl/>
              <w:jc w:val="center"/>
              <w:textAlignment w:val="bottom"/>
              <w:rPr>
                <w:rFonts w:hint="eastAsia" w:ascii="宋体" w:hAnsi="宋体" w:eastAsia="宋体" w:cs="宋体"/>
                <w:color w:val="000000"/>
                <w:szCs w:val="21"/>
              </w:rPr>
            </w:pPr>
            <w:r>
              <w:rPr>
                <w:rFonts w:hint="eastAsia" w:ascii="宋体" w:hAnsi="宋体" w:eastAsia="宋体" w:cs="宋体"/>
                <w:szCs w:val="21"/>
              </w:rPr>
              <w:t>北京市朝阳区大羊坊桥西南</w:t>
            </w:r>
          </w:p>
        </w:tc>
        <w:tc>
          <w:tcPr>
            <w:tcW w:w="700" w:type="dxa"/>
            <w:tcBorders>
              <w:top w:val="single" w:color="auto" w:sz="4" w:space="0"/>
              <w:left w:val="single" w:color="auto" w:sz="4" w:space="0"/>
              <w:bottom w:val="single" w:color="auto" w:sz="8" w:space="0"/>
              <w:right w:val="single" w:color="auto" w:sz="4" w:space="0"/>
            </w:tcBorders>
            <w:vAlign w:val="center"/>
          </w:tcPr>
          <w:p>
            <w:pPr>
              <w:jc w:val="center"/>
              <w:rPr>
                <w:rFonts w:hint="eastAsia" w:ascii="宋体" w:hAnsi="宋体" w:eastAsia="宋体" w:cs="宋体"/>
                <w:szCs w:val="21"/>
              </w:rPr>
            </w:pPr>
            <w:r>
              <w:rPr>
                <w:rFonts w:hint="eastAsia" w:ascii="宋体" w:hAnsi="宋体" w:eastAsia="宋体" w:cs="宋体"/>
                <w:szCs w:val="21"/>
              </w:rPr>
              <w:t>建筑工地未落实“六个百分百”要求</w:t>
            </w:r>
          </w:p>
        </w:tc>
        <w:tc>
          <w:tcPr>
            <w:tcW w:w="1050" w:type="dxa"/>
            <w:tcBorders>
              <w:top w:val="single" w:color="auto" w:sz="4" w:space="0"/>
              <w:left w:val="single" w:color="auto" w:sz="4" w:space="0"/>
              <w:bottom w:val="single" w:color="auto" w:sz="8" w:space="0"/>
              <w:right w:val="single" w:color="auto" w:sz="4" w:space="0"/>
            </w:tcBorders>
            <w:vAlign w:val="center"/>
          </w:tcPr>
          <w:p>
            <w:pPr>
              <w:widowControl/>
              <w:jc w:val="center"/>
              <w:textAlignment w:val="bottom"/>
              <w:rPr>
                <w:rFonts w:hint="eastAsia" w:ascii="宋体" w:hAnsi="宋体" w:eastAsia="宋体" w:cs="宋体"/>
                <w:szCs w:val="21"/>
              </w:rPr>
            </w:pPr>
            <w:r>
              <w:rPr>
                <w:rFonts w:hint="eastAsia" w:ascii="宋体" w:hAnsi="宋体" w:eastAsia="宋体" w:cs="宋体"/>
                <w:szCs w:val="21"/>
              </w:rPr>
              <w:t>该处正在进行施工，未进行湿法作业，现场扬尘情况明显。</w:t>
            </w:r>
          </w:p>
        </w:tc>
        <w:tc>
          <w:tcPr>
            <w:tcW w:w="1567" w:type="dxa"/>
            <w:tcBorders>
              <w:top w:val="single" w:color="auto" w:sz="4" w:space="0"/>
              <w:left w:val="single" w:color="auto" w:sz="4" w:space="0"/>
              <w:bottom w:val="single" w:color="auto" w:sz="8" w:space="0"/>
              <w:right w:val="single" w:color="auto" w:sz="4" w:space="0"/>
            </w:tcBorders>
            <w:vAlign w:val="center"/>
          </w:tcPr>
          <w:p>
            <w:pPr>
              <w:widowControl/>
              <w:jc w:val="center"/>
              <w:textAlignment w:val="bottom"/>
              <w:rPr>
                <w:rFonts w:hint="eastAsia" w:ascii="宋体" w:hAnsi="宋体" w:eastAsia="宋体" w:cs="宋体"/>
                <w:szCs w:val="21"/>
              </w:rPr>
            </w:pPr>
            <w:r>
              <w:rPr>
                <w:rFonts w:hint="eastAsia" w:ascii="宋体" w:hAnsi="宋体" w:eastAsia="宋体" w:cs="宋体"/>
                <w:szCs w:val="21"/>
              </w:rPr>
              <w:t>进一步调查核实，依据《大气污染防治法》第一百一十五条处罚，严格落实“六个百分之百”要求，加强工地扬尘控制。</w:t>
            </w:r>
          </w:p>
        </w:tc>
        <w:tc>
          <w:tcPr>
            <w:tcW w:w="633" w:type="dxa"/>
            <w:tcBorders>
              <w:top w:val="single" w:color="auto" w:sz="4" w:space="0"/>
              <w:left w:val="single" w:color="auto" w:sz="4" w:space="0"/>
              <w:bottom w:val="single" w:color="auto" w:sz="8" w:space="0"/>
              <w:right w:val="single" w:color="auto" w:sz="4" w:space="0"/>
            </w:tcBorders>
            <w:vAlign w:val="center"/>
          </w:tcPr>
          <w:p>
            <w:pPr>
              <w:widowControl/>
              <w:jc w:val="center"/>
              <w:textAlignment w:val="bottom"/>
              <w:rPr>
                <w:rFonts w:hint="eastAsia" w:ascii="宋体" w:hAnsi="宋体" w:eastAsia="宋体" w:cs="宋体"/>
                <w:szCs w:val="21"/>
              </w:rPr>
            </w:pPr>
            <w:r>
              <w:rPr>
                <w:rFonts w:hint="eastAsia" w:ascii="宋体" w:hAnsi="宋体" w:eastAsia="宋体" w:cs="宋体"/>
                <w:szCs w:val="21"/>
              </w:rPr>
              <w:t>2019/4/28</w:t>
            </w:r>
          </w:p>
        </w:tc>
        <w:tc>
          <w:tcPr>
            <w:tcW w:w="4017" w:type="dxa"/>
            <w:tcBorders>
              <w:top w:val="single" w:color="auto" w:sz="4" w:space="0"/>
              <w:left w:val="single" w:color="auto" w:sz="4" w:space="0"/>
              <w:bottom w:val="single" w:color="auto" w:sz="8" w:space="0"/>
              <w:right w:val="single" w:color="auto" w:sz="4" w:space="0"/>
            </w:tcBorders>
            <w:vAlign w:val="center"/>
          </w:tcPr>
          <w:p>
            <w:pPr>
              <w:adjustRightInd w:val="0"/>
              <w:snapToGrid w:val="0"/>
              <w:jc w:val="center"/>
              <w:rPr>
                <w:rFonts w:hint="eastAsia" w:ascii="宋体" w:hAnsi="宋体" w:eastAsia="宋体" w:cs="宋体"/>
                <w:szCs w:val="21"/>
              </w:rPr>
            </w:pPr>
            <w:r>
              <w:rPr>
                <w:rFonts w:hint="eastAsia" w:ascii="宋体" w:hAnsi="宋体" w:eastAsia="宋体" w:cs="宋体"/>
                <w:szCs w:val="21"/>
              </w:rPr>
              <w:t>亦庄镇在收到该反馈问题的第一时间对施工现场进行督导整改，并由城管部门立案处理（案卷号：京大城管罚字[2019]150089号）。现场发现该施工项目已完善抑尘措施。在今后将提高洒水的频次及强度，并随作业面调整覆盖，最大限度降低扬尘污染。</w:t>
            </w:r>
          </w:p>
        </w:tc>
        <w:tc>
          <w:tcPr>
            <w:tcW w:w="1862" w:type="dxa"/>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hint="eastAsia" w:ascii="宋体" w:hAnsi="宋体" w:eastAsia="宋体" w:cs="宋体"/>
                <w:szCs w:val="21"/>
              </w:rPr>
            </w:pPr>
            <w:r>
              <w:rPr>
                <w:rFonts w:hint="eastAsia" w:ascii="宋体" w:hAnsi="宋体" w:eastAsia="宋体" w:cs="宋体"/>
                <w:szCs w:val="21"/>
              </w:rPr>
              <w:t>城管部门立案处理，拟处罚人民币壹万元（案卷号：京大城管罚字[2019]150089号）</w:t>
            </w:r>
          </w:p>
        </w:tc>
        <w:tc>
          <w:tcPr>
            <w:tcW w:w="667" w:type="dxa"/>
            <w:tcBorders>
              <w:top w:val="single" w:color="auto" w:sz="4" w:space="0"/>
              <w:left w:val="single" w:color="auto" w:sz="4" w:space="0"/>
              <w:bottom w:val="single" w:color="auto" w:sz="8" w:space="0"/>
              <w:right w:val="single" w:color="auto" w:sz="8" w:space="0"/>
            </w:tcBorders>
            <w:vAlign w:val="center"/>
          </w:tcPr>
          <w:p>
            <w:pPr>
              <w:adjustRightInd w:val="0"/>
              <w:snapToGrid w:val="0"/>
              <w:jc w:val="center"/>
              <w:rPr>
                <w:rFonts w:hint="eastAsia" w:ascii="宋体" w:hAnsi="宋体" w:eastAsia="宋体" w:cs="宋体"/>
                <w:szCs w:val="21"/>
                <w:lang w:eastAsia="zh-CN"/>
              </w:rPr>
            </w:pPr>
            <w:r>
              <w:rPr>
                <w:rFonts w:hint="eastAsia" w:ascii="宋体" w:hAnsi="宋体" w:eastAsia="宋体" w:cs="宋体"/>
                <w:szCs w:val="21"/>
                <w:lang w:eastAsia="zh-CN"/>
              </w:rPr>
              <w:t>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28" w:type="dxa"/>
            <w:bottom w:w="57" w:type="dxa"/>
            <w:right w:w="28" w:type="dxa"/>
          </w:tblCellMar>
        </w:tblPrEx>
        <w:trPr>
          <w:cantSplit/>
          <w:jc w:val="center"/>
        </w:trPr>
        <w:tc>
          <w:tcPr>
            <w:tcW w:w="654" w:type="dxa"/>
            <w:vAlign w:val="center"/>
          </w:tcPr>
          <w:p>
            <w:pPr>
              <w:widowControl/>
              <w:jc w:val="center"/>
              <w:textAlignment w:val="bottom"/>
              <w:rPr>
                <w:rFonts w:hint="eastAsia" w:ascii="宋体" w:hAnsi="宋体" w:eastAsia="宋体" w:cs="宋体"/>
                <w:sz w:val="24"/>
                <w:szCs w:val="22"/>
              </w:rPr>
            </w:pPr>
            <w:r>
              <w:rPr>
                <w:rFonts w:hint="eastAsia" w:ascii="宋体" w:hAnsi="宋体" w:eastAsia="宋体" w:cs="宋体"/>
                <w:szCs w:val="21"/>
              </w:rPr>
              <w:t>BJ-20-018</w:t>
            </w:r>
          </w:p>
        </w:tc>
        <w:tc>
          <w:tcPr>
            <w:tcW w:w="634" w:type="dxa"/>
            <w:vAlign w:val="center"/>
          </w:tcPr>
          <w:p>
            <w:pPr>
              <w:widowControl/>
              <w:jc w:val="center"/>
              <w:textAlignment w:val="bottom"/>
              <w:rPr>
                <w:rFonts w:hint="eastAsia" w:ascii="宋体" w:hAnsi="宋体" w:eastAsia="宋体" w:cs="宋体"/>
                <w:sz w:val="24"/>
                <w:szCs w:val="22"/>
              </w:rPr>
            </w:pPr>
            <w:r>
              <w:rPr>
                <w:rFonts w:hint="eastAsia" w:ascii="宋体" w:hAnsi="宋体" w:eastAsia="宋体" w:cs="宋体"/>
                <w:szCs w:val="21"/>
              </w:rPr>
              <w:t>2019/3/27</w:t>
            </w:r>
          </w:p>
        </w:tc>
        <w:tc>
          <w:tcPr>
            <w:tcW w:w="316" w:type="dxa"/>
            <w:vAlign w:val="center"/>
          </w:tcPr>
          <w:p>
            <w:pPr>
              <w:widowControl/>
              <w:jc w:val="center"/>
              <w:textAlignment w:val="bottom"/>
              <w:rPr>
                <w:rFonts w:hint="eastAsia" w:ascii="宋体" w:hAnsi="宋体" w:eastAsia="宋体" w:cs="宋体"/>
                <w:sz w:val="24"/>
                <w:szCs w:val="22"/>
              </w:rPr>
            </w:pPr>
            <w:r>
              <w:rPr>
                <w:rFonts w:hint="eastAsia" w:ascii="宋体" w:hAnsi="宋体" w:eastAsia="宋体" w:cs="宋体"/>
                <w:szCs w:val="21"/>
              </w:rPr>
              <w:t>北京市</w:t>
            </w:r>
          </w:p>
        </w:tc>
        <w:tc>
          <w:tcPr>
            <w:tcW w:w="317" w:type="dxa"/>
            <w:vAlign w:val="center"/>
          </w:tcPr>
          <w:p>
            <w:pPr>
              <w:widowControl/>
              <w:jc w:val="center"/>
              <w:textAlignment w:val="bottom"/>
              <w:rPr>
                <w:rFonts w:hint="eastAsia" w:ascii="宋体" w:hAnsi="宋体" w:eastAsia="宋体" w:cs="宋体"/>
                <w:sz w:val="24"/>
                <w:szCs w:val="22"/>
              </w:rPr>
            </w:pPr>
            <w:r>
              <w:rPr>
                <w:rFonts w:hint="eastAsia" w:ascii="宋体" w:hAnsi="宋体" w:eastAsia="宋体" w:cs="宋体"/>
                <w:szCs w:val="21"/>
              </w:rPr>
              <w:t>大兴区</w:t>
            </w:r>
          </w:p>
        </w:tc>
        <w:tc>
          <w:tcPr>
            <w:tcW w:w="433" w:type="dxa"/>
            <w:vAlign w:val="center"/>
          </w:tcPr>
          <w:p>
            <w:pPr>
              <w:widowControl/>
              <w:jc w:val="center"/>
              <w:textAlignment w:val="bottom"/>
              <w:rPr>
                <w:rFonts w:hint="eastAsia" w:ascii="宋体" w:hAnsi="宋体" w:eastAsia="宋体" w:cs="宋体"/>
                <w:sz w:val="24"/>
                <w:szCs w:val="22"/>
              </w:rPr>
            </w:pPr>
            <w:r>
              <w:rPr>
                <w:rFonts w:hint="eastAsia" w:ascii="宋体" w:hAnsi="宋体" w:eastAsia="宋体" w:cs="宋体"/>
                <w:szCs w:val="21"/>
              </w:rPr>
              <w:t>礼贤镇</w:t>
            </w:r>
          </w:p>
        </w:tc>
        <w:tc>
          <w:tcPr>
            <w:tcW w:w="834" w:type="dxa"/>
            <w:vAlign w:val="center"/>
          </w:tcPr>
          <w:p>
            <w:pPr>
              <w:widowControl/>
              <w:jc w:val="center"/>
              <w:textAlignment w:val="bottom"/>
              <w:rPr>
                <w:rFonts w:hint="eastAsia" w:ascii="宋体" w:hAnsi="宋体" w:eastAsia="宋体" w:cs="宋体"/>
                <w:sz w:val="24"/>
                <w:szCs w:val="22"/>
              </w:rPr>
            </w:pPr>
            <w:r>
              <w:rPr>
                <w:rFonts w:hint="eastAsia" w:ascii="宋体" w:hAnsi="宋体" w:eastAsia="宋体" w:cs="宋体"/>
                <w:szCs w:val="21"/>
              </w:rPr>
              <w:t>宏林村与京大路交叉口工地</w:t>
            </w:r>
          </w:p>
        </w:tc>
        <w:tc>
          <w:tcPr>
            <w:tcW w:w="866" w:type="dxa"/>
            <w:vAlign w:val="center"/>
          </w:tcPr>
          <w:p>
            <w:pPr>
              <w:widowControl/>
              <w:jc w:val="center"/>
              <w:textAlignment w:val="bottom"/>
              <w:rPr>
                <w:rFonts w:hint="eastAsia" w:ascii="宋体" w:hAnsi="宋体" w:eastAsia="宋体" w:cs="宋体"/>
                <w:color w:val="000000"/>
                <w:szCs w:val="21"/>
              </w:rPr>
            </w:pPr>
            <w:r>
              <w:rPr>
                <w:rFonts w:hint="eastAsia" w:ascii="宋体" w:hAnsi="宋体" w:eastAsia="宋体" w:cs="宋体"/>
                <w:szCs w:val="21"/>
              </w:rPr>
              <w:t>北京市大兴区京大路</w:t>
            </w:r>
          </w:p>
        </w:tc>
        <w:tc>
          <w:tcPr>
            <w:tcW w:w="700" w:type="dxa"/>
            <w:vAlign w:val="center"/>
          </w:tcPr>
          <w:p>
            <w:pPr>
              <w:jc w:val="center"/>
              <w:rPr>
                <w:rFonts w:hint="eastAsia" w:ascii="宋体" w:hAnsi="宋体" w:eastAsia="宋体" w:cs="宋体"/>
                <w:szCs w:val="21"/>
              </w:rPr>
            </w:pPr>
            <w:r>
              <w:rPr>
                <w:rFonts w:hint="eastAsia" w:ascii="宋体" w:hAnsi="宋体" w:eastAsia="宋体" w:cs="宋体"/>
                <w:szCs w:val="21"/>
              </w:rPr>
              <w:t>建筑工地未落实“六个百分百”要求</w:t>
            </w:r>
          </w:p>
        </w:tc>
        <w:tc>
          <w:tcPr>
            <w:tcW w:w="1050" w:type="dxa"/>
            <w:vAlign w:val="center"/>
          </w:tcPr>
          <w:p>
            <w:pPr>
              <w:widowControl/>
              <w:jc w:val="center"/>
              <w:textAlignment w:val="bottom"/>
              <w:rPr>
                <w:rFonts w:hint="eastAsia" w:ascii="宋体" w:hAnsi="宋体" w:eastAsia="宋体" w:cs="宋体"/>
                <w:szCs w:val="21"/>
              </w:rPr>
            </w:pPr>
            <w:r>
              <w:rPr>
                <w:rFonts w:hint="eastAsia" w:ascii="宋体" w:hAnsi="宋体" w:eastAsia="宋体" w:cs="宋体"/>
                <w:szCs w:val="21"/>
              </w:rPr>
              <w:t>现场检查该地正在施工，没有湿法作业。</w:t>
            </w:r>
          </w:p>
        </w:tc>
        <w:tc>
          <w:tcPr>
            <w:tcW w:w="1567" w:type="dxa"/>
            <w:vAlign w:val="center"/>
          </w:tcPr>
          <w:p>
            <w:pPr>
              <w:widowControl/>
              <w:jc w:val="center"/>
              <w:textAlignment w:val="bottom"/>
              <w:rPr>
                <w:rFonts w:hint="eastAsia" w:ascii="宋体" w:hAnsi="宋体" w:eastAsia="宋体" w:cs="宋体"/>
                <w:szCs w:val="21"/>
              </w:rPr>
            </w:pPr>
            <w:r>
              <w:rPr>
                <w:rFonts w:hint="eastAsia" w:ascii="宋体" w:hAnsi="宋体" w:eastAsia="宋体" w:cs="宋体"/>
                <w:szCs w:val="21"/>
              </w:rPr>
              <w:t>进一步调查核实，依据《大气污染防治法》第一百一十五条处罚，严格落实“六个百分之百”要求，加强工地扬尘控制。</w:t>
            </w:r>
          </w:p>
        </w:tc>
        <w:tc>
          <w:tcPr>
            <w:tcW w:w="633" w:type="dxa"/>
            <w:vAlign w:val="center"/>
          </w:tcPr>
          <w:p>
            <w:pPr>
              <w:widowControl/>
              <w:jc w:val="center"/>
              <w:textAlignment w:val="bottom"/>
              <w:rPr>
                <w:rFonts w:hint="eastAsia" w:ascii="宋体" w:hAnsi="宋体" w:eastAsia="宋体" w:cs="宋体"/>
                <w:szCs w:val="21"/>
              </w:rPr>
            </w:pPr>
            <w:r>
              <w:rPr>
                <w:rFonts w:hint="eastAsia" w:ascii="宋体" w:hAnsi="宋体" w:eastAsia="宋体" w:cs="宋体"/>
                <w:szCs w:val="21"/>
              </w:rPr>
              <w:t>2019/4/28</w:t>
            </w:r>
          </w:p>
        </w:tc>
        <w:tc>
          <w:tcPr>
            <w:tcW w:w="4017" w:type="dxa"/>
            <w:vAlign w:val="center"/>
          </w:tcPr>
          <w:p>
            <w:pPr>
              <w:adjustRightInd w:val="0"/>
              <w:snapToGrid w:val="0"/>
              <w:jc w:val="center"/>
              <w:rPr>
                <w:rFonts w:hint="eastAsia" w:ascii="宋体" w:hAnsi="宋体" w:eastAsia="宋体" w:cs="宋体"/>
                <w:szCs w:val="21"/>
              </w:rPr>
            </w:pPr>
            <w:r>
              <w:rPr>
                <w:rFonts w:hint="eastAsia" w:ascii="宋体" w:hAnsi="宋体" w:eastAsia="宋体" w:cs="宋体"/>
                <w:szCs w:val="21"/>
              </w:rPr>
              <w:t>礼贤镇于3月27日对该问题点位进行核查。现场检查发现礼贤镇宏林路与京大路交叉口工地为中铁二十四局承建的大礼路道路拓宽及综合管廊二标段。该标段因征地原因，暂未大面积施工，场内配给两辆降尘车辆，该工区裸土覆盖、工区围挡建设，喷淋设施较为完备。同时针对环境生态部督查发现未湿法作业的问题，礼贤镇要求施工单位加强管理，落实环保责任，并给予停工7天整改处罚。礼贤城管执法队对中铁二十四局集团有限公司违规施工问题进行立案调查，</w:t>
            </w:r>
            <w:r>
              <w:rPr>
                <w:rFonts w:hint="eastAsia" w:ascii="宋体" w:hAnsi="宋体" w:cs="宋体"/>
                <w:szCs w:val="21"/>
                <w:lang w:eastAsia="zh-CN"/>
              </w:rPr>
              <w:t>（案卷号</w:t>
            </w:r>
            <w:r>
              <w:rPr>
                <w:rFonts w:hint="eastAsia" w:ascii="宋体" w:hAnsi="宋体" w:eastAsia="宋体" w:cs="宋体"/>
                <w:szCs w:val="21"/>
              </w:rPr>
              <w:t>：[2019]190076号</w:t>
            </w:r>
            <w:r>
              <w:rPr>
                <w:rFonts w:hint="eastAsia" w:ascii="宋体" w:hAnsi="宋体" w:cs="宋体"/>
                <w:szCs w:val="21"/>
                <w:lang w:eastAsia="zh-CN"/>
              </w:rPr>
              <w:t>）。</w:t>
            </w:r>
            <w:r>
              <w:rPr>
                <w:rFonts w:hint="eastAsia" w:ascii="宋体" w:hAnsi="宋体" w:eastAsia="宋体" w:cs="宋体"/>
                <w:szCs w:val="21"/>
              </w:rPr>
              <w:t>处罚人民币壹万元。</w:t>
            </w:r>
          </w:p>
        </w:tc>
        <w:tc>
          <w:tcPr>
            <w:tcW w:w="1862" w:type="dxa"/>
            <w:vAlign w:val="center"/>
          </w:tcPr>
          <w:p>
            <w:pPr>
              <w:spacing w:line="280" w:lineRule="exact"/>
              <w:jc w:val="center"/>
              <w:rPr>
                <w:rFonts w:hint="eastAsia" w:ascii="宋体" w:hAnsi="宋体" w:eastAsia="宋体" w:cs="宋体"/>
                <w:szCs w:val="21"/>
              </w:rPr>
            </w:pPr>
            <w:r>
              <w:rPr>
                <w:rFonts w:hint="eastAsia" w:ascii="宋体" w:hAnsi="宋体" w:eastAsia="宋体" w:cs="宋体"/>
                <w:szCs w:val="21"/>
                <w:lang w:eastAsia="zh-CN"/>
              </w:rPr>
              <w:t>礼贤镇城管执法队</w:t>
            </w:r>
            <w:r>
              <w:rPr>
                <w:rFonts w:hint="eastAsia" w:ascii="宋体" w:hAnsi="宋体" w:eastAsia="宋体" w:cs="宋体"/>
                <w:szCs w:val="21"/>
              </w:rPr>
              <w:t>处罚人民币壹万元，</w:t>
            </w:r>
            <w:r>
              <w:rPr>
                <w:rFonts w:hint="eastAsia" w:ascii="宋体" w:hAnsi="宋体" w:cs="宋体"/>
                <w:szCs w:val="21"/>
                <w:lang w:eastAsia="zh-CN"/>
              </w:rPr>
              <w:t>（案卷</w:t>
            </w:r>
            <w:r>
              <w:rPr>
                <w:rFonts w:hint="eastAsia" w:ascii="宋体" w:hAnsi="宋体" w:eastAsia="宋体" w:cs="宋体"/>
                <w:szCs w:val="21"/>
              </w:rPr>
              <w:t>号：</w:t>
            </w:r>
            <w:r>
              <w:rPr>
                <w:rFonts w:hint="eastAsia" w:ascii="宋体" w:hAnsi="宋体" w:cs="宋体"/>
                <w:szCs w:val="21"/>
                <w:lang w:eastAsia="zh-CN"/>
              </w:rPr>
              <w:t>京大城管罚字</w:t>
            </w:r>
            <w:r>
              <w:rPr>
                <w:rFonts w:hint="eastAsia" w:ascii="宋体" w:hAnsi="宋体" w:eastAsia="宋体" w:cs="宋体"/>
                <w:szCs w:val="21"/>
              </w:rPr>
              <w:t>[2019]190076号</w:t>
            </w:r>
            <w:r>
              <w:rPr>
                <w:rFonts w:hint="eastAsia" w:ascii="宋体" w:hAnsi="宋体" w:cs="宋体"/>
                <w:szCs w:val="21"/>
                <w:lang w:eastAsia="zh-CN"/>
              </w:rPr>
              <w:t>）</w:t>
            </w:r>
          </w:p>
        </w:tc>
        <w:tc>
          <w:tcPr>
            <w:tcW w:w="667" w:type="dxa"/>
            <w:vAlign w:val="center"/>
          </w:tcPr>
          <w:p>
            <w:pPr>
              <w:adjustRightInd w:val="0"/>
              <w:snapToGrid w:val="0"/>
              <w:jc w:val="center"/>
              <w:rPr>
                <w:rFonts w:hint="eastAsia" w:ascii="宋体" w:hAnsi="宋体" w:eastAsia="宋体" w:cs="宋体"/>
                <w:szCs w:val="21"/>
                <w:lang w:eastAsia="zh-CN"/>
              </w:rPr>
            </w:pPr>
            <w:r>
              <w:rPr>
                <w:rFonts w:hint="eastAsia" w:ascii="宋体" w:hAnsi="宋体" w:eastAsia="宋体" w:cs="宋体"/>
                <w:szCs w:val="21"/>
                <w:lang w:eastAsia="zh-CN"/>
              </w:rPr>
              <w:t>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28" w:type="dxa"/>
            <w:bottom w:w="57" w:type="dxa"/>
            <w:right w:w="28" w:type="dxa"/>
          </w:tblCellMar>
        </w:tblPrEx>
        <w:trPr>
          <w:cantSplit/>
          <w:jc w:val="center"/>
        </w:trPr>
        <w:tc>
          <w:tcPr>
            <w:tcW w:w="654" w:type="dxa"/>
            <w:vAlign w:val="center"/>
          </w:tcPr>
          <w:p>
            <w:pPr>
              <w:widowControl/>
              <w:jc w:val="center"/>
              <w:textAlignment w:val="bottom"/>
              <w:rPr>
                <w:rFonts w:hint="eastAsia" w:ascii="宋体" w:hAnsi="宋体" w:eastAsia="宋体" w:cs="宋体"/>
                <w:sz w:val="24"/>
                <w:szCs w:val="22"/>
              </w:rPr>
            </w:pPr>
            <w:r>
              <w:rPr>
                <w:rFonts w:hint="eastAsia" w:ascii="宋体" w:hAnsi="宋体" w:eastAsia="宋体" w:cs="宋体"/>
                <w:szCs w:val="21"/>
              </w:rPr>
              <w:t>BJ-20-019</w:t>
            </w:r>
          </w:p>
        </w:tc>
        <w:tc>
          <w:tcPr>
            <w:tcW w:w="634" w:type="dxa"/>
            <w:vAlign w:val="center"/>
          </w:tcPr>
          <w:p>
            <w:pPr>
              <w:widowControl/>
              <w:jc w:val="center"/>
              <w:textAlignment w:val="bottom"/>
              <w:rPr>
                <w:rFonts w:hint="eastAsia" w:ascii="宋体" w:hAnsi="宋体" w:eastAsia="宋体" w:cs="宋体"/>
                <w:sz w:val="24"/>
                <w:szCs w:val="22"/>
              </w:rPr>
            </w:pPr>
            <w:r>
              <w:rPr>
                <w:rFonts w:hint="eastAsia" w:ascii="宋体" w:hAnsi="宋体" w:eastAsia="宋体" w:cs="宋体"/>
                <w:szCs w:val="21"/>
              </w:rPr>
              <w:t>2019/3/26</w:t>
            </w:r>
          </w:p>
        </w:tc>
        <w:tc>
          <w:tcPr>
            <w:tcW w:w="316" w:type="dxa"/>
            <w:vAlign w:val="center"/>
          </w:tcPr>
          <w:p>
            <w:pPr>
              <w:widowControl/>
              <w:jc w:val="center"/>
              <w:textAlignment w:val="bottom"/>
              <w:rPr>
                <w:rFonts w:hint="eastAsia" w:ascii="宋体" w:hAnsi="宋体" w:eastAsia="宋体" w:cs="宋体"/>
                <w:sz w:val="24"/>
                <w:szCs w:val="22"/>
              </w:rPr>
            </w:pPr>
            <w:r>
              <w:rPr>
                <w:rFonts w:hint="eastAsia" w:ascii="宋体" w:hAnsi="宋体" w:eastAsia="宋体" w:cs="宋体"/>
                <w:szCs w:val="21"/>
              </w:rPr>
              <w:t>北京市</w:t>
            </w:r>
          </w:p>
        </w:tc>
        <w:tc>
          <w:tcPr>
            <w:tcW w:w="317" w:type="dxa"/>
            <w:vAlign w:val="center"/>
          </w:tcPr>
          <w:p>
            <w:pPr>
              <w:widowControl/>
              <w:jc w:val="center"/>
              <w:textAlignment w:val="bottom"/>
              <w:rPr>
                <w:rFonts w:hint="eastAsia" w:ascii="宋体" w:hAnsi="宋体" w:eastAsia="宋体" w:cs="宋体"/>
                <w:sz w:val="24"/>
                <w:szCs w:val="22"/>
              </w:rPr>
            </w:pPr>
            <w:r>
              <w:rPr>
                <w:rFonts w:hint="eastAsia" w:ascii="宋体" w:hAnsi="宋体" w:eastAsia="宋体" w:cs="宋体"/>
                <w:szCs w:val="21"/>
              </w:rPr>
              <w:t>大兴区</w:t>
            </w:r>
          </w:p>
        </w:tc>
        <w:tc>
          <w:tcPr>
            <w:tcW w:w="433" w:type="dxa"/>
            <w:vAlign w:val="center"/>
          </w:tcPr>
          <w:p>
            <w:pPr>
              <w:widowControl/>
              <w:jc w:val="center"/>
              <w:textAlignment w:val="bottom"/>
              <w:rPr>
                <w:rFonts w:hint="eastAsia" w:ascii="宋体" w:hAnsi="宋体" w:eastAsia="宋体" w:cs="宋体"/>
                <w:sz w:val="24"/>
                <w:szCs w:val="22"/>
                <w:lang w:eastAsia="zh-CN"/>
              </w:rPr>
            </w:pPr>
            <w:r>
              <w:rPr>
                <w:rFonts w:hint="eastAsia" w:ascii="宋体" w:hAnsi="宋体" w:eastAsia="宋体" w:cs="宋体"/>
                <w:szCs w:val="21"/>
                <w:lang w:eastAsia="zh-CN"/>
              </w:rPr>
              <w:t>魏善庄镇</w:t>
            </w:r>
          </w:p>
        </w:tc>
        <w:tc>
          <w:tcPr>
            <w:tcW w:w="834" w:type="dxa"/>
            <w:vAlign w:val="center"/>
          </w:tcPr>
          <w:p>
            <w:pPr>
              <w:widowControl/>
              <w:jc w:val="center"/>
              <w:textAlignment w:val="bottom"/>
              <w:rPr>
                <w:rFonts w:hint="eastAsia" w:ascii="宋体" w:hAnsi="宋体" w:eastAsia="宋体" w:cs="宋体"/>
                <w:sz w:val="24"/>
                <w:szCs w:val="22"/>
              </w:rPr>
            </w:pPr>
            <w:r>
              <w:rPr>
                <w:rFonts w:hint="eastAsia" w:ascii="宋体" w:hAnsi="宋体" w:eastAsia="宋体" w:cs="宋体"/>
                <w:szCs w:val="21"/>
              </w:rPr>
              <w:t>龙海路西端工地</w:t>
            </w:r>
          </w:p>
        </w:tc>
        <w:tc>
          <w:tcPr>
            <w:tcW w:w="866" w:type="dxa"/>
            <w:vAlign w:val="center"/>
          </w:tcPr>
          <w:p>
            <w:pPr>
              <w:widowControl/>
              <w:jc w:val="center"/>
              <w:textAlignment w:val="bottom"/>
              <w:rPr>
                <w:rFonts w:hint="eastAsia" w:ascii="宋体" w:hAnsi="宋体" w:eastAsia="宋体" w:cs="宋体"/>
                <w:color w:val="000000"/>
                <w:szCs w:val="21"/>
              </w:rPr>
            </w:pPr>
            <w:r>
              <w:rPr>
                <w:rFonts w:hint="eastAsia" w:ascii="宋体" w:hAnsi="宋体" w:eastAsia="宋体" w:cs="宋体"/>
                <w:szCs w:val="21"/>
              </w:rPr>
              <w:t>北京市大兴区龙海路</w:t>
            </w:r>
          </w:p>
        </w:tc>
        <w:tc>
          <w:tcPr>
            <w:tcW w:w="700" w:type="dxa"/>
            <w:vAlign w:val="center"/>
          </w:tcPr>
          <w:p>
            <w:pPr>
              <w:jc w:val="center"/>
              <w:rPr>
                <w:rFonts w:hint="eastAsia" w:ascii="宋体" w:hAnsi="宋体" w:eastAsia="宋体" w:cs="宋体"/>
                <w:szCs w:val="21"/>
              </w:rPr>
            </w:pPr>
            <w:r>
              <w:rPr>
                <w:rFonts w:hint="eastAsia" w:ascii="宋体" w:hAnsi="宋体" w:eastAsia="宋体" w:cs="宋体"/>
                <w:szCs w:val="21"/>
              </w:rPr>
              <w:t>建筑工地未落实“六个百分百”要求</w:t>
            </w:r>
          </w:p>
        </w:tc>
        <w:tc>
          <w:tcPr>
            <w:tcW w:w="1050" w:type="dxa"/>
            <w:vAlign w:val="center"/>
          </w:tcPr>
          <w:p>
            <w:pPr>
              <w:widowControl/>
              <w:jc w:val="center"/>
              <w:textAlignment w:val="bottom"/>
              <w:rPr>
                <w:rFonts w:hint="eastAsia" w:ascii="宋体" w:hAnsi="宋体" w:eastAsia="宋体" w:cs="宋体"/>
                <w:szCs w:val="21"/>
              </w:rPr>
            </w:pPr>
            <w:r>
              <w:rPr>
                <w:rFonts w:hint="eastAsia" w:ascii="宋体" w:hAnsi="宋体" w:eastAsia="宋体" w:cs="宋体"/>
                <w:szCs w:val="21"/>
              </w:rPr>
              <w:t>工地进出口未配套车辆清洗装置，工地围挡未完善，现场扬尘问题较严重。</w:t>
            </w:r>
          </w:p>
        </w:tc>
        <w:tc>
          <w:tcPr>
            <w:tcW w:w="1567" w:type="dxa"/>
            <w:vAlign w:val="center"/>
          </w:tcPr>
          <w:p>
            <w:pPr>
              <w:widowControl/>
              <w:jc w:val="center"/>
              <w:textAlignment w:val="bottom"/>
              <w:rPr>
                <w:rFonts w:hint="eastAsia" w:ascii="宋体" w:hAnsi="宋体" w:eastAsia="宋体" w:cs="宋体"/>
                <w:szCs w:val="21"/>
              </w:rPr>
            </w:pPr>
            <w:r>
              <w:rPr>
                <w:rFonts w:hint="eastAsia" w:ascii="宋体" w:hAnsi="宋体" w:eastAsia="宋体" w:cs="宋体"/>
                <w:szCs w:val="21"/>
              </w:rPr>
              <w:t>进一步调查核实，依据《大气污染防治法》第一百一十五条处罚，严格落实“六个百分之百”要求，加强工地扬尘控制。</w:t>
            </w:r>
          </w:p>
        </w:tc>
        <w:tc>
          <w:tcPr>
            <w:tcW w:w="633" w:type="dxa"/>
            <w:vAlign w:val="center"/>
          </w:tcPr>
          <w:p>
            <w:pPr>
              <w:widowControl/>
              <w:jc w:val="center"/>
              <w:textAlignment w:val="bottom"/>
              <w:rPr>
                <w:rFonts w:hint="eastAsia" w:ascii="宋体" w:hAnsi="宋体" w:eastAsia="宋体" w:cs="宋体"/>
                <w:szCs w:val="21"/>
              </w:rPr>
            </w:pPr>
            <w:r>
              <w:rPr>
                <w:rFonts w:hint="eastAsia" w:ascii="宋体" w:hAnsi="宋体" w:eastAsia="宋体" w:cs="宋体"/>
                <w:szCs w:val="21"/>
              </w:rPr>
              <w:t>2019/4/28</w:t>
            </w:r>
          </w:p>
        </w:tc>
        <w:tc>
          <w:tcPr>
            <w:tcW w:w="4017" w:type="dxa"/>
            <w:vAlign w:val="center"/>
          </w:tcPr>
          <w:p>
            <w:pPr>
              <w:adjustRightInd w:val="0"/>
              <w:snapToGrid w:val="0"/>
              <w:jc w:val="center"/>
              <w:rPr>
                <w:rFonts w:hint="eastAsia" w:ascii="宋体" w:hAnsi="宋体" w:eastAsia="宋体" w:cs="宋体"/>
                <w:szCs w:val="21"/>
              </w:rPr>
            </w:pPr>
            <w:r>
              <w:rPr>
                <w:rFonts w:hint="eastAsia" w:ascii="宋体" w:hAnsi="宋体" w:eastAsia="宋体" w:cs="宋体"/>
                <w:szCs w:val="21"/>
              </w:rPr>
              <w:t>魏善庄镇政府已要求该公司对问题点位及周边裸露地表采取高密度的临时苫盖措施，同时设立路障，禁止各类车辆通行。截至3月29日，该点位已整改完毕。魏善庄执法队于2019年3月29日10时50分，到达现场进行调查，经核实现场不属于施工工地，属临时性裸露地表，现场存在未设立路障过往车辆碾压产生扬尘的问题。魏善庄执法队已协调魏善庄镇大气办等相关部门要求该工地对问题点位及周边裸露地表采取高密度的临时苫盖措施，同时设立路障，禁止各类车辆通行。下一步城管执法队将加大对辖区内施工工地检查力度，发现问题及时处理。</w:t>
            </w:r>
          </w:p>
        </w:tc>
        <w:tc>
          <w:tcPr>
            <w:tcW w:w="1862" w:type="dxa"/>
            <w:vAlign w:val="center"/>
          </w:tcPr>
          <w:p>
            <w:pPr>
              <w:spacing w:line="280" w:lineRule="exact"/>
              <w:jc w:val="center"/>
              <w:rPr>
                <w:rFonts w:hint="eastAsia" w:ascii="宋体" w:hAnsi="宋体" w:eastAsia="宋体" w:cs="宋体"/>
                <w:szCs w:val="21"/>
                <w:lang w:eastAsia="zh-CN"/>
              </w:rPr>
            </w:pPr>
            <w:r>
              <w:rPr>
                <w:rFonts w:hint="eastAsia" w:ascii="宋体" w:hAnsi="宋体" w:cs="宋体"/>
                <w:szCs w:val="21"/>
                <w:lang w:eastAsia="zh-CN"/>
              </w:rPr>
              <w:t>经魏善庄城管执法队核实该问题已整改完成</w:t>
            </w:r>
            <w:bookmarkStart w:id="0" w:name="_GoBack"/>
            <w:bookmarkEnd w:id="0"/>
          </w:p>
        </w:tc>
        <w:tc>
          <w:tcPr>
            <w:tcW w:w="667" w:type="dxa"/>
            <w:vAlign w:val="center"/>
          </w:tcPr>
          <w:p>
            <w:pPr>
              <w:adjustRightInd w:val="0"/>
              <w:snapToGrid w:val="0"/>
              <w:jc w:val="center"/>
              <w:rPr>
                <w:rFonts w:hint="eastAsia" w:ascii="宋体" w:hAnsi="宋体" w:eastAsia="宋体" w:cs="宋体"/>
                <w:szCs w:val="21"/>
                <w:lang w:eastAsia="zh-CN"/>
              </w:rPr>
            </w:pPr>
            <w:r>
              <w:rPr>
                <w:rFonts w:hint="eastAsia" w:ascii="宋体" w:hAnsi="宋体" w:eastAsia="宋体" w:cs="宋体"/>
                <w:szCs w:val="21"/>
                <w:lang w:eastAsia="zh-CN"/>
              </w:rPr>
              <w:t>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28" w:type="dxa"/>
            <w:bottom w:w="57" w:type="dxa"/>
            <w:right w:w="28" w:type="dxa"/>
          </w:tblCellMar>
        </w:tblPrEx>
        <w:trPr>
          <w:cantSplit/>
          <w:jc w:val="center"/>
        </w:trPr>
        <w:tc>
          <w:tcPr>
            <w:tcW w:w="654" w:type="dxa"/>
            <w:vAlign w:val="center"/>
          </w:tcPr>
          <w:p>
            <w:pPr>
              <w:widowControl/>
              <w:jc w:val="center"/>
              <w:textAlignment w:val="bottom"/>
              <w:rPr>
                <w:rFonts w:hint="eastAsia" w:ascii="宋体" w:hAnsi="宋体" w:eastAsia="宋体" w:cs="宋体"/>
                <w:sz w:val="24"/>
                <w:szCs w:val="22"/>
              </w:rPr>
            </w:pPr>
            <w:r>
              <w:rPr>
                <w:rFonts w:hint="eastAsia" w:ascii="宋体" w:hAnsi="宋体" w:eastAsia="宋体" w:cs="宋体"/>
                <w:szCs w:val="21"/>
              </w:rPr>
              <w:t>BJ-20-020</w:t>
            </w:r>
          </w:p>
        </w:tc>
        <w:tc>
          <w:tcPr>
            <w:tcW w:w="634" w:type="dxa"/>
            <w:vAlign w:val="center"/>
          </w:tcPr>
          <w:p>
            <w:pPr>
              <w:widowControl/>
              <w:jc w:val="center"/>
              <w:textAlignment w:val="bottom"/>
              <w:rPr>
                <w:rFonts w:hint="eastAsia" w:ascii="宋体" w:hAnsi="宋体" w:eastAsia="宋体" w:cs="宋体"/>
                <w:sz w:val="24"/>
                <w:szCs w:val="22"/>
              </w:rPr>
            </w:pPr>
            <w:r>
              <w:rPr>
                <w:rFonts w:hint="eastAsia" w:ascii="宋体" w:hAnsi="宋体" w:eastAsia="宋体" w:cs="宋体"/>
                <w:szCs w:val="21"/>
              </w:rPr>
              <w:t>2019/3/26</w:t>
            </w:r>
          </w:p>
        </w:tc>
        <w:tc>
          <w:tcPr>
            <w:tcW w:w="316" w:type="dxa"/>
            <w:vAlign w:val="center"/>
          </w:tcPr>
          <w:p>
            <w:pPr>
              <w:widowControl/>
              <w:jc w:val="center"/>
              <w:textAlignment w:val="bottom"/>
              <w:rPr>
                <w:rFonts w:hint="eastAsia" w:ascii="宋体" w:hAnsi="宋体" w:eastAsia="宋体" w:cs="宋体"/>
                <w:sz w:val="24"/>
                <w:szCs w:val="22"/>
              </w:rPr>
            </w:pPr>
            <w:r>
              <w:rPr>
                <w:rFonts w:hint="eastAsia" w:ascii="宋体" w:hAnsi="宋体" w:eastAsia="宋体" w:cs="宋体"/>
                <w:szCs w:val="21"/>
              </w:rPr>
              <w:t>北京市</w:t>
            </w:r>
          </w:p>
        </w:tc>
        <w:tc>
          <w:tcPr>
            <w:tcW w:w="317" w:type="dxa"/>
            <w:vAlign w:val="center"/>
          </w:tcPr>
          <w:p>
            <w:pPr>
              <w:widowControl/>
              <w:jc w:val="center"/>
              <w:textAlignment w:val="bottom"/>
              <w:rPr>
                <w:rFonts w:hint="eastAsia" w:ascii="宋体" w:hAnsi="宋体" w:eastAsia="宋体" w:cs="宋体"/>
                <w:sz w:val="24"/>
                <w:szCs w:val="22"/>
              </w:rPr>
            </w:pPr>
            <w:r>
              <w:rPr>
                <w:rFonts w:hint="eastAsia" w:ascii="宋体" w:hAnsi="宋体" w:eastAsia="宋体" w:cs="宋体"/>
                <w:szCs w:val="21"/>
              </w:rPr>
              <w:t>大兴区</w:t>
            </w:r>
          </w:p>
        </w:tc>
        <w:tc>
          <w:tcPr>
            <w:tcW w:w="433" w:type="dxa"/>
            <w:vAlign w:val="center"/>
          </w:tcPr>
          <w:p>
            <w:pPr>
              <w:widowControl/>
              <w:jc w:val="center"/>
              <w:textAlignment w:val="bottom"/>
              <w:rPr>
                <w:rFonts w:hint="eastAsia" w:ascii="宋体" w:hAnsi="宋体" w:eastAsia="宋体" w:cs="宋体"/>
                <w:sz w:val="24"/>
                <w:szCs w:val="22"/>
                <w:lang w:eastAsia="zh-CN"/>
              </w:rPr>
            </w:pPr>
            <w:r>
              <w:rPr>
                <w:rFonts w:hint="eastAsia" w:ascii="宋体" w:hAnsi="宋体" w:eastAsia="宋体" w:cs="宋体"/>
                <w:szCs w:val="21"/>
                <w:lang w:eastAsia="zh-CN"/>
              </w:rPr>
              <w:t>西红门镇</w:t>
            </w:r>
          </w:p>
        </w:tc>
        <w:tc>
          <w:tcPr>
            <w:tcW w:w="834" w:type="dxa"/>
            <w:vAlign w:val="center"/>
          </w:tcPr>
          <w:p>
            <w:pPr>
              <w:widowControl/>
              <w:jc w:val="center"/>
              <w:textAlignment w:val="bottom"/>
              <w:rPr>
                <w:rFonts w:hint="eastAsia" w:ascii="宋体" w:hAnsi="宋体" w:eastAsia="宋体" w:cs="宋体"/>
                <w:sz w:val="24"/>
                <w:szCs w:val="22"/>
              </w:rPr>
            </w:pPr>
            <w:r>
              <w:rPr>
                <w:rFonts w:hint="eastAsia" w:ascii="宋体" w:hAnsi="宋体" w:eastAsia="宋体" w:cs="宋体"/>
                <w:szCs w:val="21"/>
              </w:rPr>
              <w:t>西红门南桥东北侧工地</w:t>
            </w:r>
          </w:p>
        </w:tc>
        <w:tc>
          <w:tcPr>
            <w:tcW w:w="866" w:type="dxa"/>
            <w:vAlign w:val="center"/>
          </w:tcPr>
          <w:p>
            <w:pPr>
              <w:widowControl/>
              <w:jc w:val="center"/>
              <w:textAlignment w:val="bottom"/>
              <w:rPr>
                <w:rFonts w:hint="eastAsia" w:ascii="宋体" w:hAnsi="宋体" w:eastAsia="宋体" w:cs="宋体"/>
                <w:color w:val="000000"/>
                <w:szCs w:val="21"/>
              </w:rPr>
            </w:pPr>
            <w:r>
              <w:rPr>
                <w:rFonts w:hint="eastAsia" w:ascii="宋体" w:hAnsi="宋体" w:eastAsia="宋体" w:cs="宋体"/>
                <w:szCs w:val="21"/>
              </w:rPr>
              <w:t>北京市大兴区北兴路</w:t>
            </w:r>
          </w:p>
        </w:tc>
        <w:tc>
          <w:tcPr>
            <w:tcW w:w="700" w:type="dxa"/>
            <w:vAlign w:val="center"/>
          </w:tcPr>
          <w:p>
            <w:pPr>
              <w:jc w:val="center"/>
              <w:rPr>
                <w:rFonts w:hint="eastAsia" w:ascii="宋体" w:hAnsi="宋体" w:eastAsia="宋体" w:cs="宋体"/>
                <w:szCs w:val="21"/>
              </w:rPr>
            </w:pPr>
            <w:r>
              <w:rPr>
                <w:rFonts w:hint="eastAsia" w:ascii="宋体" w:hAnsi="宋体" w:eastAsia="宋体" w:cs="宋体"/>
                <w:szCs w:val="21"/>
              </w:rPr>
              <w:t>建筑工地未落实“六个百分百”要求</w:t>
            </w:r>
          </w:p>
        </w:tc>
        <w:tc>
          <w:tcPr>
            <w:tcW w:w="1050" w:type="dxa"/>
            <w:vAlign w:val="center"/>
          </w:tcPr>
          <w:p>
            <w:pPr>
              <w:widowControl/>
              <w:jc w:val="center"/>
              <w:textAlignment w:val="bottom"/>
              <w:rPr>
                <w:rFonts w:hint="eastAsia" w:ascii="宋体" w:hAnsi="宋体" w:eastAsia="宋体" w:cs="宋体"/>
                <w:szCs w:val="21"/>
              </w:rPr>
            </w:pPr>
            <w:r>
              <w:rPr>
                <w:rFonts w:hint="eastAsia" w:ascii="宋体" w:hAnsi="宋体" w:eastAsia="宋体" w:cs="宋体"/>
                <w:szCs w:val="21"/>
              </w:rPr>
              <w:t>现场检查发现该场地，露天堆放物料，未采取防尘网苫盖。</w:t>
            </w:r>
          </w:p>
        </w:tc>
        <w:tc>
          <w:tcPr>
            <w:tcW w:w="1567" w:type="dxa"/>
            <w:vAlign w:val="center"/>
          </w:tcPr>
          <w:p>
            <w:pPr>
              <w:widowControl/>
              <w:jc w:val="center"/>
              <w:textAlignment w:val="bottom"/>
              <w:rPr>
                <w:rFonts w:hint="eastAsia" w:ascii="宋体" w:hAnsi="宋体" w:eastAsia="宋体" w:cs="宋体"/>
                <w:szCs w:val="21"/>
              </w:rPr>
            </w:pPr>
            <w:r>
              <w:rPr>
                <w:rFonts w:hint="eastAsia" w:ascii="宋体" w:hAnsi="宋体" w:eastAsia="宋体" w:cs="宋体"/>
                <w:szCs w:val="21"/>
              </w:rPr>
              <w:t>进一步调查核实，依据《大气污染防治法》第一百一十五条处罚，严格落实“六个百分之百”要求，加强工地扬尘控制。</w:t>
            </w:r>
          </w:p>
        </w:tc>
        <w:tc>
          <w:tcPr>
            <w:tcW w:w="633" w:type="dxa"/>
            <w:vAlign w:val="center"/>
          </w:tcPr>
          <w:p>
            <w:pPr>
              <w:widowControl/>
              <w:jc w:val="center"/>
              <w:textAlignment w:val="bottom"/>
              <w:rPr>
                <w:rFonts w:hint="eastAsia" w:ascii="宋体" w:hAnsi="宋体" w:eastAsia="宋体" w:cs="宋体"/>
                <w:szCs w:val="21"/>
              </w:rPr>
            </w:pPr>
            <w:r>
              <w:rPr>
                <w:rFonts w:hint="eastAsia" w:ascii="宋体" w:hAnsi="宋体" w:eastAsia="宋体" w:cs="宋体"/>
                <w:szCs w:val="21"/>
              </w:rPr>
              <w:t>2019/4/28</w:t>
            </w:r>
          </w:p>
        </w:tc>
        <w:tc>
          <w:tcPr>
            <w:tcW w:w="4017" w:type="dxa"/>
            <w:vAlign w:val="center"/>
          </w:tcPr>
          <w:p>
            <w:pPr>
              <w:adjustRightInd w:val="0"/>
              <w:snapToGrid w:val="0"/>
              <w:jc w:val="center"/>
              <w:rPr>
                <w:rFonts w:hint="eastAsia" w:ascii="宋体" w:hAnsi="宋体" w:eastAsia="宋体" w:cs="宋体"/>
                <w:szCs w:val="21"/>
              </w:rPr>
            </w:pPr>
            <w:r>
              <w:rPr>
                <w:rFonts w:hint="eastAsia" w:ascii="宋体" w:hAnsi="宋体" w:eastAsia="宋体" w:cs="宋体"/>
                <w:szCs w:val="21"/>
              </w:rPr>
              <w:t>经西红门镇政府和城管执法队进行现场检查，该点位为西红门镇政府拆迁粉碎项目中专门划出的一块区域作为建筑垃圾粉碎的处置场所，施工方为北京兴海万达建筑有限公司。2019年3月29日进行现场检查时发现，现场已覆盖完毕。西红门城管执法队已对北京兴海万达建筑有限公司立案进行调查；并依据依据《北京市大气污染防治条例》第一百二十二条之规定，拟对北京兴海万达建筑有限公司“建筑垃圾资源化处置场未实施分区作业或者未采取措施防治扬尘污染”的行为处以罚款人民币壹万元（案卷号：京大城管罚字[2019]060092号）。</w:t>
            </w:r>
          </w:p>
        </w:tc>
        <w:tc>
          <w:tcPr>
            <w:tcW w:w="1862" w:type="dxa"/>
            <w:vAlign w:val="center"/>
          </w:tcPr>
          <w:p>
            <w:pPr>
              <w:spacing w:line="280" w:lineRule="exact"/>
              <w:jc w:val="center"/>
              <w:rPr>
                <w:rFonts w:hint="eastAsia" w:ascii="宋体" w:hAnsi="宋体" w:eastAsia="宋体" w:cs="宋体"/>
                <w:szCs w:val="21"/>
              </w:rPr>
            </w:pPr>
            <w:r>
              <w:rPr>
                <w:rFonts w:hint="eastAsia" w:ascii="宋体" w:hAnsi="宋体" w:eastAsia="宋体" w:cs="宋体"/>
                <w:szCs w:val="21"/>
                <w:lang w:eastAsia="zh-CN"/>
              </w:rPr>
              <w:t>西红门城管执法队拟</w:t>
            </w:r>
            <w:r>
              <w:rPr>
                <w:rFonts w:hint="eastAsia" w:ascii="宋体" w:hAnsi="宋体" w:eastAsia="宋体" w:cs="宋体"/>
                <w:szCs w:val="21"/>
              </w:rPr>
              <w:t>罚款人民币壹万元（案卷号：京大城管罚字[2019]060092号）</w:t>
            </w:r>
          </w:p>
        </w:tc>
        <w:tc>
          <w:tcPr>
            <w:tcW w:w="667" w:type="dxa"/>
            <w:vAlign w:val="center"/>
          </w:tcPr>
          <w:p>
            <w:pPr>
              <w:adjustRightInd w:val="0"/>
              <w:snapToGrid w:val="0"/>
              <w:jc w:val="center"/>
              <w:rPr>
                <w:rFonts w:hint="eastAsia" w:ascii="宋体" w:hAnsi="宋体" w:eastAsia="宋体" w:cs="宋体"/>
                <w:szCs w:val="21"/>
                <w:lang w:eastAsia="zh-CN"/>
              </w:rPr>
            </w:pPr>
            <w:r>
              <w:rPr>
                <w:rFonts w:hint="eastAsia" w:ascii="宋体" w:hAnsi="宋体" w:cs="宋体"/>
                <w:szCs w:val="21"/>
                <w:lang w:eastAsia="zh-CN"/>
              </w:rPr>
              <w:t>是</w:t>
            </w:r>
          </w:p>
        </w:tc>
      </w:tr>
    </w:tbl>
    <w:p/>
    <w:sectPr>
      <w:pgSz w:w="16838" w:h="11906" w:orient="landscape"/>
      <w:pgMar w:top="1588" w:right="1191" w:bottom="1474" w:left="1134" w:header="851" w:footer="794"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2ABA5488"/>
    <w:rsid w:val="02986DD2"/>
    <w:rsid w:val="07C95455"/>
    <w:rsid w:val="0C9E6C42"/>
    <w:rsid w:val="0E130E95"/>
    <w:rsid w:val="0E945A78"/>
    <w:rsid w:val="148C1946"/>
    <w:rsid w:val="19767855"/>
    <w:rsid w:val="1EAA6E5D"/>
    <w:rsid w:val="20174E36"/>
    <w:rsid w:val="2ABA5488"/>
    <w:rsid w:val="2BB01839"/>
    <w:rsid w:val="2F00322A"/>
    <w:rsid w:val="347D19AD"/>
    <w:rsid w:val="36273F67"/>
    <w:rsid w:val="38022573"/>
    <w:rsid w:val="3B43394A"/>
    <w:rsid w:val="3F472860"/>
    <w:rsid w:val="41AB7ACC"/>
    <w:rsid w:val="43B91DAA"/>
    <w:rsid w:val="46DB614F"/>
    <w:rsid w:val="49F650E8"/>
    <w:rsid w:val="4A876BD5"/>
    <w:rsid w:val="4AF76CCD"/>
    <w:rsid w:val="4CB44D72"/>
    <w:rsid w:val="4DE4311A"/>
    <w:rsid w:val="52BB6B4A"/>
    <w:rsid w:val="54D01D7C"/>
    <w:rsid w:val="58C91339"/>
    <w:rsid w:val="5ADF64A5"/>
    <w:rsid w:val="5D8F5D8E"/>
    <w:rsid w:val="603B227C"/>
    <w:rsid w:val="61A274BD"/>
    <w:rsid w:val="63133E9C"/>
    <w:rsid w:val="64AF16BF"/>
    <w:rsid w:val="691163F0"/>
    <w:rsid w:val="6E7C1326"/>
    <w:rsid w:val="7284105E"/>
    <w:rsid w:val="737230F7"/>
    <w:rsid w:val="79063A1D"/>
    <w:rsid w:val="7AAB1B4F"/>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Style w:val="3"/>
      <w:tblLayout w:type="fixed"/>
      <w:tblCellMar>
        <w:top w:w="0" w:type="dxa"/>
        <w:left w:w="108" w:type="dxa"/>
        <w:bottom w:w="0" w:type="dxa"/>
        <w:right w:w="108" w:type="dxa"/>
      </w:tblCellMar>
    </w:tblPr>
    <w:tcPr>
      <w:textDirection w:val="lrTb"/>
    </w:tc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2019-05-21T03:22:00Z</dcterms:created>
  <dc:creator>肉肉</dc:creator>
  <cp:lastModifiedBy>政府督查室</cp:lastModifiedBy>
  <dcterms:modified xsi:type="dcterms:W3CDTF">2019-06-10T01:49:47Z</dcterms:modified>
  <dc:title>大兴区强化监督督办问题整改查处情况 - 第二十轮</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