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640" w:lineRule="exact"/>
        <w:ind w:firstLine="0" w:firstLineChars="0"/>
        <w:jc w:val="center"/>
        <w:textAlignment w:val="auto"/>
        <w:rPr>
          <w:rFonts w:hint="eastAsia" w:ascii="方正小标宋简体" w:hAnsi="文星标宋" w:eastAsia="方正小标宋简体" w:cs="方正小标宋简体"/>
          <w:kern w:val="2"/>
          <w:sz w:val="44"/>
          <w:szCs w:val="44"/>
          <w:highlight w:val="none"/>
        </w:rPr>
      </w:pPr>
      <w:r>
        <w:rPr>
          <w:rFonts w:hint="eastAsia" w:ascii="方正小标宋简体" w:hAnsi="文星标宋" w:eastAsia="方正小标宋简体" w:cs="方正小标宋简体"/>
          <w:kern w:val="2"/>
          <w:sz w:val="44"/>
          <w:szCs w:val="44"/>
          <w:highlight w:val="none"/>
        </w:rPr>
        <w:t>北京市大兴区突发环境事件应急预案</w:t>
      </w:r>
    </w:p>
    <w:p>
      <w:pPr>
        <w:widowControl w:val="0"/>
        <w:adjustRightInd/>
        <w:snapToGrid/>
        <w:spacing w:line="640" w:lineRule="exact"/>
        <w:ind w:firstLine="0" w:firstLineChars="0"/>
        <w:jc w:val="center"/>
        <w:textAlignment w:val="auto"/>
        <w:rPr>
          <w:rFonts w:hint="eastAsia" w:ascii="楷体_GB2312" w:hAnsi="楷体_GB2312" w:eastAsia="楷体_GB2312" w:cs="楷体_GB2312"/>
          <w:kern w:val="2"/>
          <w:sz w:val="32"/>
          <w:szCs w:val="22"/>
          <w:highlight w:val="none"/>
        </w:rPr>
      </w:pPr>
      <w:r>
        <w:rPr>
          <w:rFonts w:hint="eastAsia" w:ascii="楷体_GB2312" w:hAnsi="楷体_GB2312" w:eastAsia="楷体_GB2312" w:cs="楷体_GB2312"/>
          <w:kern w:val="2"/>
          <w:sz w:val="32"/>
          <w:szCs w:val="22"/>
          <w:highlight w:val="none"/>
        </w:rPr>
        <w:t>（2023年修订）</w:t>
      </w:r>
    </w:p>
    <w:p>
      <w:pPr>
        <w:pStyle w:val="20"/>
        <w:adjustRightInd/>
        <w:snapToGrid/>
        <w:spacing w:line="720" w:lineRule="auto"/>
        <w:ind w:firstLine="0" w:firstLineChars="0"/>
        <w:jc w:val="center"/>
        <w:textAlignment w:val="auto"/>
        <w:rPr>
          <w:rFonts w:ascii="黑体" w:hAnsi="黑体" w:eastAsia="黑体" w:cs="黑体"/>
          <w:bCs/>
          <w:color w:val="auto"/>
          <w:szCs w:val="28"/>
          <w:highlight w:val="none"/>
        </w:rPr>
      </w:pPr>
      <w:r>
        <w:rPr>
          <w:rFonts w:hint="eastAsia" w:ascii="黑体" w:hAnsi="黑体" w:eastAsia="黑体" w:cs="黑体"/>
          <w:bCs/>
          <w:color w:val="auto"/>
          <w:szCs w:val="28"/>
          <w:highlight w:val="none"/>
        </w:rPr>
        <w:t>（</w:t>
      </w:r>
      <w:r>
        <w:rPr>
          <w:rFonts w:hint="eastAsia" w:ascii="黑体" w:hAnsi="黑体" w:eastAsia="黑体" w:cs="黑体"/>
          <w:bCs/>
          <w:color w:val="auto"/>
          <w:szCs w:val="28"/>
          <w:highlight w:val="none"/>
          <w:lang w:val="en-US" w:eastAsia="zh-CN"/>
        </w:rPr>
        <w:t>征求意见稿</w:t>
      </w:r>
      <w:r>
        <w:rPr>
          <w:rFonts w:hint="eastAsia" w:ascii="黑体" w:hAnsi="黑体" w:eastAsia="黑体" w:cs="黑体"/>
          <w:bCs/>
          <w:color w:val="auto"/>
          <w:szCs w:val="28"/>
          <w:highlight w:val="none"/>
        </w:rPr>
        <w:t>）</w:t>
      </w:r>
    </w:p>
    <w:p>
      <w:pPr>
        <w:widowControl w:val="0"/>
        <w:adjustRightInd/>
        <w:snapToGrid/>
        <w:spacing w:line="560" w:lineRule="exact"/>
        <w:ind w:firstLine="0" w:firstLineChars="0"/>
        <w:jc w:val="center"/>
        <w:textAlignment w:val="auto"/>
        <w:rPr>
          <w:rFonts w:hint="eastAsia" w:ascii="黑体" w:hAnsi="黑体" w:eastAsia="黑体" w:cs="黑体"/>
          <w:kern w:val="36"/>
          <w:sz w:val="32"/>
          <w:szCs w:val="32"/>
          <w:highlight w:val="none"/>
        </w:rPr>
      </w:pPr>
      <w:r>
        <w:rPr>
          <w:rFonts w:hint="eastAsia" w:ascii="黑体" w:hAnsi="黑体" w:eastAsia="黑体" w:cs="黑体"/>
          <w:kern w:val="36"/>
          <w:sz w:val="32"/>
          <w:szCs w:val="32"/>
          <w:highlight w:val="none"/>
        </w:rPr>
        <w:t>目  录</w:t>
      </w:r>
    </w:p>
    <w:p>
      <w:pPr>
        <w:pStyle w:val="17"/>
        <w:tabs>
          <w:tab w:val="right" w:leader="dot" w:pos="8306"/>
        </w:tabs>
        <w:rPr>
          <w:rFonts w:hint="eastAsia" w:ascii="黑体" w:hAnsi="黑体" w:eastAsia="黑体" w:cs="黑体"/>
          <w:kern w:val="2"/>
          <w:sz w:val="32"/>
          <w:szCs w:val="32"/>
          <w:highlight w:val="none"/>
          <w:lang w:val="en-US" w:eastAsia="zh-CN" w:bidi="ar-SA"/>
        </w:rPr>
      </w:pPr>
      <w:r>
        <w:rPr>
          <w:highlight w:val="none"/>
        </w:rPr>
        <w:fldChar w:fldCharType="begin"/>
      </w:r>
      <w:r>
        <w:rPr>
          <w:highlight w:val="none"/>
        </w:rPr>
        <w:instrText xml:space="preserve">TOC \o "1-3" \n  \h \u </w:instrText>
      </w:r>
      <w:r>
        <w:rPr>
          <w:highlight w:val="none"/>
        </w:rPr>
        <w:fldChar w:fldCharType="separate"/>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_Toc29554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1 总则</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_Toc72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1.1 编制目的与依据</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_Toc14256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1.2 适用范围</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_Toc15467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1.3 风险分析</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_Toc8016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1.4 工作原则</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_Toc3476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1.5 事件分级</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_Toc32610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1.6 应急预案体系</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_Toc12245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2 组织机构及职责</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_Toc6609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2.1 区环境应急协调小组</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_Toc784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2.2 区环境应急协调小组办公室</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_Toc17966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2.3 区环境应急协调小组成员单位</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_Toc25336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2.4 区突发环境事件临时应急指挥部</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_Toc29210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 xml:space="preserve">2.5 </w:t>
      </w:r>
      <w:r>
        <w:rPr>
          <w:rFonts w:hint="eastAsia" w:ascii="仿宋_GB2312" w:hAnsi="仿宋_GB2312" w:eastAsia="仿宋_GB2312" w:cs="仿宋_GB2312"/>
          <w:spacing w:val="-20"/>
          <w:kern w:val="0"/>
          <w:sz w:val="32"/>
          <w:szCs w:val="32"/>
          <w:highlight w:val="none"/>
          <w:lang w:val="en-US" w:eastAsia="zh-CN" w:bidi="ar-SA"/>
        </w:rPr>
        <w:t>镇政府（街道办事处、功能区管委会）工作机构</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_Toc3170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3 监测与预警</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_Toc15854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3.1 监测与风险防控</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_Toc24447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3.2 预警</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_Toc29929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4 应急响应与处置</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_Toc19736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4.1 先期处置</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_Toc4325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4.2 信息报送与通报</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_Toc22560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4.3 分级响应</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_Toc9083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4.4 现场指挥部</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_Toc4983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4.5 处置程序与措施</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_Toc600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4.6 信息发布和舆论引导</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_Toc3680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4.7 应急结束</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_Toc15505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5 后期工作</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_Toc18109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5.1 善后处置</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_Toc12773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5.2 损害评估</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_Toc6883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5.3 事件调查</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_Toc15158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5.4 总结评估</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_Toc30796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5.5 奖励处罚</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_Toc5902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6 应急保障</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_Toc26663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6.1 队伍保障</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_Toc7787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6.2 技术保障</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_Toc10725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6.3 通信、交通与运输保障</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_Toc15316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6.4 装备物资保障</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_Toc27486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6.5 资金保障</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_Toc25964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6.6 机制保障</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_Toc29485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6.7 应急值守</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_Toc21596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7 预案管理</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_Toc22249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7.1 制订与备案</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_Toc19626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7.2 应急演练</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_Toc25632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7.3 宣传与培训</w:t>
      </w:r>
      <w:r>
        <w:rPr>
          <w:rFonts w:hint="eastAsia" w:ascii="仿宋_GB2312" w:hAnsi="仿宋_GB2312" w:eastAsia="仿宋_GB2312" w:cs="仿宋_GB2312"/>
          <w:kern w:val="0"/>
          <w:sz w:val="32"/>
          <w:szCs w:val="32"/>
          <w:highlight w:val="none"/>
          <w:lang w:val="en-US" w:eastAsia="zh-CN" w:bidi="ar-SA"/>
        </w:rPr>
        <w:fldChar w:fldCharType="end"/>
      </w:r>
    </w:p>
    <w:p>
      <w:pPr>
        <w:pStyle w:val="17"/>
        <w:tabs>
          <w:tab w:val="right" w:pos="8306"/>
        </w:tabs>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_Toc8383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8 附则与附件</w:t>
      </w:r>
      <w:r>
        <w:rPr>
          <w:rFonts w:hint="eastAsia" w:ascii="黑体" w:hAnsi="黑体" w:eastAsia="黑体" w:cs="黑体"/>
          <w:kern w:val="2"/>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_Toc23112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8.1 名词术语</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_Toc13867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8.2 预案说明</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leftChars="200" w:firstLine="0" w:firstLineChars="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_Toc17656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附件1</w:t>
      </w:r>
      <w:r>
        <w:rPr>
          <w:rFonts w:hint="eastAsia" w:ascii="仿宋_GB2312" w:hAnsi="仿宋_GB2312" w:eastAsia="仿宋_GB2312" w:cs="仿宋_GB2312"/>
          <w:kern w:val="0"/>
          <w:sz w:val="32"/>
          <w:szCs w:val="32"/>
          <w:highlight w:val="none"/>
          <w:lang w:val="en-US" w:eastAsia="zh-CN" w:bidi="ar-SA"/>
        </w:rPr>
        <w:fldChar w:fldCharType="end"/>
      </w: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_Toc15712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北京市突发环境事件分级标准</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leftChars="200" w:firstLine="0" w:firstLineChars="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cs="仿宋_GB2312"/>
          <w:kern w:val="0"/>
          <w:sz w:val="32"/>
          <w:szCs w:val="32"/>
          <w:highlight w:val="none"/>
          <w:lang w:val="en-US" w:eastAsia="zh-CN" w:bidi="ar-SA"/>
        </w:rPr>
        <w:t>附件2</w:t>
      </w: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_Toc7298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北京市大兴区突发环境事件应急预案体系名录</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leftChars="200" w:firstLine="0" w:firstLineChars="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_Toc3409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附件</w:t>
      </w:r>
      <w:r>
        <w:rPr>
          <w:rFonts w:hint="eastAsia" w:ascii="仿宋_GB2312" w:hAnsi="仿宋_GB2312" w:cs="仿宋_GB2312"/>
          <w:kern w:val="0"/>
          <w:sz w:val="32"/>
          <w:szCs w:val="32"/>
          <w:highlight w:val="none"/>
          <w:lang w:val="en-US" w:eastAsia="zh-CN" w:bidi="ar-SA"/>
        </w:rPr>
        <w:t>3</w:t>
      </w:r>
      <w:r>
        <w:rPr>
          <w:rFonts w:hint="eastAsia" w:ascii="仿宋_GB2312" w:hAnsi="仿宋_GB2312" w:eastAsia="仿宋_GB2312" w:cs="仿宋_GB2312"/>
          <w:kern w:val="0"/>
          <w:sz w:val="32"/>
          <w:szCs w:val="32"/>
          <w:highlight w:val="none"/>
          <w:lang w:val="en-US" w:eastAsia="zh-CN" w:bidi="ar-SA"/>
        </w:rPr>
        <w:fldChar w:fldCharType="end"/>
      </w: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_Toc19838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大兴区突发环境事件应急响应程序示意图</w:t>
      </w:r>
      <w:r>
        <w:rPr>
          <w:rFonts w:hint="eastAsia" w:ascii="仿宋_GB2312" w:hAnsi="仿宋_GB2312" w:eastAsia="仿宋_GB2312" w:cs="仿宋_GB2312"/>
          <w:kern w:val="0"/>
          <w:sz w:val="32"/>
          <w:szCs w:val="32"/>
          <w:highlight w:val="none"/>
          <w:lang w:val="en-US" w:eastAsia="zh-CN" w:bidi="ar-SA"/>
        </w:rPr>
        <w:fldChar w:fldCharType="end"/>
      </w:r>
    </w:p>
    <w:p>
      <w:pPr>
        <w:pStyle w:val="3"/>
        <w:tabs>
          <w:tab w:val="right" w:pos="8306"/>
        </w:tabs>
        <w:ind w:left="560" w:leftChars="200" w:firstLine="0" w:firstLineChars="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_Toc925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附件</w:t>
      </w:r>
      <w:r>
        <w:rPr>
          <w:rFonts w:hint="eastAsia" w:ascii="仿宋_GB2312" w:hAnsi="仿宋_GB2312" w:cs="仿宋_GB2312"/>
          <w:kern w:val="0"/>
          <w:sz w:val="32"/>
          <w:szCs w:val="32"/>
          <w:highlight w:val="none"/>
          <w:lang w:val="en-US" w:eastAsia="zh-CN" w:bidi="ar-SA"/>
        </w:rPr>
        <w:t>4</w:t>
      </w:r>
      <w:r>
        <w:rPr>
          <w:rFonts w:hint="eastAsia" w:ascii="仿宋_GB2312" w:hAnsi="仿宋_GB2312" w:eastAsia="仿宋_GB2312" w:cs="仿宋_GB2312"/>
          <w:kern w:val="0"/>
          <w:sz w:val="32"/>
          <w:szCs w:val="32"/>
          <w:highlight w:val="none"/>
          <w:lang w:val="en-US" w:eastAsia="zh-CN" w:bidi="ar-SA"/>
        </w:rPr>
        <w:fldChar w:fldCharType="end"/>
      </w:r>
      <w:r>
        <w:rPr>
          <w:rFonts w:hint="eastAsia" w:ascii="仿宋_GB2312" w:hAnsi="仿宋_GB2312" w:eastAsia="仿宋_GB2312" w:cs="仿宋_GB2312"/>
          <w:kern w:val="0"/>
          <w:sz w:val="32"/>
          <w:szCs w:val="32"/>
          <w:highlight w:val="none"/>
          <w:lang w:val="en-US" w:eastAsia="zh-CN" w:bidi="ar-SA"/>
        </w:rPr>
        <w:fldChar w:fldCharType="begin"/>
      </w:r>
      <w:r>
        <w:rPr>
          <w:rFonts w:hint="eastAsia" w:ascii="仿宋_GB2312" w:hAnsi="仿宋_GB2312" w:eastAsia="仿宋_GB2312" w:cs="仿宋_GB2312"/>
          <w:kern w:val="0"/>
          <w:sz w:val="32"/>
          <w:szCs w:val="32"/>
          <w:highlight w:val="none"/>
          <w:lang w:val="en-US" w:eastAsia="zh-CN" w:bidi="ar-SA"/>
        </w:rPr>
        <w:instrText xml:space="preserve"> HYPERLINK \l _Toc12799 </w:instrText>
      </w:r>
      <w:r>
        <w:rPr>
          <w:rFonts w:hint="eastAsia" w:ascii="仿宋_GB2312" w:hAnsi="仿宋_GB2312" w:eastAsia="仿宋_GB2312" w:cs="仿宋_GB2312"/>
          <w:kern w:val="0"/>
          <w:sz w:val="32"/>
          <w:szCs w:val="32"/>
          <w:highlight w:val="none"/>
          <w:lang w:val="en-US" w:eastAsia="zh-CN" w:bidi="ar-SA"/>
        </w:rPr>
        <w:fldChar w:fldCharType="separate"/>
      </w:r>
      <w:r>
        <w:rPr>
          <w:rFonts w:hint="eastAsia" w:ascii="仿宋_GB2312" w:hAnsi="仿宋_GB2312" w:eastAsia="仿宋_GB2312" w:cs="仿宋_GB2312"/>
          <w:kern w:val="0"/>
          <w:sz w:val="32"/>
          <w:szCs w:val="32"/>
          <w:highlight w:val="none"/>
          <w:lang w:val="en-US" w:eastAsia="zh-CN" w:bidi="ar-SA"/>
        </w:rPr>
        <w:t>大兴区环境应急协调小组成员单位通讯录</w:t>
      </w:r>
      <w:r>
        <w:rPr>
          <w:rFonts w:hint="eastAsia" w:ascii="仿宋_GB2312" w:hAnsi="仿宋_GB2312" w:eastAsia="仿宋_GB2312" w:cs="仿宋_GB2312"/>
          <w:kern w:val="0"/>
          <w:sz w:val="32"/>
          <w:szCs w:val="32"/>
          <w:highlight w:val="none"/>
          <w:lang w:val="en-US" w:eastAsia="zh-CN" w:bidi="ar-SA"/>
        </w:rPr>
        <w:fldChar w:fldCharType="end"/>
      </w:r>
    </w:p>
    <w:p>
      <w:pPr>
        <w:rPr>
          <w:highlight w:val="none"/>
        </w:rPr>
      </w:pPr>
      <w:r>
        <w:rPr>
          <w:highlight w:val="none"/>
        </w:rPr>
        <w:fldChar w:fldCharType="end"/>
      </w:r>
    </w:p>
    <w:p>
      <w:pPr>
        <w:pStyle w:val="10"/>
        <w:topLinePunct/>
        <w:spacing w:after="0"/>
        <w:ind w:firstLine="0" w:firstLineChars="0"/>
        <w:rPr>
          <w:rFonts w:ascii="仿宋" w:hAnsi="仿宋" w:eastAsia="仿宋" w:cs="仿宋"/>
          <w:color w:val="auto"/>
          <w:highlight w:val="none"/>
        </w:rPr>
        <w:sectPr>
          <w:headerReference r:id="rId5" w:type="default"/>
          <w:footerReference r:id="rId6" w:type="default"/>
          <w:pgSz w:w="11906" w:h="16838"/>
          <w:pgMar w:top="1440" w:right="1800" w:bottom="1440" w:left="1800" w:header="851" w:footer="992" w:gutter="0"/>
          <w:pgNumType w:fmt="upperRoman" w:start="1"/>
          <w:cols w:space="720" w:num="1"/>
          <w:docGrid w:type="lines" w:linePitch="312" w:charSpace="0"/>
        </w:sectPr>
      </w:pPr>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0" w:name="_Toc12039"/>
      <w:bookmarkStart w:id="1" w:name="_Toc25921"/>
      <w:bookmarkStart w:id="2" w:name="_Toc2220"/>
      <w:bookmarkStart w:id="3" w:name="_Toc845060080"/>
      <w:bookmarkStart w:id="4" w:name="_Toc4036"/>
      <w:bookmarkStart w:id="5" w:name="_Toc40975742"/>
      <w:bookmarkStart w:id="6" w:name="_Toc4041"/>
      <w:bookmarkStart w:id="7" w:name="_Toc9271"/>
      <w:bookmarkStart w:id="8" w:name="_Toc30702"/>
      <w:bookmarkStart w:id="9" w:name="_Toc1522736695"/>
      <w:bookmarkStart w:id="10" w:name="_Toc20782"/>
      <w:bookmarkStart w:id="11" w:name="_Toc15329"/>
      <w:bookmarkStart w:id="12" w:name="_Toc29554"/>
      <w:bookmarkStart w:id="13" w:name="_Toc31258"/>
      <w:r>
        <w:rPr>
          <w:rFonts w:hint="eastAsia" w:ascii="黑体" w:hAnsi="黑体" w:eastAsia="黑体" w:cs="黑体"/>
          <w:b/>
          <w:bCs/>
          <w:color w:val="auto"/>
          <w:sz w:val="32"/>
          <w:szCs w:val="44"/>
          <w:highlight w:val="none"/>
        </w:rPr>
        <w:t>1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rPr>
      </w:pPr>
      <w:bookmarkStart w:id="14" w:name="_Toc72"/>
      <w:bookmarkStart w:id="15" w:name="_Toc19754"/>
      <w:bookmarkStart w:id="16" w:name="_Toc20764"/>
      <w:bookmarkStart w:id="17" w:name="_Toc22511"/>
      <w:r>
        <w:rPr>
          <w:rFonts w:hint="eastAsia" w:ascii="楷体_GB2312" w:hAnsi="楷体_GB2312" w:eastAsia="楷体_GB2312" w:cs="楷体_GB2312"/>
          <w:bCs/>
          <w:kern w:val="0"/>
          <w:sz w:val="32"/>
          <w:szCs w:val="32"/>
          <w:highlight w:val="none"/>
          <w:lang w:val="en-US" w:eastAsia="zh-CN"/>
        </w:rPr>
        <w:t>1.1 编制目的与依据</w:t>
      </w:r>
      <w:bookmarkEnd w:id="14"/>
      <w:bookmarkEnd w:id="15"/>
      <w:bookmarkEnd w:id="16"/>
      <w:bookmarkEnd w:id="17"/>
    </w:p>
    <w:p>
      <w:pPr>
        <w:topLinePunct/>
        <w:jc w:val="both"/>
        <w:textAlignment w:val="auto"/>
        <w:rPr>
          <w:rFonts w:ascii="仿宋" w:hAnsi="仿宋" w:eastAsia="仿宋" w:cs="仿宋"/>
          <w:color w:val="auto"/>
          <w:sz w:val="32"/>
          <w:szCs w:val="32"/>
          <w:highlight w:val="none"/>
        </w:rPr>
      </w:pPr>
      <w:bookmarkStart w:id="548" w:name="_GoBack"/>
      <w:r>
        <w:rPr>
          <w:rFonts w:hint="eastAsia" w:ascii="仿宋_GB2312" w:hAnsi="仿宋_GB2312" w:cs="仿宋_GB2312"/>
          <w:sz w:val="32"/>
          <w:szCs w:val="32"/>
          <w:highlight w:val="none"/>
        </w:rPr>
        <w:t>为健全完善大兴区突发环境事件防范应对体制机制，最大限度减轻、消除突发环境事件的风险和危害，保障人民群众生命财产安全和环境安全，依据《中华人民共和国环境保护法》《突发环境事件应急管理办法》《北京市实施〈中华人民共和国突发事件应对法〉办法》和《国家突发环境事件应急预案》</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北京市突发事件总体预案（2021年修订）</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rPr>
        <w:t>《北京市突发环境事件应急预案（2023年修订）》</w:t>
      </w:r>
      <w:r>
        <w:rPr>
          <w:rFonts w:hint="eastAsia" w:ascii="仿宋_GB2312" w:hAnsi="仿宋_GB2312" w:cs="仿宋_GB2312"/>
          <w:sz w:val="32"/>
          <w:szCs w:val="32"/>
          <w:highlight w:val="none"/>
          <w:lang w:eastAsia="zh-CN"/>
        </w:rPr>
        <w:t>（以下简称“</w:t>
      </w:r>
      <w:r>
        <w:rPr>
          <w:rFonts w:hint="eastAsia" w:ascii="仿宋_GB2312" w:hAnsi="仿宋_GB2312" w:cs="仿宋_GB2312"/>
          <w:sz w:val="32"/>
          <w:szCs w:val="32"/>
          <w:highlight w:val="none"/>
          <w:lang w:val="en-US" w:eastAsia="zh-CN"/>
        </w:rPr>
        <w:t>《市环境应急预案》</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rPr>
        <w:t>《北京市大兴区突发事件总体应急预案（2022年修订）》</w:t>
      </w:r>
      <w:r>
        <w:rPr>
          <w:rFonts w:hint="eastAsia" w:ascii="仿宋_GB2312" w:hAnsi="仿宋_GB2312" w:cs="仿宋_GB2312"/>
          <w:sz w:val="32"/>
          <w:szCs w:val="32"/>
          <w:highlight w:val="none"/>
          <w:lang w:eastAsia="zh-CN"/>
        </w:rPr>
        <w:t>（以下简称“</w:t>
      </w:r>
      <w:r>
        <w:rPr>
          <w:rFonts w:hint="eastAsia" w:ascii="仿宋_GB2312" w:hAnsi="仿宋_GB2312" w:cs="仿宋_GB2312"/>
          <w:sz w:val="32"/>
          <w:szCs w:val="32"/>
          <w:highlight w:val="none"/>
          <w:lang w:val="en-US" w:eastAsia="zh-CN"/>
        </w:rPr>
        <w:t>《区总预案》</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rPr>
        <w:t>以及其他有关法律、法规及规定，结合大兴区工作实际，制定本预案。</w:t>
      </w:r>
    </w:p>
    <w:bookmarkEnd w:id="548"/>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18" w:name="_Toc19185"/>
      <w:bookmarkStart w:id="19" w:name="_Toc9964"/>
      <w:bookmarkStart w:id="20" w:name="_Toc19899"/>
      <w:bookmarkStart w:id="21" w:name="_Toc6186"/>
      <w:bookmarkStart w:id="22" w:name="_Toc1073011566"/>
      <w:bookmarkStart w:id="23" w:name="_Toc1615406949"/>
      <w:bookmarkStart w:id="24" w:name="_Toc29721"/>
      <w:bookmarkStart w:id="25" w:name="_Toc2548"/>
      <w:bookmarkStart w:id="26" w:name="_Toc20781"/>
      <w:bookmarkStart w:id="27" w:name="_Toc12634"/>
      <w:bookmarkStart w:id="28" w:name="_Toc18791"/>
      <w:bookmarkStart w:id="29" w:name="_Toc5365"/>
      <w:bookmarkStart w:id="30" w:name="_Toc14256"/>
      <w:r>
        <w:rPr>
          <w:rFonts w:hint="eastAsia" w:ascii="楷体_GB2312" w:hAnsi="楷体_GB2312" w:eastAsia="楷体_GB2312" w:cs="楷体_GB2312"/>
          <w:bCs/>
          <w:kern w:val="0"/>
          <w:sz w:val="32"/>
          <w:szCs w:val="32"/>
          <w:highlight w:val="none"/>
          <w:lang w:val="en-US" w:eastAsia="zh-CN"/>
        </w:rPr>
        <w:t xml:space="preserve">1.2 </w:t>
      </w:r>
      <w:bookmarkEnd w:id="18"/>
      <w:bookmarkEnd w:id="19"/>
      <w:bookmarkEnd w:id="20"/>
      <w:bookmarkEnd w:id="21"/>
      <w:bookmarkEnd w:id="22"/>
      <w:bookmarkEnd w:id="23"/>
      <w:bookmarkEnd w:id="24"/>
      <w:bookmarkEnd w:id="25"/>
      <w:bookmarkEnd w:id="26"/>
      <w:r>
        <w:rPr>
          <w:rFonts w:hint="eastAsia" w:ascii="楷体_GB2312" w:hAnsi="楷体_GB2312" w:eastAsia="楷体_GB2312" w:cs="楷体_GB2312"/>
          <w:bCs/>
          <w:kern w:val="0"/>
          <w:sz w:val="32"/>
          <w:szCs w:val="32"/>
          <w:highlight w:val="none"/>
          <w:lang w:val="en-US" w:eastAsia="zh-CN"/>
        </w:rPr>
        <w:t>适用范围</w:t>
      </w:r>
      <w:bookmarkEnd w:id="27"/>
      <w:bookmarkEnd w:id="28"/>
      <w:bookmarkEnd w:id="29"/>
      <w:bookmarkEnd w:id="30"/>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本预案适用于指导预防和处置发生在本区行政区域内，或发生在其他地区涉及大兴区，应由大兴区处置或参与处置的突发环境事件。</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本预案所称突发环境事件，是指由于污染物排放或自然灾害、生产安全事故、交通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空气重污染应对工作按照《北京市大兴区空气重污染应急预案》规定执行。</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1" w:name="_Toc13057"/>
      <w:bookmarkStart w:id="32" w:name="_Toc15467"/>
      <w:bookmarkStart w:id="33" w:name="_Toc11811"/>
      <w:bookmarkStart w:id="34" w:name="_Toc6254"/>
      <w:r>
        <w:rPr>
          <w:rFonts w:hint="eastAsia" w:ascii="楷体_GB2312" w:hAnsi="楷体_GB2312" w:eastAsia="楷体_GB2312" w:cs="楷体_GB2312"/>
          <w:bCs/>
          <w:kern w:val="0"/>
          <w:sz w:val="32"/>
          <w:szCs w:val="32"/>
          <w:highlight w:val="none"/>
          <w:lang w:val="en-US" w:eastAsia="zh-CN"/>
        </w:rPr>
        <w:t>1.3 风险分析</w:t>
      </w:r>
      <w:bookmarkEnd w:id="31"/>
      <w:bookmarkEnd w:id="32"/>
      <w:bookmarkEnd w:id="33"/>
      <w:bookmarkEnd w:id="34"/>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大兴区位于北京市南部，全区南北长42.70km，东西宽45.00km，大兴区总面积1036.33平方公里，下辖黄村、西红门、旧宫、亦庄、瀛海、青云店等14个镇</w:t>
      </w:r>
      <w:r>
        <w:rPr>
          <w:rFonts w:hint="eastAsia" w:ascii="仿宋_GB2312" w:hAnsi="仿宋_GB2312" w:cs="仿宋_GB2312"/>
          <w:sz w:val="32"/>
          <w:szCs w:val="32"/>
          <w:highlight w:val="none"/>
          <w:lang w:val="en-US" w:eastAsia="zh-CN"/>
        </w:rPr>
        <w:t>、</w:t>
      </w:r>
      <w:r>
        <w:rPr>
          <w:rFonts w:hint="eastAsia" w:ascii="仿宋_GB2312" w:hAnsi="仿宋_GB2312" w:cs="仿宋_GB2312"/>
          <w:sz w:val="32"/>
          <w:szCs w:val="32"/>
          <w:highlight w:val="none"/>
        </w:rPr>
        <w:t>清源、兴丰等</w:t>
      </w:r>
      <w:r>
        <w:rPr>
          <w:rFonts w:hint="eastAsia" w:ascii="仿宋_GB2312" w:hAnsi="仿宋_GB2312" w:cs="仿宋_GB2312"/>
          <w:sz w:val="32"/>
          <w:szCs w:val="32"/>
          <w:highlight w:val="none"/>
          <w:lang w:val="en-US" w:eastAsia="zh-CN"/>
        </w:rPr>
        <w:t>6</w:t>
      </w:r>
      <w:r>
        <w:rPr>
          <w:rFonts w:hint="eastAsia" w:ascii="仿宋_GB2312" w:hAnsi="仿宋_GB2312" w:cs="仿宋_GB2312"/>
          <w:sz w:val="32"/>
          <w:szCs w:val="32"/>
          <w:highlight w:val="none"/>
        </w:rPr>
        <w:t>个街道办事处</w:t>
      </w:r>
      <w:r>
        <w:rPr>
          <w:rFonts w:hint="eastAsia" w:ascii="仿宋_GB2312" w:hAnsi="仿宋_GB2312" w:cs="仿宋_GB2312"/>
          <w:sz w:val="32"/>
          <w:szCs w:val="32"/>
          <w:highlight w:val="none"/>
          <w:lang w:eastAsia="zh-CN"/>
        </w:rPr>
        <w:t>、功能区管委会</w:t>
      </w:r>
      <w:r>
        <w:rPr>
          <w:rFonts w:hint="eastAsia" w:ascii="仿宋_GB2312" w:hAnsi="仿宋_GB2312" w:cs="仿宋_GB2312"/>
          <w:sz w:val="32"/>
          <w:szCs w:val="32"/>
          <w:highlight w:val="none"/>
          <w:lang w:val="en-US" w:eastAsia="zh-CN"/>
        </w:rPr>
        <w:t>2个</w:t>
      </w:r>
      <w:r>
        <w:rPr>
          <w:rFonts w:hint="eastAsia" w:ascii="仿宋_GB2312" w:hAnsi="仿宋_GB2312" w:cs="仿宋_GB2312"/>
          <w:sz w:val="32"/>
          <w:szCs w:val="32"/>
          <w:highlight w:val="none"/>
        </w:rPr>
        <w:t>。大兴区东临通州区，南临河北省固安县、霸州市等，西与房山区隔永定河为邻，北接丰台区、朝阳区。大兴区是以国家高技术制造业、高端服务业和战略性新兴产业集聚发展为依托的综合性城市新区，是未来承载国家重大项目，承担首都重要职能，辐射并带动京津冀区域统筹发展、具有国际影响力的战略性新兴产业聚集区。</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大兴交通便利，社会经济活动活跃，三大产业集群欣欣向荣，临空经济区、产业示范区、产业基地日益完善，随之产生的各类环境风险复杂多样。大兴区内共有六条主要河道，分别是永定河、凉水河、天堂河、大龙河、小龙河和新凤河（凤碱河）；教育、医疗、住房、商业等资源完善丰富，环境风险受体脆弱性较高，由自然灾害、生产安全事故、交通事故等引发突发环境事件的风险较高。</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近年来，大兴区生态环境现状较好，环境安全管理严格，未发生较大以上级别的环境安全事件。但交通事故、安全生产、自然灾害引发突发环境事件的风险依然存在，从</w:t>
      </w:r>
      <w:r>
        <w:rPr>
          <w:rFonts w:hint="eastAsia" w:ascii="仿宋_GB2312" w:hAnsi="仿宋_GB2312" w:cs="仿宋_GB2312"/>
          <w:sz w:val="32"/>
          <w:szCs w:val="32"/>
          <w:highlight w:val="none"/>
          <w:lang w:val="en-US" w:eastAsia="zh-CN"/>
        </w:rPr>
        <w:t>全市</w:t>
      </w:r>
      <w:r>
        <w:rPr>
          <w:rFonts w:hint="eastAsia" w:ascii="仿宋_GB2312" w:hAnsi="仿宋_GB2312" w:cs="仿宋_GB2312"/>
          <w:sz w:val="32"/>
          <w:szCs w:val="32"/>
          <w:highlight w:val="none"/>
        </w:rPr>
        <w:t>总体情况看，呈现交通事故引发突发环境事件占比大，企业生产管理不善易引发突发环境事件的特点。面对高度聚集的城市要素、点多面广的事发来源，需不断提升风险防控及应急处置水平。</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5" w:name="_Toc19551"/>
      <w:bookmarkStart w:id="36" w:name="_Toc8016"/>
      <w:bookmarkStart w:id="37" w:name="_Toc20336"/>
      <w:bookmarkStart w:id="38" w:name="_Toc6810"/>
      <w:bookmarkStart w:id="39" w:name="_Toc19965"/>
      <w:bookmarkStart w:id="40" w:name="_Toc17706"/>
      <w:bookmarkStart w:id="41" w:name="_Toc11450"/>
      <w:bookmarkStart w:id="42" w:name="_Toc28467"/>
      <w:bookmarkStart w:id="43" w:name="_Toc48448422"/>
      <w:bookmarkStart w:id="44" w:name="_Toc2622"/>
      <w:bookmarkStart w:id="45" w:name="_Toc93791438"/>
      <w:bookmarkStart w:id="46" w:name="_Toc20026"/>
      <w:r>
        <w:rPr>
          <w:rFonts w:hint="eastAsia" w:ascii="楷体_GB2312" w:hAnsi="楷体_GB2312" w:eastAsia="楷体_GB2312" w:cs="楷体_GB2312"/>
          <w:bCs/>
          <w:kern w:val="0"/>
          <w:sz w:val="32"/>
          <w:szCs w:val="32"/>
          <w:highlight w:val="none"/>
          <w:lang w:val="en-US" w:eastAsia="zh-CN"/>
        </w:rPr>
        <w:t>1.4 工作原则</w:t>
      </w:r>
      <w:bookmarkEnd w:id="35"/>
      <w:bookmarkEnd w:id="36"/>
      <w:bookmarkEnd w:id="37"/>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1.4.1坚持以人为本，积极预防</w:t>
      </w:r>
      <w:bookmarkEnd w:id="38"/>
      <w:bookmarkEnd w:id="39"/>
      <w:bookmarkEnd w:id="40"/>
      <w:bookmarkEnd w:id="41"/>
      <w:bookmarkEnd w:id="42"/>
      <w:bookmarkEnd w:id="43"/>
      <w:bookmarkEnd w:id="44"/>
      <w:bookmarkEnd w:id="45"/>
      <w:bookmarkEnd w:id="46"/>
      <w:r>
        <w:rPr>
          <w:rFonts w:hint="eastAsia" w:ascii="仿宋_GB2312" w:hAnsi="仿宋_GB2312" w:cs="仿宋_GB2312"/>
          <w:sz w:val="32"/>
          <w:szCs w:val="32"/>
          <w:highlight w:val="none"/>
        </w:rPr>
        <w:t>。牢固树立以人民为中心的发展思想和“人民至上、生命至上”的理念，切实把人民群众生命健康放在首位，最大程度保护人民群众生命安全；落实生态环境“保护优先、预防为主”的原则，强化环境风险防范工作，消除环境安全隐患，加强环境应急能力建设，完善应急救援保障体系。</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1.4.2坚持统分结合、属地为主。在区委、区政府和区突发事件应急委员会（以下简称“区应急委”）的统一领导下，建立大兴区突发环境事件应急指挥体系。区级统筹指导、靠前指挥，协调调度资源开展应对，</w:t>
      </w:r>
      <w:r>
        <w:rPr>
          <w:rFonts w:hint="eastAsia" w:ascii="仿宋_GB2312" w:hAnsi="仿宋_GB2312" w:cs="仿宋_GB2312"/>
          <w:sz w:val="32"/>
          <w:szCs w:val="32"/>
          <w:highlight w:val="none"/>
          <w:lang w:eastAsia="zh-CN"/>
        </w:rPr>
        <w:t>履行属地责任，</w:t>
      </w:r>
      <w:r>
        <w:rPr>
          <w:rFonts w:hint="eastAsia" w:ascii="仿宋_GB2312" w:hAnsi="仿宋_GB2312" w:cs="仿宋_GB2312"/>
          <w:sz w:val="32"/>
          <w:szCs w:val="32"/>
          <w:highlight w:val="none"/>
        </w:rPr>
        <w:t>及时启动应急响应，全面负责本区域突发环境事件的组织应对工作；事发地镇政府（街道办事处、功能区管委会）、企业事业单位等做好先期处置和信息报告等工作。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1.4.3坚持分类处置，协调联动。针对突发环境事件起因复杂、次生衍生性突出等特点，按原生事件类型，各有关部门按照职责分工，协调相关应急力量，高效有序处置；强化跨区域、跨流域、多部门和政企之间协同联动机制，组织动员社会力量广泛参与，形成处置合力。</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1.4.4坚持资源整合、科技支撑。整合各行业环境风险监测信息、应急装备物资、专业救援力量以及应急专家团队，积极做好应对突发环境事件的各项准备。积极支持鼓励环境应急相关科研和技术开发，不断提高应急工作的一体化、规范化、科技化。</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7" w:name="_Toc16241"/>
      <w:bookmarkStart w:id="48" w:name="_Toc5423"/>
      <w:bookmarkStart w:id="49" w:name="_Toc3476"/>
      <w:bookmarkStart w:id="50" w:name="_Toc13542"/>
      <w:bookmarkStart w:id="51" w:name="_Toc12790"/>
      <w:bookmarkStart w:id="52" w:name="_Toc12583"/>
      <w:bookmarkStart w:id="53" w:name="_Toc304476551"/>
      <w:bookmarkStart w:id="54" w:name="_Toc13161"/>
      <w:bookmarkStart w:id="55" w:name="_Toc18399"/>
      <w:bookmarkStart w:id="56" w:name="_Toc15458"/>
      <w:bookmarkStart w:id="57" w:name="_Toc13139"/>
      <w:bookmarkStart w:id="58" w:name="_Toc25811"/>
      <w:bookmarkStart w:id="59" w:name="_Toc884741819"/>
      <w:r>
        <w:rPr>
          <w:rFonts w:hint="eastAsia" w:ascii="楷体_GB2312" w:hAnsi="楷体_GB2312" w:eastAsia="楷体_GB2312" w:cs="楷体_GB2312"/>
          <w:bCs/>
          <w:kern w:val="0"/>
          <w:sz w:val="32"/>
          <w:szCs w:val="32"/>
          <w:highlight w:val="none"/>
          <w:lang w:val="en-US" w:eastAsia="zh-CN"/>
        </w:rPr>
        <w:t>1.5 事件分级</w:t>
      </w:r>
      <w:bookmarkEnd w:id="47"/>
      <w:bookmarkEnd w:id="48"/>
      <w:bookmarkEnd w:id="49"/>
      <w:bookmarkEnd w:id="50"/>
      <w:bookmarkEnd w:id="51"/>
      <w:bookmarkEnd w:id="52"/>
      <w:bookmarkEnd w:id="53"/>
      <w:bookmarkEnd w:id="54"/>
      <w:bookmarkEnd w:id="55"/>
      <w:bookmarkEnd w:id="56"/>
      <w:bookmarkEnd w:id="57"/>
      <w:bookmarkEnd w:id="58"/>
      <w:bookmarkEnd w:id="59"/>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本预案事件分级参照《北京市突发环境事件应急预案》，按照突发环境事件严重性和紧急程度，突发环境事件分为特别重大、重大、较大和一般四级。事件分级标准见附件 1。</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60" w:name="_Toc28460"/>
      <w:bookmarkStart w:id="61" w:name="_Toc8831"/>
      <w:bookmarkStart w:id="62" w:name="_Toc11140"/>
      <w:bookmarkStart w:id="63" w:name="_Toc1275"/>
      <w:bookmarkStart w:id="64" w:name="_Toc32610"/>
      <w:bookmarkStart w:id="65" w:name="_Toc11727"/>
      <w:r>
        <w:rPr>
          <w:rFonts w:hint="eastAsia" w:ascii="楷体_GB2312" w:hAnsi="楷体_GB2312" w:eastAsia="楷体_GB2312" w:cs="楷体_GB2312"/>
          <w:bCs/>
          <w:kern w:val="0"/>
          <w:sz w:val="32"/>
          <w:szCs w:val="32"/>
          <w:highlight w:val="none"/>
          <w:lang w:val="en-US" w:eastAsia="zh-CN"/>
        </w:rPr>
        <w:t>1.6 应急预案体系</w:t>
      </w:r>
      <w:bookmarkEnd w:id="60"/>
      <w:bookmarkEnd w:id="61"/>
      <w:bookmarkEnd w:id="62"/>
      <w:bookmarkEnd w:id="63"/>
      <w:bookmarkEnd w:id="64"/>
      <w:bookmarkEnd w:id="65"/>
    </w:p>
    <w:p>
      <w:pPr>
        <w:topLinePunct/>
        <w:jc w:val="both"/>
        <w:textAlignment w:val="auto"/>
        <w:rPr>
          <w:rFonts w:hint="default" w:ascii="仿宋_GB2312" w:hAnsi="仿宋_GB2312" w:cs="仿宋_GB2312"/>
          <w:sz w:val="32"/>
          <w:szCs w:val="32"/>
          <w:highlight w:val="none"/>
          <w:lang w:val="en-US"/>
        </w:rPr>
      </w:pPr>
      <w:bookmarkStart w:id="66" w:name="_Hlk103335744"/>
      <w:r>
        <w:rPr>
          <w:rFonts w:hint="eastAsia" w:ascii="仿宋_GB2312" w:hAnsi="仿宋_GB2312" w:cs="仿宋_GB2312"/>
          <w:sz w:val="32"/>
          <w:szCs w:val="32"/>
          <w:highlight w:val="none"/>
        </w:rPr>
        <w:t>本区突发环境事件应急预案体系按层级分为区、镇政府（街道办事处、功能区管委会）、企业事业单位三级预案。其中，区级预案包括本预案、</w:t>
      </w:r>
      <w:r>
        <w:rPr>
          <w:rFonts w:hint="eastAsia" w:ascii="仿宋_GB2312" w:hAnsi="仿宋_GB2312" w:cs="仿宋_GB2312"/>
          <w:sz w:val="32"/>
          <w:szCs w:val="32"/>
          <w:highlight w:val="none"/>
          <w:lang w:val="en-US" w:eastAsia="zh-CN"/>
        </w:rPr>
        <w:t>大兴区辐射污染事件应急预案、大兴区空气重污染应急预案、</w:t>
      </w:r>
      <w:r>
        <w:rPr>
          <w:rFonts w:hint="eastAsia" w:ascii="仿宋_GB2312" w:hAnsi="仿宋_GB2312" w:cs="仿宋_GB2312"/>
          <w:sz w:val="32"/>
          <w:szCs w:val="32"/>
          <w:highlight w:val="none"/>
        </w:rPr>
        <w:t>区相关部门处置突发环境事件应急预案或内容涵盖突发环境事件应急处置的其他预案</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北京市大兴区重点河流突发水污染事件环境应急响应方案</w:t>
      </w:r>
      <w:r>
        <w:rPr>
          <w:rFonts w:hint="eastAsia" w:ascii="仿宋_GB2312" w:hAnsi="仿宋_GB2312" w:cs="仿宋_GB2312"/>
          <w:sz w:val="32"/>
          <w:szCs w:val="32"/>
          <w:highlight w:val="none"/>
        </w:rPr>
        <w:t>；镇政府（街道办事处、功能区管委会）制定本辖区突发环境事件应急预案，或与其他种类突发事件应急预案合并编制；企业事业单位按照有关规定制定本单位突发环境事件应急预案</w:t>
      </w:r>
      <w:bookmarkEnd w:id="66"/>
      <w:r>
        <w:rPr>
          <w:rFonts w:hint="eastAsia" w:ascii="仿宋_GB2312" w:hAnsi="仿宋_GB2312" w:cs="仿宋_GB2312"/>
          <w:sz w:val="32"/>
          <w:szCs w:val="32"/>
          <w:highlight w:val="none"/>
        </w:rPr>
        <w:t>。各类各级突发环境事件预案的工作机制应做好衔接。</w:t>
      </w:r>
      <w:r>
        <w:rPr>
          <w:rFonts w:hint="eastAsia" w:ascii="仿宋_GB2312" w:hAnsi="仿宋_GB2312" w:cs="仿宋_GB2312"/>
          <w:sz w:val="32"/>
          <w:szCs w:val="32"/>
          <w:highlight w:val="none"/>
          <w:lang w:val="en-US" w:eastAsia="zh-CN"/>
        </w:rPr>
        <w:t>应急预案体系名录见附件2。</w:t>
      </w:r>
    </w:p>
    <w:p>
      <w:pPr>
        <w:pStyle w:val="2"/>
        <w:rPr>
          <w:highlight w:val="none"/>
        </w:rPr>
      </w:pPr>
    </w:p>
    <w:p>
      <w:pPr>
        <w:pStyle w:val="10"/>
        <w:topLinePunct/>
        <w:rPr>
          <w:rFonts w:ascii="仿宋" w:hAnsi="仿宋" w:eastAsia="仿宋" w:cs="仿宋"/>
          <w:color w:val="auto"/>
          <w:highlight w:val="none"/>
        </w:rPr>
        <w:sectPr>
          <w:footerReference r:id="rId7" w:type="default"/>
          <w:pgSz w:w="11906" w:h="16838"/>
          <w:pgMar w:top="1440" w:right="1426" w:bottom="1440" w:left="1800" w:header="851" w:footer="992" w:gutter="0"/>
          <w:cols w:space="720" w:num="1"/>
          <w:docGrid w:type="lines" w:linePitch="312" w:charSpace="0"/>
        </w:sectPr>
      </w:pPr>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67" w:name="_Toc2003721320"/>
      <w:bookmarkStart w:id="68" w:name="_Toc29527"/>
      <w:bookmarkStart w:id="69" w:name="_Toc4716"/>
      <w:bookmarkStart w:id="70" w:name="_Toc29568"/>
      <w:bookmarkStart w:id="71" w:name="_Toc1571200932"/>
      <w:bookmarkStart w:id="72" w:name="_Toc11219"/>
      <w:bookmarkStart w:id="73" w:name="_Toc4116"/>
      <w:bookmarkStart w:id="74" w:name="_Toc8742"/>
      <w:bookmarkStart w:id="75" w:name="_Toc27937"/>
      <w:bookmarkStart w:id="76" w:name="_Toc3487"/>
      <w:bookmarkStart w:id="77" w:name="_Toc3445"/>
      <w:bookmarkStart w:id="78" w:name="_Toc12245"/>
      <w:bookmarkStart w:id="79" w:name="_Toc14927"/>
      <w:r>
        <w:rPr>
          <w:rFonts w:hint="eastAsia" w:ascii="黑体" w:hAnsi="黑体" w:eastAsia="黑体" w:cs="黑体"/>
          <w:b/>
          <w:bCs/>
          <w:color w:val="auto"/>
          <w:sz w:val="32"/>
          <w:szCs w:val="44"/>
          <w:highlight w:val="none"/>
        </w:rPr>
        <w:t xml:space="preserve">2 </w:t>
      </w:r>
      <w:bookmarkEnd w:id="67"/>
      <w:bookmarkEnd w:id="68"/>
      <w:bookmarkEnd w:id="69"/>
      <w:bookmarkEnd w:id="70"/>
      <w:bookmarkEnd w:id="71"/>
      <w:r>
        <w:rPr>
          <w:rFonts w:hint="eastAsia" w:ascii="黑体" w:hAnsi="黑体" w:eastAsia="黑体" w:cs="黑体"/>
          <w:b/>
          <w:bCs/>
          <w:color w:val="auto"/>
          <w:sz w:val="32"/>
          <w:szCs w:val="44"/>
          <w:highlight w:val="none"/>
        </w:rPr>
        <w:t>组织机构及职责</w:t>
      </w:r>
      <w:bookmarkEnd w:id="72"/>
      <w:bookmarkEnd w:id="73"/>
      <w:bookmarkEnd w:id="74"/>
      <w:bookmarkEnd w:id="75"/>
      <w:bookmarkEnd w:id="76"/>
      <w:bookmarkEnd w:id="77"/>
      <w:bookmarkEnd w:id="78"/>
      <w:bookmarkEnd w:id="79"/>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80" w:name="_Toc18813"/>
      <w:bookmarkStart w:id="81" w:name="_Toc29866"/>
      <w:bookmarkStart w:id="82" w:name="_Toc1853156633"/>
      <w:bookmarkStart w:id="83" w:name="_Toc10332"/>
      <w:bookmarkStart w:id="84" w:name="_Toc26910"/>
      <w:bookmarkStart w:id="85" w:name="_Toc28455"/>
      <w:bookmarkStart w:id="86" w:name="_Toc16357"/>
      <w:bookmarkStart w:id="87" w:name="_Toc15907"/>
      <w:bookmarkStart w:id="88" w:name="_Toc20354"/>
      <w:bookmarkStart w:id="89" w:name="_Toc1715140612"/>
      <w:bookmarkStart w:id="90" w:name="_Toc6609"/>
      <w:bookmarkStart w:id="91" w:name="_Toc32178"/>
      <w:bookmarkStart w:id="92" w:name="_Toc4425"/>
      <w:r>
        <w:rPr>
          <w:rFonts w:hint="eastAsia" w:ascii="楷体_GB2312" w:hAnsi="楷体_GB2312" w:eastAsia="楷体_GB2312" w:cs="楷体_GB2312"/>
          <w:bCs/>
          <w:kern w:val="0"/>
          <w:sz w:val="32"/>
          <w:szCs w:val="32"/>
          <w:highlight w:val="none"/>
          <w:lang w:val="en-US" w:eastAsia="zh-CN"/>
        </w:rPr>
        <w:t>2.1 区环境应急</w:t>
      </w:r>
      <w:bookmarkEnd w:id="80"/>
      <w:bookmarkEnd w:id="81"/>
      <w:bookmarkEnd w:id="82"/>
      <w:bookmarkEnd w:id="83"/>
      <w:bookmarkEnd w:id="84"/>
      <w:bookmarkEnd w:id="85"/>
      <w:bookmarkEnd w:id="86"/>
      <w:bookmarkEnd w:id="87"/>
      <w:bookmarkEnd w:id="88"/>
      <w:bookmarkEnd w:id="89"/>
      <w:r>
        <w:rPr>
          <w:rFonts w:hint="eastAsia" w:ascii="楷体_GB2312" w:hAnsi="楷体_GB2312" w:eastAsia="楷体_GB2312" w:cs="楷体_GB2312"/>
          <w:bCs/>
          <w:kern w:val="0"/>
          <w:sz w:val="32"/>
          <w:szCs w:val="32"/>
          <w:highlight w:val="none"/>
          <w:lang w:val="en-US" w:eastAsia="zh-CN"/>
        </w:rPr>
        <w:t>协调小组</w:t>
      </w:r>
      <w:bookmarkEnd w:id="90"/>
      <w:bookmarkEnd w:id="91"/>
      <w:bookmarkEnd w:id="92"/>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组建大兴区突发环境事件应急工作协调小组（以下简称“区环境应急协调小组”），在区委、区政府、区应急委的统一领导下，开展突发环境事件风险防控、应急准备以及一般突发环境事件的应急处置工作。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区环境应急协调小组组长由区政府</w:t>
      </w:r>
      <w:r>
        <w:rPr>
          <w:rFonts w:hint="eastAsia" w:ascii="仿宋_GB2312" w:hAnsi="仿宋_GB2312" w:cs="仿宋_GB2312"/>
          <w:sz w:val="32"/>
          <w:szCs w:val="32"/>
          <w:highlight w:val="none"/>
          <w:lang w:val="en-US" w:eastAsia="zh-CN"/>
        </w:rPr>
        <w:t>分管副区长</w:t>
      </w:r>
      <w:r>
        <w:rPr>
          <w:rFonts w:hint="eastAsia" w:ascii="仿宋_GB2312" w:hAnsi="仿宋_GB2312" w:cs="仿宋_GB2312"/>
          <w:sz w:val="32"/>
          <w:szCs w:val="32"/>
          <w:highlight w:val="none"/>
        </w:rPr>
        <w:t>担任，副组长由区生态环境局局长</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区应急管理局局长</w:t>
      </w:r>
      <w:r>
        <w:rPr>
          <w:rFonts w:hint="eastAsia" w:ascii="仿宋_GB2312" w:hAnsi="仿宋_GB2312" w:cs="仿宋_GB2312"/>
          <w:sz w:val="32"/>
          <w:szCs w:val="32"/>
          <w:highlight w:val="none"/>
        </w:rPr>
        <w:t>担任，成员单位由区相关部门和有关单位组成。</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区环境应急协调小组主要职责为：</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1）</w:t>
      </w:r>
      <w:r>
        <w:rPr>
          <w:rFonts w:hint="eastAsia" w:ascii="仿宋_GB2312" w:hAnsi="仿宋_GB2312" w:cs="仿宋_GB2312"/>
          <w:sz w:val="32"/>
          <w:szCs w:val="32"/>
          <w:highlight w:val="none"/>
        </w:rPr>
        <w:t>贯彻落实突发环境事件应对相关法律、法规、规章；</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2）</w:t>
      </w:r>
      <w:r>
        <w:rPr>
          <w:rFonts w:hint="eastAsia" w:ascii="仿宋_GB2312" w:hAnsi="仿宋_GB2312" w:cs="仿宋_GB2312"/>
          <w:sz w:val="32"/>
          <w:szCs w:val="32"/>
          <w:highlight w:val="none"/>
        </w:rPr>
        <w:t>落实本市应对突发环境事件的政策措施以及市环境应急协调小组相关工作机制、工作要求；</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lang w:val="en-US" w:eastAsia="zh-CN"/>
        </w:rPr>
        <w:t>（3）健全完善应急协调联动机制，强化与市有关部门、驻区部队、中央在区单位、京内周边区及毗邻外埠地区的联防联控，加强信息沟通、政策协调和资源共享；</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val="en-US" w:eastAsia="zh-CN"/>
        </w:rPr>
        <w:t>4</w:t>
      </w:r>
      <w:r>
        <w:rPr>
          <w:rFonts w:hint="eastAsia" w:ascii="仿宋_GB2312" w:hAnsi="仿宋_GB2312" w:cs="仿宋_GB2312"/>
          <w:sz w:val="32"/>
          <w:szCs w:val="32"/>
          <w:highlight w:val="none"/>
        </w:rPr>
        <w:t>）全面负责本区域突发环境事件的组织应对工作</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rPr>
        <w:t>负责</w:t>
      </w:r>
      <w:r>
        <w:rPr>
          <w:rFonts w:hint="eastAsia" w:ascii="仿宋_GB2312" w:hAnsi="仿宋_GB2312" w:cs="仿宋_GB2312"/>
          <w:sz w:val="32"/>
          <w:szCs w:val="32"/>
          <w:highlight w:val="none"/>
          <w:lang w:val="en-US" w:eastAsia="zh-CN"/>
        </w:rPr>
        <w:t>成立区突发环境事件临时指挥部，</w:t>
      </w:r>
      <w:r>
        <w:rPr>
          <w:rFonts w:hint="eastAsia" w:ascii="仿宋_GB2312" w:hAnsi="仿宋_GB2312" w:cs="仿宋_GB2312"/>
          <w:sz w:val="32"/>
          <w:szCs w:val="32"/>
          <w:highlight w:val="none"/>
        </w:rPr>
        <w:t>指挥一般突发环境事件应对处置，参与较大及以上事件的应对工作；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rPr>
        <w:t>）分析总结突发环境事件应对工作，制定工作规划和计划；</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val="en-US" w:eastAsia="zh-CN"/>
        </w:rPr>
        <w:t>6</w:t>
      </w:r>
      <w:r>
        <w:rPr>
          <w:rFonts w:hint="eastAsia" w:ascii="仿宋_GB2312" w:hAnsi="仿宋_GB2312" w:cs="仿宋_GB2312"/>
          <w:sz w:val="32"/>
          <w:szCs w:val="32"/>
          <w:highlight w:val="none"/>
        </w:rPr>
        <w:t>）负责突发环境事件应急救援队伍、应急物资装备的建设管理工作；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rPr>
        <w:t>）指导镇政府（街道办事处、功能区管委会）开展突发环境事件应急管理工作等；</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val="en-US" w:eastAsia="zh-CN"/>
        </w:rPr>
        <w:t>8</w:t>
      </w:r>
      <w:r>
        <w:rPr>
          <w:rFonts w:hint="eastAsia" w:ascii="仿宋_GB2312" w:hAnsi="仿宋_GB2312" w:cs="仿宋_GB2312"/>
          <w:sz w:val="32"/>
          <w:szCs w:val="32"/>
          <w:highlight w:val="none"/>
        </w:rPr>
        <w:t>）承担区应急委交办的其他事项。</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93" w:name="_Toc24455"/>
      <w:bookmarkStart w:id="94" w:name="_Toc21834"/>
      <w:bookmarkStart w:id="95" w:name="_Toc26036"/>
      <w:bookmarkStart w:id="96" w:name="_Toc784"/>
      <w:r>
        <w:rPr>
          <w:rFonts w:hint="eastAsia" w:ascii="楷体_GB2312" w:hAnsi="楷体_GB2312" w:eastAsia="楷体_GB2312" w:cs="楷体_GB2312"/>
          <w:bCs/>
          <w:kern w:val="0"/>
          <w:sz w:val="32"/>
          <w:szCs w:val="32"/>
          <w:highlight w:val="none"/>
          <w:lang w:val="en-US" w:eastAsia="zh-CN"/>
        </w:rPr>
        <w:t>2.2 区环境应急协调小组办公室</w:t>
      </w:r>
      <w:bookmarkEnd w:id="93"/>
      <w:bookmarkEnd w:id="94"/>
      <w:bookmarkEnd w:id="95"/>
      <w:bookmarkEnd w:id="96"/>
    </w:p>
    <w:p>
      <w:pPr>
        <w:pStyle w:val="18"/>
        <w:topLinePunct/>
        <w:spacing w:after="0"/>
        <w:ind w:left="0" w:leftChars="0" w:firstLine="536"/>
        <w:jc w:val="both"/>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napToGrid w:val="0"/>
          <w:color w:val="000000"/>
          <w:sz w:val="32"/>
          <w:szCs w:val="32"/>
          <w:highlight w:val="none"/>
          <w:lang w:val="en-US" w:eastAsia="zh-CN" w:bidi="ar-SA"/>
        </w:rPr>
        <w:t>区环境应急协调小组办公室设在区生态环境局，作为区应急环境应急协调小组的日常工作机构，根据区环境应急协调小组的决定，负责规划、组织、协调、指导和检查本区突发环境事件应对工作及以应急管理的预案、体制、机制建设。区环境应急协调小组办公室主任由区生态环境局局长担任。</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区环境应急协调小组办公室主要职责为：</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（1）组织落实区环境应急协调小组决定，协调和调动成员单位应对突发环境事件，建立应急联动机制，保证信息畅通，做到信息共享；</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（2）建立健全环境应急值守制度，收集、分析工作信息，及时上报重要信息；</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（3）负责组织开展本区突发环境事件风险评估控制、隐患排查治理工作；</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（4）配合有关部门做好本区突发环境事件新闻发布工作；</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（5）组织编修与本区环境应急协调小组职能相关的应急预案，完善本区突发环境事件应急预案体系；</w:t>
      </w:r>
    </w:p>
    <w:p>
      <w:pPr>
        <w:topLinePun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（6）负责组织本区突发环境事件应急演练、宣传教育与培训工作；</w:t>
      </w:r>
    </w:p>
    <w:p>
      <w:pPr>
        <w:topLinePunct/>
        <w:jc w:val="both"/>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napToGrid w:val="0"/>
          <w:color w:val="000000"/>
          <w:sz w:val="32"/>
          <w:szCs w:val="32"/>
          <w:highlight w:val="none"/>
          <w:lang w:val="en-US" w:eastAsia="zh-CN" w:bidi="ar-SA"/>
        </w:rPr>
        <w:t>负责本区突发环境事件应急指挥系统的建设与管理工作；</w:t>
      </w:r>
    </w:p>
    <w:p>
      <w:pPr>
        <w:topLinePunct/>
        <w:jc w:val="both"/>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（8）</w:t>
      </w:r>
      <w:r>
        <w:rPr>
          <w:rFonts w:hint="eastAsia" w:ascii="仿宋_GB2312" w:hAnsi="仿宋_GB2312" w:eastAsia="仿宋_GB2312" w:cs="仿宋_GB2312"/>
          <w:snapToGrid w:val="0"/>
          <w:color w:val="000000"/>
          <w:sz w:val="32"/>
          <w:szCs w:val="32"/>
          <w:highlight w:val="none"/>
          <w:lang w:val="en-US" w:eastAsia="zh-CN" w:bidi="ar-SA"/>
        </w:rPr>
        <w:t>负责本区专家技术组的组建和日常管理工作；</w:t>
      </w:r>
    </w:p>
    <w:p>
      <w:pPr>
        <w:topLinePunct/>
        <w:jc w:val="both"/>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（9）</w:t>
      </w:r>
      <w:r>
        <w:rPr>
          <w:rFonts w:hint="eastAsia" w:ascii="仿宋_GB2312" w:hAnsi="仿宋_GB2312" w:eastAsia="仿宋_GB2312" w:cs="仿宋_GB2312"/>
          <w:snapToGrid w:val="0"/>
          <w:color w:val="000000"/>
          <w:sz w:val="32"/>
          <w:szCs w:val="32"/>
          <w:highlight w:val="none"/>
          <w:lang w:val="en-US" w:eastAsia="zh-CN" w:bidi="ar-SA"/>
        </w:rPr>
        <w:t>承担区环境应急协调小组交办的其他事项。</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97" w:name="_Toc31802"/>
      <w:bookmarkStart w:id="98" w:name="_Toc17966"/>
      <w:bookmarkStart w:id="99" w:name="_Toc25231"/>
      <w:bookmarkStart w:id="100" w:name="_Toc5362"/>
      <w:r>
        <w:rPr>
          <w:rFonts w:hint="eastAsia" w:ascii="楷体_GB2312" w:hAnsi="楷体_GB2312" w:eastAsia="楷体_GB2312" w:cs="楷体_GB2312"/>
          <w:bCs/>
          <w:kern w:val="0"/>
          <w:sz w:val="32"/>
          <w:szCs w:val="32"/>
          <w:highlight w:val="none"/>
          <w:lang w:val="en-US" w:eastAsia="zh-CN"/>
        </w:rPr>
        <w:t>2.3 区环境应急协调小组成员单位</w:t>
      </w:r>
      <w:bookmarkEnd w:id="97"/>
      <w:bookmarkEnd w:id="98"/>
      <w:bookmarkEnd w:id="99"/>
      <w:bookmarkEnd w:id="100"/>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区环境应急协调小组成员单位主要包括区生态环境局、区委宣传部、区委网信办、区发展改革委、区教委、区经济和信息化局、市公安局大兴分局、区司法局、区财政局、市规划自然资源委大兴分局、区住房和城乡建设委、区城市管理委、区水务局、区农业农村局、区商务局、区卫生健康委、区应急管理局、区市场监管局、区国资委、区园林绿化局、区交通局、大兴交通支队、区消防救援支队、区气象局和区融媒体中心。</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区环境应急协调小组成员单位通讯录见附件</w:t>
      </w:r>
      <w:r>
        <w:rPr>
          <w:rFonts w:hint="eastAsia" w:ascii="仿宋_GB2312" w:hAnsi="仿宋_GB2312" w:cs="仿宋_GB2312"/>
          <w:sz w:val="32"/>
          <w:szCs w:val="32"/>
          <w:highlight w:val="none"/>
          <w:lang w:val="en-US" w:eastAsia="zh-CN"/>
        </w:rPr>
        <w:t>4</w:t>
      </w:r>
      <w:r>
        <w:rPr>
          <w:rFonts w:hint="eastAsia" w:ascii="仿宋_GB2312" w:hAnsi="仿宋_GB2312" w:cs="仿宋_GB2312"/>
          <w:sz w:val="32"/>
          <w:szCs w:val="32"/>
          <w:highlight w:val="none"/>
        </w:rPr>
        <w:t>。</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各成员单位按照职责分工，结合实际编制处置突发环境事件的部门预案或在部门专项应急预案中制定环境应急预案专章等能够涵盖突发环境事件应急处置的内容；做好本行业、本领域突发事件风险防范，参与本行业引发突发环境事件的处置和调查；收集并通报可能引发突发环境事件信息。职责分工如下：</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w:t>
      </w:r>
      <w:r>
        <w:rPr>
          <w:rFonts w:hint="eastAsia" w:ascii="仿宋_GB2312" w:hAnsi="仿宋_GB2312" w:cs="仿宋_GB2312"/>
          <w:b/>
          <w:bCs/>
          <w:sz w:val="32"/>
          <w:szCs w:val="32"/>
          <w:highlight w:val="none"/>
        </w:rPr>
        <w:t>区生态环境局：</w:t>
      </w:r>
      <w:r>
        <w:rPr>
          <w:rFonts w:hint="eastAsia" w:ascii="仿宋_GB2312" w:hAnsi="仿宋_GB2312" w:cs="仿宋_GB2312"/>
          <w:sz w:val="32"/>
          <w:szCs w:val="32"/>
          <w:highlight w:val="none"/>
        </w:rPr>
        <w:t>负责制定本区突发环境事件应急预案；负责监督、检查、指导突发环境事件风险防控及应急处置工作；对突发环境事件开展环境应急监测，跟踪环境污染动态情况；提出控制和消除环境污染的应急处置建议；</w:t>
      </w:r>
      <w:r>
        <w:rPr>
          <w:rFonts w:hint="eastAsia" w:ascii="仿宋_GB2312" w:hAnsi="仿宋_GB2312" w:cs="仿宋_GB2312"/>
          <w:sz w:val="32"/>
          <w:szCs w:val="32"/>
          <w:highlight w:val="none"/>
          <w:lang w:val="en-US" w:eastAsia="zh-CN"/>
        </w:rPr>
        <w:t>负责建立区域应急联动制度，加强京内周边区及毗邻外埠地区的联防联控；</w:t>
      </w:r>
      <w:r>
        <w:rPr>
          <w:rFonts w:hint="eastAsia" w:ascii="仿宋_GB2312" w:hAnsi="仿宋_GB2312" w:cs="仿宋_GB2312"/>
          <w:sz w:val="32"/>
          <w:szCs w:val="32"/>
          <w:highlight w:val="none"/>
        </w:rPr>
        <w:t>参与制定环境恢复工作方案，推动环境恢复工作；配合公安部门对突发环境事件中存在的环境违法行为进行立案查处；配合市环境应急协调小组开展较大突发环境事件调查；收集、汇总、分析突发环境事件资料。</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w:t>
      </w:r>
      <w:r>
        <w:rPr>
          <w:rFonts w:hint="eastAsia" w:ascii="仿宋_GB2312" w:hAnsi="仿宋_GB2312" w:cs="仿宋_GB2312"/>
          <w:b/>
          <w:bCs/>
          <w:sz w:val="32"/>
          <w:szCs w:val="32"/>
          <w:highlight w:val="none"/>
        </w:rPr>
        <w:t>区委宣传部：</w:t>
      </w:r>
      <w:r>
        <w:rPr>
          <w:rFonts w:hint="eastAsia" w:ascii="仿宋_GB2312" w:hAnsi="仿宋_GB2312" w:cs="仿宋_GB2312"/>
          <w:sz w:val="32"/>
          <w:szCs w:val="32"/>
          <w:highlight w:val="none"/>
        </w:rPr>
        <w:t>负责组织协调一般突发环境事件新闻宣传和信息发布工作；收集分析舆情和社会公众动态，做好媒体和互联网舆论的引导工作。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（3）</w:t>
      </w:r>
      <w:r>
        <w:rPr>
          <w:rFonts w:hint="eastAsia" w:ascii="仿宋_GB2312" w:hAnsi="仿宋_GB2312" w:cs="仿宋_GB2312"/>
          <w:b/>
          <w:bCs/>
          <w:sz w:val="32"/>
          <w:szCs w:val="32"/>
          <w:highlight w:val="none"/>
        </w:rPr>
        <w:t>区委网信办：</w:t>
      </w:r>
      <w:r>
        <w:rPr>
          <w:rFonts w:hint="eastAsia" w:ascii="仿宋_GB2312" w:hAnsi="仿宋_GB2312" w:cs="仿宋_GB2312"/>
          <w:sz w:val="32"/>
          <w:szCs w:val="32"/>
          <w:highlight w:val="none"/>
        </w:rPr>
        <w:t>负责会同有关部门做好网络舆情分析、引导工作，加强网络媒体和移动新媒体等信息发布管理，依法依规对散布谣言、恶意炒作等行为进行处理；做好突发环境事件应急处置信息安全保障。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lang w:val="zh-CN"/>
        </w:rPr>
        <w:t>（</w:t>
      </w:r>
      <w:r>
        <w:rPr>
          <w:rFonts w:hint="eastAsia" w:ascii="仿宋_GB2312" w:hAnsi="仿宋_GB2312" w:cs="仿宋_GB2312"/>
          <w:sz w:val="32"/>
          <w:szCs w:val="32"/>
          <w:highlight w:val="none"/>
        </w:rPr>
        <w:t>4</w:t>
      </w:r>
      <w:r>
        <w:rPr>
          <w:rFonts w:hint="eastAsia" w:ascii="仿宋_GB2312" w:hAnsi="仿宋_GB2312" w:cs="仿宋_GB2312"/>
          <w:sz w:val="32"/>
          <w:szCs w:val="32"/>
          <w:highlight w:val="none"/>
          <w:lang w:val="zh-CN"/>
        </w:rPr>
        <w:t>）</w:t>
      </w:r>
      <w:r>
        <w:rPr>
          <w:rFonts w:hint="eastAsia" w:ascii="仿宋_GB2312" w:hAnsi="仿宋_GB2312" w:cs="仿宋_GB2312"/>
          <w:b/>
          <w:bCs/>
          <w:sz w:val="32"/>
          <w:szCs w:val="32"/>
          <w:highlight w:val="none"/>
          <w:lang w:val="zh-CN"/>
        </w:rPr>
        <w:t>区发展改革委：</w:t>
      </w:r>
      <w:r>
        <w:rPr>
          <w:rFonts w:hint="eastAsia" w:ascii="仿宋_GB2312" w:hAnsi="仿宋_GB2312" w:cs="仿宋_GB2312"/>
          <w:sz w:val="32"/>
          <w:szCs w:val="32"/>
          <w:highlight w:val="none"/>
        </w:rPr>
        <w:t>负责按权限对突发环境事件灾后生态恢复重建项目的审批、核准工作。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（5）</w:t>
      </w:r>
      <w:r>
        <w:rPr>
          <w:rFonts w:hint="eastAsia" w:ascii="仿宋_GB2312" w:hAnsi="仿宋_GB2312" w:cs="仿宋_GB2312"/>
          <w:b/>
          <w:bCs/>
          <w:sz w:val="32"/>
          <w:szCs w:val="32"/>
          <w:highlight w:val="none"/>
        </w:rPr>
        <w:t>区教委：</w:t>
      </w:r>
      <w:r>
        <w:rPr>
          <w:rFonts w:hint="eastAsia" w:ascii="仿宋_GB2312" w:hAnsi="仿宋_GB2312" w:cs="仿宋_GB2312"/>
          <w:sz w:val="32"/>
          <w:szCs w:val="32"/>
          <w:highlight w:val="none"/>
        </w:rPr>
        <w:t>指导、督促所管学校落实教学、科研等方面的环境风险防范工作，做好实验室危险化学品的储存使用和危险废物的收集、贮存和无害化处置；参与协调学校突发环境事件的应急处置工作和调查。</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（6）</w:t>
      </w:r>
      <w:r>
        <w:rPr>
          <w:rFonts w:hint="eastAsia" w:ascii="仿宋_GB2312" w:hAnsi="仿宋_GB2312" w:cs="仿宋_GB2312"/>
          <w:b/>
          <w:bCs/>
          <w:sz w:val="32"/>
          <w:szCs w:val="32"/>
          <w:highlight w:val="none"/>
        </w:rPr>
        <w:t>区经济和信息化局：</w:t>
      </w:r>
      <w:r>
        <w:rPr>
          <w:rFonts w:hint="eastAsia" w:ascii="仿宋_GB2312" w:hAnsi="仿宋_GB2312" w:cs="仿宋_GB2312"/>
          <w:sz w:val="32"/>
          <w:szCs w:val="32"/>
          <w:highlight w:val="none"/>
        </w:rPr>
        <w:t>组织协调本区突发环境事件救援防护装备、监测设备和应急处置物资的生产供应保障；做好突发环境事件应急指挥政务网络通信保障；协调大兴区通信建设管理办公室组织推进、调动各种通信资源，为突发环境事件应急指挥提供通信保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（7）</w:t>
      </w:r>
      <w:r>
        <w:rPr>
          <w:rFonts w:hint="eastAsia" w:ascii="仿宋_GB2312" w:hAnsi="仿宋_GB2312" w:cs="仿宋_GB2312"/>
          <w:b/>
          <w:bCs/>
          <w:sz w:val="32"/>
          <w:szCs w:val="32"/>
          <w:highlight w:val="none"/>
        </w:rPr>
        <w:t>市公安局大兴分局：</w:t>
      </w:r>
      <w:r>
        <w:rPr>
          <w:rFonts w:hint="eastAsia" w:ascii="仿宋_GB2312" w:hAnsi="仿宋_GB2312" w:cs="仿宋_GB2312"/>
          <w:sz w:val="32"/>
          <w:szCs w:val="32"/>
          <w:highlight w:val="none"/>
        </w:rPr>
        <w:t>会同有关部门做好危险化学品事故风险防范工作；参与因易制毒、易制爆</w:t>
      </w:r>
      <w:r>
        <w:rPr>
          <w:rFonts w:hint="eastAsia" w:ascii="仿宋_GB2312" w:hAnsi="仿宋_GB2312" w:cs="仿宋_GB2312"/>
          <w:sz w:val="32"/>
          <w:szCs w:val="32"/>
          <w:highlight w:val="none"/>
          <w:lang w:val="en-US" w:eastAsia="zh-CN"/>
        </w:rPr>
        <w:t>及剧毒化学品</w:t>
      </w:r>
      <w:r>
        <w:rPr>
          <w:rFonts w:hint="eastAsia" w:ascii="仿宋_GB2312" w:hAnsi="仿宋_GB2312" w:cs="仿宋_GB2312"/>
          <w:sz w:val="32"/>
          <w:szCs w:val="32"/>
          <w:highlight w:val="none"/>
        </w:rPr>
        <w:t>造成突发环境事件的处置和调查工作；对突发环境事件中涉嫌重大责任事故的嫌疑人进行立案侦查；组织事故可能危及区域内人员疏散撤离；对突发环境事件现场及影响区域实施治安警戒，维护现场秩序。</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（8）</w:t>
      </w:r>
      <w:r>
        <w:rPr>
          <w:rFonts w:hint="eastAsia" w:ascii="仿宋_GB2312" w:hAnsi="仿宋_GB2312" w:cs="仿宋_GB2312"/>
          <w:b/>
          <w:bCs/>
          <w:sz w:val="32"/>
          <w:szCs w:val="32"/>
          <w:highlight w:val="none"/>
        </w:rPr>
        <w:t>区司法局：</w:t>
      </w:r>
      <w:r>
        <w:rPr>
          <w:rFonts w:hint="eastAsia" w:ascii="仿宋_GB2312" w:hAnsi="仿宋_GB2312" w:cs="仿宋_GB2312"/>
          <w:sz w:val="32"/>
          <w:szCs w:val="32"/>
          <w:highlight w:val="none"/>
        </w:rPr>
        <w:t>协调处理突发环境事件处置过程中的法律纠纷。</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（9）</w:t>
      </w:r>
      <w:r>
        <w:rPr>
          <w:rFonts w:hint="eastAsia" w:ascii="仿宋_GB2312" w:hAnsi="仿宋_GB2312" w:cs="仿宋_GB2312"/>
          <w:b/>
          <w:bCs/>
          <w:sz w:val="32"/>
          <w:szCs w:val="32"/>
          <w:highlight w:val="none"/>
        </w:rPr>
        <w:t>区财政局：</w:t>
      </w:r>
      <w:r>
        <w:rPr>
          <w:rFonts w:hint="eastAsia" w:ascii="仿宋_GB2312" w:hAnsi="仿宋_GB2312" w:cs="仿宋_GB2312"/>
          <w:sz w:val="32"/>
          <w:szCs w:val="32"/>
          <w:highlight w:val="none"/>
        </w:rPr>
        <w:t>负责突发环境事件应急处置工作中应由区级财政安排的预算审批、资金拨付等经费保障及管理工作。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（10）</w:t>
      </w:r>
      <w:r>
        <w:rPr>
          <w:rFonts w:hint="eastAsia" w:ascii="仿宋_GB2312" w:hAnsi="仿宋_GB2312" w:cs="仿宋_GB2312"/>
          <w:b/>
          <w:bCs/>
          <w:sz w:val="32"/>
          <w:szCs w:val="32"/>
          <w:highlight w:val="none"/>
        </w:rPr>
        <w:t>市规划和自然资源委大兴分局：</w:t>
      </w:r>
      <w:r>
        <w:rPr>
          <w:rFonts w:hint="eastAsia" w:ascii="仿宋_GB2312" w:hAnsi="仿宋_GB2312" w:cs="仿宋_GB2312"/>
          <w:sz w:val="32"/>
          <w:szCs w:val="32"/>
          <w:highlight w:val="none"/>
        </w:rPr>
        <w:t>参与地质灾害引发的突发环境事件的应急处置、修复、评估和调查处理；做好可能导致突发环境事件信息的收集与通报工作。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（11）</w:t>
      </w:r>
      <w:r>
        <w:rPr>
          <w:rFonts w:hint="eastAsia" w:ascii="仿宋_GB2312" w:hAnsi="仿宋_GB2312" w:cs="仿宋_GB2312"/>
          <w:b/>
          <w:bCs/>
          <w:sz w:val="32"/>
          <w:szCs w:val="32"/>
          <w:highlight w:val="none"/>
        </w:rPr>
        <w:t>区住房城乡建设委：</w:t>
      </w:r>
      <w:r>
        <w:rPr>
          <w:rFonts w:hint="eastAsia" w:ascii="仿宋_GB2312" w:hAnsi="仿宋_GB2312" w:cs="仿宋_GB2312"/>
          <w:sz w:val="32"/>
          <w:szCs w:val="32"/>
          <w:highlight w:val="none"/>
          <w:lang w:val="en-US" w:eastAsia="zh-CN"/>
        </w:rPr>
        <w:t>负责</w:t>
      </w:r>
      <w:r>
        <w:rPr>
          <w:rFonts w:hint="eastAsia" w:ascii="仿宋_GB2312" w:hAnsi="仿宋_GB2312" w:cs="仿宋_GB2312"/>
          <w:sz w:val="32"/>
          <w:szCs w:val="32"/>
          <w:highlight w:val="none"/>
        </w:rPr>
        <w:t>对建设工程事故抢险救援中相关专业队伍的指挥和大型建筑机械的调用；参与建设工程突发环境事件的抢险救援、评估和事故调查处理。</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（12）</w:t>
      </w:r>
      <w:r>
        <w:rPr>
          <w:rFonts w:hint="eastAsia" w:ascii="仿宋_GB2312" w:hAnsi="仿宋_GB2312" w:cs="仿宋_GB2312"/>
          <w:b/>
          <w:bCs/>
          <w:sz w:val="32"/>
          <w:szCs w:val="32"/>
          <w:highlight w:val="none"/>
        </w:rPr>
        <w:t>区城市管理委：</w:t>
      </w:r>
      <w:r>
        <w:rPr>
          <w:rFonts w:hint="eastAsia" w:ascii="仿宋_GB2312" w:hAnsi="仿宋_GB2312" w:cs="仿宋_GB2312"/>
          <w:sz w:val="32"/>
          <w:szCs w:val="32"/>
          <w:highlight w:val="none"/>
        </w:rPr>
        <w:t>负责石油、天然气管道保护职责范围内的风险防范工作；参与城市公共设施、电力事故引发的突发环境事件的应急处置、评估和调查处理；配合做好突发环境事件应急处置中电、气、热供应保障及受损基础设施的修复工作；配合做好突发环境事件中产生的非危险废物的处置工作；配合做好城市运行行业领域可能导致突发环境事件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（13）</w:t>
      </w:r>
      <w:r>
        <w:rPr>
          <w:rFonts w:hint="eastAsia" w:ascii="仿宋_GB2312" w:hAnsi="仿宋_GB2312" w:cs="仿宋_GB2312"/>
          <w:b/>
          <w:bCs/>
          <w:sz w:val="32"/>
          <w:szCs w:val="32"/>
          <w:highlight w:val="none"/>
        </w:rPr>
        <w:t>区水务局：</w:t>
      </w:r>
      <w:r>
        <w:rPr>
          <w:rFonts w:hint="eastAsia" w:ascii="仿宋_GB2312" w:hAnsi="仿宋_GB2312" w:cs="仿宋_GB2312"/>
          <w:sz w:val="32"/>
          <w:szCs w:val="32"/>
          <w:highlight w:val="none"/>
        </w:rPr>
        <w:t>负责所管辖水库、河道、湖泊、饮用水源等污染和城市排污设施事故的风险防范工作；参与突发水环境污染事件的处置和调查；负责协调河流水库的调水、配水、疏导及节流工作；组织对涉及职责范围内的被破坏的水务基础设施进行修复；组织做好备用生活用水调度和保障；负责提供水利、水文、排水管网等有关资料；提供突发水环境污染处置的应急装备、物资；做好可能导致突发环境事件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（14）</w:t>
      </w:r>
      <w:r>
        <w:rPr>
          <w:rFonts w:hint="eastAsia" w:ascii="仿宋_GB2312" w:hAnsi="仿宋_GB2312" w:cs="仿宋_GB2312"/>
          <w:b/>
          <w:bCs/>
          <w:sz w:val="32"/>
          <w:szCs w:val="32"/>
          <w:highlight w:val="none"/>
        </w:rPr>
        <w:t>区农业农村局：</w:t>
      </w:r>
      <w:r>
        <w:rPr>
          <w:rFonts w:hint="eastAsia" w:ascii="仿宋_GB2312" w:hAnsi="仿宋_GB2312" w:cs="仿宋_GB2312"/>
          <w:sz w:val="32"/>
          <w:szCs w:val="32"/>
          <w:highlight w:val="none"/>
        </w:rPr>
        <w:t>负责农业领域突发环境事件的风险防范、应急处置和调查工作；参与突发环境事件造成耕地土壤污染治理和修复；做好可能导致突发环境事件信息的收集与通报工作。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（15）</w:t>
      </w:r>
      <w:r>
        <w:rPr>
          <w:rFonts w:hint="eastAsia" w:ascii="仿宋_GB2312" w:hAnsi="仿宋_GB2312" w:cs="仿宋_GB2312"/>
          <w:b/>
          <w:bCs/>
          <w:sz w:val="32"/>
          <w:szCs w:val="32"/>
          <w:highlight w:val="none"/>
        </w:rPr>
        <w:t>区商务局：</w:t>
      </w:r>
      <w:r>
        <w:rPr>
          <w:rFonts w:hint="eastAsia" w:ascii="仿宋_GB2312" w:hAnsi="仿宋_GB2312" w:cs="仿宋_GB2312"/>
          <w:sz w:val="32"/>
          <w:szCs w:val="32"/>
          <w:highlight w:val="none"/>
        </w:rPr>
        <w:t>负责组织协调生活必需品以及所管理应急物资的储备、供应和调拨工作。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（16）</w:t>
      </w:r>
      <w:r>
        <w:rPr>
          <w:rFonts w:hint="eastAsia" w:ascii="仿宋_GB2312" w:hAnsi="仿宋_GB2312" w:cs="仿宋_GB2312"/>
          <w:b/>
          <w:bCs/>
          <w:sz w:val="32"/>
          <w:szCs w:val="32"/>
          <w:highlight w:val="none"/>
        </w:rPr>
        <w:t>区卫生健康委：</w:t>
      </w:r>
      <w:r>
        <w:rPr>
          <w:rFonts w:hint="eastAsia" w:ascii="仿宋_GB2312" w:hAnsi="仿宋_GB2312" w:cs="仿宋_GB2312"/>
          <w:sz w:val="32"/>
          <w:szCs w:val="32"/>
          <w:highlight w:val="none"/>
        </w:rPr>
        <w:t>负责指导医疗卫生机构做好医疗废水废物引发突发环境事件的风险防范工作；参与医疗废水废物引发突发环境事件的应急处置和调查工作；组织开展医疗卫生救治和疾病预防控制；负责突发环境事件中饮用水、公共场所的卫生监测检验和卫生学评价；做好可能导致突发环境事件的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（17）</w:t>
      </w:r>
      <w:r>
        <w:rPr>
          <w:rFonts w:hint="eastAsia" w:ascii="仿宋_GB2312" w:hAnsi="仿宋_GB2312" w:cs="仿宋_GB2312"/>
          <w:b/>
          <w:bCs/>
          <w:sz w:val="32"/>
          <w:szCs w:val="32"/>
          <w:highlight w:val="none"/>
        </w:rPr>
        <w:t>区应急管理局：</w:t>
      </w:r>
      <w:r>
        <w:rPr>
          <w:rFonts w:hint="eastAsia" w:ascii="仿宋_GB2312" w:hAnsi="仿宋_GB2312" w:cs="仿宋_GB2312"/>
          <w:sz w:val="32"/>
          <w:szCs w:val="32"/>
          <w:highlight w:val="none"/>
        </w:rPr>
        <w:t>督促指导危险化学品生产经营企业做好事故风险防范工作，做好相关可能引发突发环境事件的信息收集与通报</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生产安全事故处置与调查工作；</w:t>
      </w:r>
      <w:r>
        <w:rPr>
          <w:rFonts w:hint="eastAsia" w:ascii="仿宋_GB2312" w:hAnsi="仿宋_GB2312" w:cs="仿宋_GB2312"/>
          <w:sz w:val="32"/>
          <w:szCs w:val="32"/>
          <w:highlight w:val="none"/>
        </w:rPr>
        <w:t>参与突发环境事件处置与调查工作；负责指导事发地区做好受灾转移群众的安置工作。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（18）</w:t>
      </w:r>
      <w:r>
        <w:rPr>
          <w:rFonts w:hint="eastAsia" w:ascii="仿宋_GB2312" w:hAnsi="仿宋_GB2312" w:cs="仿宋_GB2312"/>
          <w:b/>
          <w:bCs/>
          <w:sz w:val="32"/>
          <w:szCs w:val="32"/>
          <w:highlight w:val="none"/>
        </w:rPr>
        <w:t>区市场监管局：</w:t>
      </w:r>
      <w:r>
        <w:rPr>
          <w:rFonts w:hint="eastAsia" w:ascii="仿宋_GB2312" w:hAnsi="仿宋_GB2312" w:cs="仿宋_GB2312"/>
          <w:sz w:val="32"/>
          <w:szCs w:val="32"/>
          <w:highlight w:val="none"/>
        </w:rPr>
        <w:t>协同相关部门加强对受污染区食品安全的监管管理；负责做好突发环境事件受影响区域市场秩序稳定；负责突发环境事件过程中所需的区级医药储备物资的应急保障工作。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（19）</w:t>
      </w:r>
      <w:r>
        <w:rPr>
          <w:rFonts w:hint="eastAsia" w:ascii="仿宋_GB2312" w:hAnsi="仿宋_GB2312" w:cs="仿宋_GB2312"/>
          <w:b/>
          <w:bCs/>
          <w:sz w:val="32"/>
          <w:szCs w:val="32"/>
          <w:highlight w:val="none"/>
        </w:rPr>
        <w:t>区国资委：</w:t>
      </w:r>
      <w:r>
        <w:rPr>
          <w:rFonts w:hint="eastAsia" w:ascii="仿宋_GB2312" w:hAnsi="仿宋_GB2312" w:cs="仿宋_GB2312"/>
          <w:sz w:val="32"/>
          <w:szCs w:val="32"/>
          <w:highlight w:val="none"/>
        </w:rPr>
        <w:t>督促所监管企业落实环境安全主体责任，制定突发环境事件应急预案，落实环境风险防范措施，做好环境安全隐患排查治理工作；督促监管企业配备应急救援物资，做好先期处置工作。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（20）</w:t>
      </w:r>
      <w:r>
        <w:rPr>
          <w:rFonts w:hint="eastAsia" w:ascii="仿宋_GB2312" w:hAnsi="仿宋_GB2312" w:cs="仿宋_GB2312"/>
          <w:b/>
          <w:bCs/>
          <w:sz w:val="32"/>
          <w:szCs w:val="32"/>
          <w:highlight w:val="none"/>
        </w:rPr>
        <w:t>区园林绿化局：</w:t>
      </w:r>
      <w:r>
        <w:rPr>
          <w:rFonts w:hint="eastAsia" w:ascii="仿宋_GB2312" w:hAnsi="仿宋_GB2312" w:cs="仿宋_GB2312"/>
          <w:sz w:val="32"/>
          <w:szCs w:val="32"/>
          <w:highlight w:val="none"/>
        </w:rPr>
        <w:t>参与因突发环境事件造成的园林、湿地、动植物、自然保护区等资源损害评估和生态恢复重建工作；做好可能导致突发环境事件的信息的收集与通报工作。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（21）</w:t>
      </w:r>
      <w:r>
        <w:rPr>
          <w:rFonts w:hint="eastAsia" w:ascii="仿宋_GB2312" w:hAnsi="仿宋_GB2312" w:cs="仿宋_GB2312"/>
          <w:b/>
          <w:bCs/>
          <w:sz w:val="32"/>
          <w:szCs w:val="32"/>
          <w:highlight w:val="none"/>
        </w:rPr>
        <w:t>区交通局：</w:t>
      </w:r>
      <w:r>
        <w:rPr>
          <w:rFonts w:hint="eastAsia" w:ascii="仿宋_GB2312" w:hAnsi="仿宋_GB2312" w:cs="仿宋_GB2312"/>
          <w:sz w:val="32"/>
          <w:szCs w:val="32"/>
          <w:highlight w:val="none"/>
        </w:rPr>
        <w:t>负责在突发环境事件中运输组织和交通保障工作；负责做好取得道路运输资质的危险化学品运输车辆稽查工作，防止因交通事故引发的次生环境污染。</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（22）</w:t>
      </w:r>
      <w:r>
        <w:rPr>
          <w:rFonts w:hint="eastAsia" w:ascii="仿宋_GB2312" w:hAnsi="仿宋_GB2312" w:cs="仿宋_GB2312"/>
          <w:b/>
          <w:bCs/>
          <w:sz w:val="32"/>
          <w:szCs w:val="32"/>
          <w:highlight w:val="none"/>
        </w:rPr>
        <w:t>区交通支队：</w:t>
      </w:r>
      <w:r>
        <w:rPr>
          <w:rFonts w:hint="eastAsia" w:ascii="仿宋_GB2312" w:hAnsi="仿宋_GB2312" w:cs="仿宋_GB2312"/>
          <w:sz w:val="32"/>
          <w:szCs w:val="32"/>
          <w:highlight w:val="none"/>
        </w:rPr>
        <w:t>负责突发环境事件现场及外围的道路交通疏导及管控，发布交通引导信息；负责开辟绿色通道；会同水务部门研究制定主要水库、河流沿岸市政道路禁止危险化学品车辆通行措施；做好可能导致突发环境事件信息的收集与通报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（23）</w:t>
      </w:r>
      <w:r>
        <w:rPr>
          <w:rFonts w:hint="eastAsia" w:ascii="仿宋_GB2312" w:hAnsi="仿宋_GB2312" w:cs="仿宋_GB2312"/>
          <w:b/>
          <w:bCs/>
          <w:sz w:val="32"/>
          <w:szCs w:val="32"/>
          <w:highlight w:val="none"/>
        </w:rPr>
        <w:t>区消防救援支队：</w:t>
      </w:r>
      <w:r>
        <w:rPr>
          <w:rFonts w:hint="eastAsia" w:ascii="仿宋_GB2312" w:hAnsi="仿宋_GB2312" w:cs="仿宋_GB2312"/>
          <w:sz w:val="32"/>
          <w:szCs w:val="32"/>
          <w:highlight w:val="none"/>
        </w:rPr>
        <w:t>负责在本部门预案中编制突发环境事件应急处置专章；负责突发环境事件的现场火灾扑救；参加突发环境事件的现场抢险和应急救援，联合做好突发环境事件的现场处置工作。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（24）</w:t>
      </w:r>
      <w:r>
        <w:rPr>
          <w:rFonts w:hint="eastAsia" w:ascii="仿宋_GB2312" w:hAnsi="仿宋_GB2312" w:cs="仿宋_GB2312"/>
          <w:b/>
          <w:bCs/>
          <w:sz w:val="32"/>
          <w:szCs w:val="32"/>
          <w:highlight w:val="none"/>
        </w:rPr>
        <w:t>区气象局：</w:t>
      </w:r>
      <w:r>
        <w:rPr>
          <w:rFonts w:hint="eastAsia" w:ascii="仿宋_GB2312" w:hAnsi="仿宋_GB2312" w:cs="仿宋_GB2312"/>
          <w:sz w:val="32"/>
          <w:szCs w:val="32"/>
          <w:highlight w:val="none"/>
        </w:rPr>
        <w:t>负责密切监测突发环境事件发生地及周边的天气情况，及时提供有关气象数据及有毒有害气体可能</w:t>
      </w:r>
      <w:r>
        <w:rPr>
          <w:rFonts w:hint="eastAsia" w:ascii="仿宋_GB2312" w:hAnsi="仿宋_GB2312" w:cs="仿宋_GB2312"/>
          <w:sz w:val="32"/>
          <w:szCs w:val="32"/>
          <w:highlight w:val="none"/>
          <w:lang w:val="en-US" w:eastAsia="zh-CN"/>
        </w:rPr>
        <w:t>扩散方向</w:t>
      </w:r>
      <w:r>
        <w:rPr>
          <w:rFonts w:hint="eastAsia" w:ascii="仿宋_GB2312" w:hAnsi="仿宋_GB2312" w:cs="仿宋_GB2312"/>
          <w:sz w:val="32"/>
          <w:szCs w:val="32"/>
          <w:highlight w:val="none"/>
        </w:rPr>
        <w:t>等信息，参与后期处置，协助完成突发环境事件调查评估工作。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（25）</w:t>
      </w:r>
      <w:r>
        <w:rPr>
          <w:rFonts w:hint="eastAsia" w:ascii="仿宋_GB2312" w:hAnsi="仿宋_GB2312" w:cs="仿宋_GB2312"/>
          <w:b/>
          <w:bCs/>
          <w:sz w:val="32"/>
          <w:szCs w:val="32"/>
          <w:highlight w:val="none"/>
        </w:rPr>
        <w:t>区融媒体中心：</w:t>
      </w:r>
      <w:r>
        <w:rPr>
          <w:rFonts w:hint="eastAsia" w:ascii="仿宋_GB2312" w:hAnsi="仿宋_GB2312" w:cs="仿宋_GB2312"/>
          <w:sz w:val="32"/>
          <w:szCs w:val="32"/>
          <w:highlight w:val="none"/>
        </w:rPr>
        <w:t>整合区融媒体渠道，组织宣传避险知识并配合做好突发事件新闻宣传和信息发布工作。</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101" w:name="_Toc25336"/>
      <w:bookmarkStart w:id="102" w:name="_Toc6738"/>
      <w:bookmarkStart w:id="103" w:name="_Toc11972"/>
      <w:bookmarkStart w:id="104" w:name="_Toc23849"/>
      <w:bookmarkStart w:id="105" w:name="_Toc5019"/>
      <w:bookmarkStart w:id="106" w:name="_Toc29005"/>
      <w:bookmarkStart w:id="107" w:name="_Toc28250"/>
      <w:bookmarkStart w:id="108" w:name="_Toc1021"/>
      <w:r>
        <w:rPr>
          <w:rFonts w:hint="eastAsia" w:ascii="楷体_GB2312" w:hAnsi="楷体_GB2312" w:eastAsia="楷体_GB2312" w:cs="楷体_GB2312"/>
          <w:bCs/>
          <w:kern w:val="0"/>
          <w:sz w:val="32"/>
          <w:szCs w:val="32"/>
          <w:highlight w:val="none"/>
          <w:lang w:val="en-US" w:eastAsia="zh-CN"/>
        </w:rPr>
        <w:t>2.4 区突发环境事件临时应急指挥部</w:t>
      </w:r>
      <w:bookmarkEnd w:id="101"/>
      <w:bookmarkEnd w:id="102"/>
      <w:bookmarkEnd w:id="103"/>
      <w:bookmarkEnd w:id="104"/>
      <w:bookmarkEnd w:id="105"/>
      <w:bookmarkEnd w:id="106"/>
      <w:bookmarkEnd w:id="107"/>
      <w:bookmarkEnd w:id="108"/>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初判可能发生一般</w:t>
      </w:r>
      <w:r>
        <w:rPr>
          <w:rFonts w:hint="eastAsia" w:ascii="仿宋_GB2312" w:hAnsi="仿宋_GB2312" w:cs="仿宋_GB2312"/>
          <w:sz w:val="32"/>
          <w:szCs w:val="32"/>
          <w:highlight w:val="none"/>
          <w:lang w:val="en-US" w:eastAsia="zh-CN"/>
        </w:rPr>
        <w:t>及以下</w:t>
      </w:r>
      <w:r>
        <w:rPr>
          <w:rFonts w:hint="eastAsia" w:ascii="仿宋_GB2312" w:hAnsi="仿宋_GB2312" w:cs="仿宋_GB2312"/>
          <w:sz w:val="32"/>
          <w:szCs w:val="32"/>
          <w:highlight w:val="none"/>
        </w:rPr>
        <w:t>突发环境事件时，由区环境应急协调小组建议或按照相关区领导要求，在区环境应急协调小组框架基础上，组建大兴区突发环境事件临时应急指挥部（以下简称“区临时指挥部”）。区临时指挥部总指挥由区政府分管副区长担任，副总指挥由区生态环境局局长担任。</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区临时指挥部主要职责：在区委、区政府、区应急委统一领导下，组织本区一般突发环境事件应急处置工作；按照市级工作部署，参与其他突发环境应急事件应对工作。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自然灾害、事故灾难以及其他类型事件造成次生的突发环境事件，且原生事件处置主责部门已成立或即将成立相关专项指挥部的，区环境应急协调小组不再单独组建区临时应急指挥部，由原生事件专项指挥部统一调度、协调、应对和处置事件对环境造成的影响。区生态环境局按照相关原生事件专项指挥部工作组设置进行编组，主要负责事故现场环境应急监测、提出应急处置意见、协助相关部门处置、指导危险废物的无害化处理、参与事件调查等。</w:t>
      </w:r>
      <w:r>
        <w:rPr>
          <w:rFonts w:hint="eastAsia" w:ascii="仿宋_GB2312" w:hAnsi="仿宋_GB2312" w:cs="仿宋_GB2312"/>
          <w:sz w:val="32"/>
          <w:szCs w:val="32"/>
          <w:highlight w:val="none"/>
          <w:lang w:val="en-US" w:eastAsia="zh-CN"/>
        </w:rPr>
        <w:t>由生态环境局主责处置的突发环境事件应急工作按照本预案执行。</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区临时应急指挥部设</w:t>
      </w:r>
      <w:bookmarkStart w:id="109" w:name="_Hlk103338817"/>
      <w:r>
        <w:rPr>
          <w:rFonts w:hint="eastAsia" w:ascii="仿宋_GB2312" w:hAnsi="仿宋_GB2312" w:cs="仿宋_GB2312"/>
          <w:sz w:val="32"/>
          <w:szCs w:val="32"/>
          <w:highlight w:val="none"/>
        </w:rPr>
        <w:t>综合协调组、污染处置组、应急监测组、信息宣传组、医学救援组、综合保障组、秩序管控组、现场调查组、专家技术组</w:t>
      </w:r>
      <w:bookmarkEnd w:id="109"/>
      <w:r>
        <w:rPr>
          <w:rFonts w:hint="eastAsia" w:ascii="仿宋_GB2312" w:hAnsi="仿宋_GB2312" w:cs="仿宋_GB2312"/>
          <w:sz w:val="32"/>
          <w:szCs w:val="32"/>
          <w:highlight w:val="none"/>
        </w:rPr>
        <w:t>，现场编组可视情况进行调整。</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（1） 综合协调组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由区生态环境局牵头，区委宣传部、区发展改革委、区经济和信息化局、市公安局大兴分局、区卫生健康委、区应急管理局等部门和事发地所属镇政府（街道办事处、功能区管委会）组成。</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主要职责：承担突发环境事件现场应急处置综合协调工作；负责收集汇总事件进展情况；协助完成会议组织、资料管理等工作；承担指挥机构交办的其他任务。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（2） 污染处置组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生态环境局牵头，市规划和自然资源委大兴分局、区城市管理委、区交通局、区水务局、区农业农村局、区应急管理局、区国资委、区园林绿化局、区交通支队、区市场监管局、区消防救援支队、区气象局和事发地所属镇政府（街道办事处、功能区管委会）参加。</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负责组织技术研判和事态分析，提出应急处置方案；调配应急救援队伍、装备和物资，迅速组织切断污染源、分析污染途径、清除污染物，采取措施防止和减轻污染扩散；控制易燃易爆及有毒有害物质的泄露；在实施抢险救援过程中，做好消防退水导致次生环境污染的预防及处置工作；组织落实相关企业停、限产措施；明确不同情况下的现场处置人员须采取的个人防护措施；确定受威胁人员疏散的方式和途径；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（3） 应急监测组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由区生态环境局牵头，市规划和自然资源委大兴分局、区水务局、区农业农村局、区卫生健康委、区气象局等部门和事发地所属镇政府（街道办事处、功能区管委会）参加。</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对可能受影响区域内的空气质量、敏感水体水质等进行快速监测，提出初步应对建议；根据现场情况明确应急监测方案及监测方法，确定污染物扩散范围，明确监测的布点和频次；做好大气、水体、土壤等应急监测及数据汇总分析，为突发环境事件应急决策提供依据；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 xml:space="preserve"> </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4）</w:t>
      </w:r>
      <w:r>
        <w:rPr>
          <w:rFonts w:hint="eastAsia" w:ascii="仿宋_GB2312" w:hAnsi="仿宋_GB2312" w:cs="仿宋_GB2312"/>
          <w:sz w:val="32"/>
          <w:szCs w:val="32"/>
          <w:highlight w:val="none"/>
        </w:rPr>
        <w:t>信息宣传组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由区委宣传部牵头，区委网信办、市公安局大兴分局、区生态环境局等有关部门及事发地所属镇政府（街道办事处、功能区管委会）参加。</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负责组织事件应急工作情况等权威信息发布，起草突发环境事件的新闻发布稿和情况公告；组织新闻媒体及时发布突发环境事件应急情况的信息；收集分析舆情和社会公众动态，加强媒体、电信和互联网管理，正确引导舆论；及时澄清不实信息，回应社会关切；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 xml:space="preserve"> </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rPr>
        <w:t>医学救援组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由区卫生健康委牵头，区应急管理局、区市场监管局、区农业农村局、区水务局、区消防救援支队等部门及事发地所属镇政府（街道办事处、功能区管委会）参加。</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负责组织开展突发环境事件现场人员紧急救援，伤病员医疗救治、应急心理援助；指导和协助开展受污染人员的去污洗消工作；提出公众健康保护措施建议；禁止或限制受污染食品和饮用水的生产、加工、流通和食用，防范因突发环境事件造成集体中毒；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 xml:space="preserve"> </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6）</w:t>
      </w:r>
      <w:r>
        <w:rPr>
          <w:rFonts w:hint="eastAsia" w:ascii="仿宋_GB2312" w:hAnsi="仿宋_GB2312" w:cs="仿宋_GB2312"/>
          <w:sz w:val="32"/>
          <w:szCs w:val="32"/>
          <w:highlight w:val="none"/>
        </w:rPr>
        <w:t>综合保障组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由事发</w:t>
      </w:r>
      <w:r>
        <w:rPr>
          <w:rFonts w:hint="eastAsia" w:ascii="仿宋_GB2312" w:hAnsi="仿宋_GB2312" w:cs="仿宋_GB2312"/>
          <w:sz w:val="32"/>
          <w:szCs w:val="32"/>
          <w:highlight w:val="none"/>
          <w:lang w:val="en-US" w:eastAsia="zh-CN"/>
        </w:rPr>
        <w:t>地</w:t>
      </w:r>
      <w:r>
        <w:rPr>
          <w:rFonts w:hint="eastAsia" w:ascii="仿宋_GB2312" w:hAnsi="仿宋_GB2312" w:cs="仿宋_GB2312"/>
          <w:sz w:val="32"/>
          <w:szCs w:val="32"/>
          <w:highlight w:val="none"/>
        </w:rPr>
        <w:t>所属镇政府（街道办事处、功能区管委会）牵头，区经济和信息化局、市公安局大兴分局、区财政局、区交通支队、区商务局、区应急管理局等部门组成。</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组织做好事件影响区域有关人员的疏散转移和临时安置工作；对受灾群众进行生活救助；组织做好应急救援物资保障以及临时安置重要物资的储备、调拨和配送工作；组织协调救援防护装备、监测设备和应急物资的生产供应保障；负责事件应对区级经费保障；为应急指挥提供通信保障；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rPr>
        <w:t xml:space="preserve"> 秩序管控组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由市公安局大兴分局牵头，区委网信办、区司法局、区商务局、区市场监管局、区交通支队等部门及事发地所属镇政府（街道办事处、功能区管委会）组成。</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落实事故现场治安警戒和交通管制，确定重点防控区域，加强转移人员安置点、救灾物资存放点等重点地区治安管控；严厉打击借机传播谣言、哄抢物资等违法犯罪行为；做好受影响人员与涉事单位、地方人民政府及有关部门矛盾纠纷化解等法律服务工作，维护社会稳定；加强对重要生活必需品等商品的市场监管和调控；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 xml:space="preserve"> </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8）</w:t>
      </w:r>
      <w:r>
        <w:rPr>
          <w:rFonts w:hint="eastAsia" w:ascii="仿宋_GB2312" w:hAnsi="仿宋_GB2312" w:cs="仿宋_GB2312"/>
          <w:sz w:val="32"/>
          <w:szCs w:val="32"/>
          <w:highlight w:val="none"/>
        </w:rPr>
        <w:t>现场调查组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生态环境局牵头，市公安局大兴分局、市规划自然资源委大兴分局、区交通支队、区水务局、区农业农村局、区应急管理局、区消防救援支队、区气象局等部门和事发地所属镇政府（街道办事处、功能区管委会）参加。</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调查分析突发环境事故的起因、造成影响及初步损失情况；调查事故周边环境敏感点、受影响的环境要素及功能区划；组织开展对突发环境事件的污染物种类、性质以及当地气象、自然、社会环境状况等的调查；记录事故应急处置过程；承担指挥机构交办的其他任务。</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val="en-US" w:eastAsia="zh-CN"/>
        </w:rPr>
        <w:t>9</w:t>
      </w:r>
      <w:r>
        <w:rPr>
          <w:rFonts w:hint="eastAsia" w:ascii="仿宋_GB2312" w:hAnsi="仿宋_GB2312" w:cs="仿宋_GB2312"/>
          <w:sz w:val="32"/>
          <w:szCs w:val="32"/>
          <w:highlight w:val="none"/>
        </w:rPr>
        <w:t>） 专家技术组</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由区生态环境局牵头，会同有关部门组织环境监测、人员防护、化学工程、危险化学品、辐射防护、污染控制、环境评估、生态保护、水利水文、给水排水、地质、气象、大气环境、环境医学、防化等专业专家组成。</w:t>
      </w:r>
    </w:p>
    <w:p>
      <w:pPr>
        <w:topLinePunct/>
        <w:jc w:val="both"/>
        <w:textAlignment w:val="auto"/>
        <w:rPr>
          <w:rFonts w:ascii="仿宋" w:hAnsi="仿宋" w:eastAsia="仿宋" w:cs="仿宋"/>
          <w:color w:val="auto"/>
          <w:highlight w:val="none"/>
        </w:rPr>
      </w:pPr>
      <w:r>
        <w:rPr>
          <w:rFonts w:hint="eastAsia" w:ascii="仿宋_GB2312" w:hAnsi="仿宋_GB2312" w:cs="仿宋_GB2312"/>
          <w:sz w:val="32"/>
          <w:szCs w:val="32"/>
          <w:highlight w:val="none"/>
        </w:rPr>
        <w:t>主要职责：专家组负责参与指导突发环境事件的应急处置工作；参与污染源、污染物性质、污染范围、危害程度的快速确定工作，研究、评估污染处置、人员撤离等工作方案；为区环境应急协调小组提供分析评估、决策咨询和处置意见；承担指挥机构交办的其他任务。</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110" w:name="_Toc29210"/>
      <w:r>
        <w:rPr>
          <w:rFonts w:hint="eastAsia" w:ascii="楷体_GB2312" w:hAnsi="楷体_GB2312" w:eastAsia="楷体_GB2312" w:cs="楷体_GB2312"/>
          <w:bCs/>
          <w:kern w:val="0"/>
          <w:sz w:val="32"/>
          <w:szCs w:val="32"/>
          <w:highlight w:val="none"/>
          <w:lang w:val="en-US" w:eastAsia="zh-CN"/>
        </w:rPr>
        <w:t>2.5 镇政府（街道办事处、功能区管委会）工作机构</w:t>
      </w:r>
      <w:bookmarkEnd w:id="110"/>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各镇政府（街道办事处、功能区管委会）应明确应对突发环境事件的职责部门，建立“发现-报告-协助处置-生态恢复”的响应机制，参与突发环境事件的应急准备、应急演练、先期处置和事后恢复等工作。</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主要职责包括制定、管理本级突发环境事件应急预案，并向区政府（区环境应急协调小组）备案，按照规定向社会公布；开展突发环境事件应对法律、法规和应急知识的宣传教育，组织开展应急演练，指导辖区内其他基层组织和单位开展应急管理工作；组织建立应急救援队伍；组织储备、配备必要的应急物资；获悉发生或可能发生突发环境事件信息后，向区政府报告；组织群众转移疏散，指挥、安排单位和居民开展自救互救，采取措施控制事态发展，做好专业应急救援队伍引导等工作，向区政府报告事件情况。</w:t>
      </w:r>
      <w:bookmarkStart w:id="111" w:name="_Toc20476"/>
      <w:bookmarkStart w:id="112" w:name="_Toc28686"/>
      <w:bookmarkStart w:id="113" w:name="_Toc9133"/>
      <w:bookmarkStart w:id="114" w:name="_Toc1623128151"/>
      <w:bookmarkStart w:id="115" w:name="_Toc1589237698"/>
      <w:bookmarkStart w:id="116" w:name="_Toc17557"/>
      <w:bookmarkStart w:id="117" w:name="_Toc7282"/>
      <w:bookmarkStart w:id="118" w:name="_Toc7560"/>
      <w:bookmarkStart w:id="119" w:name="_Toc9207"/>
      <w:bookmarkStart w:id="120" w:name="_Toc12388"/>
      <w:bookmarkStart w:id="121" w:name="_Toc22020"/>
      <w:bookmarkStart w:id="122" w:name="_Toc9923"/>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123" w:name="_Toc3170"/>
      <w:r>
        <w:rPr>
          <w:rFonts w:hint="eastAsia" w:ascii="黑体" w:hAnsi="黑体" w:eastAsia="黑体" w:cs="黑体"/>
          <w:b/>
          <w:bCs/>
          <w:color w:val="auto"/>
          <w:sz w:val="32"/>
          <w:szCs w:val="44"/>
          <w:highlight w:val="none"/>
        </w:rPr>
        <w:t>3 监测与预警</w:t>
      </w:r>
      <w:bookmarkEnd w:id="111"/>
      <w:bookmarkEnd w:id="112"/>
      <w:bookmarkEnd w:id="113"/>
      <w:bookmarkEnd w:id="114"/>
      <w:bookmarkEnd w:id="115"/>
      <w:bookmarkEnd w:id="116"/>
      <w:bookmarkEnd w:id="117"/>
      <w:bookmarkEnd w:id="118"/>
      <w:bookmarkEnd w:id="119"/>
      <w:bookmarkEnd w:id="120"/>
      <w:bookmarkEnd w:id="121"/>
      <w:bookmarkEnd w:id="122"/>
      <w:bookmarkEnd w:id="123"/>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124" w:name="_Toc24515"/>
      <w:bookmarkStart w:id="125" w:name="_Toc32098"/>
      <w:bookmarkStart w:id="126" w:name="_Toc30728"/>
      <w:bookmarkStart w:id="127" w:name="_Toc26065"/>
      <w:bookmarkStart w:id="128" w:name="_Toc20007"/>
      <w:bookmarkStart w:id="129" w:name="_Toc7259"/>
      <w:bookmarkStart w:id="130" w:name="_Toc16112"/>
      <w:bookmarkStart w:id="131" w:name="_Toc15854"/>
      <w:bookmarkStart w:id="132" w:name="_Toc2063872547"/>
      <w:bookmarkStart w:id="133" w:name="_Toc27135"/>
      <w:bookmarkStart w:id="134" w:name="_Toc2249"/>
      <w:bookmarkStart w:id="135" w:name="_Toc430066016"/>
      <w:bookmarkStart w:id="136" w:name="_Toc15443"/>
      <w:r>
        <w:rPr>
          <w:rFonts w:hint="eastAsia" w:ascii="楷体_GB2312" w:hAnsi="楷体_GB2312" w:eastAsia="楷体_GB2312" w:cs="楷体_GB2312"/>
          <w:bCs/>
          <w:kern w:val="0"/>
          <w:sz w:val="32"/>
          <w:szCs w:val="32"/>
          <w:highlight w:val="none"/>
          <w:lang w:val="en-US" w:eastAsia="zh-CN"/>
        </w:rPr>
        <w:t>3.1 监测</w:t>
      </w:r>
      <w:bookmarkEnd w:id="124"/>
      <w:bookmarkEnd w:id="125"/>
      <w:bookmarkEnd w:id="126"/>
      <w:r>
        <w:rPr>
          <w:rFonts w:hint="eastAsia" w:ascii="楷体_GB2312" w:hAnsi="楷体_GB2312" w:eastAsia="楷体_GB2312" w:cs="楷体_GB2312"/>
          <w:bCs/>
          <w:kern w:val="0"/>
          <w:sz w:val="32"/>
          <w:szCs w:val="32"/>
          <w:highlight w:val="none"/>
          <w:lang w:val="en-US" w:eastAsia="zh-CN"/>
        </w:rPr>
        <w:t>与风险防控</w:t>
      </w:r>
      <w:bookmarkEnd w:id="127"/>
      <w:bookmarkEnd w:id="128"/>
      <w:bookmarkEnd w:id="129"/>
      <w:bookmarkEnd w:id="130"/>
      <w:bookmarkEnd w:id="131"/>
      <w:bookmarkEnd w:id="132"/>
      <w:bookmarkEnd w:id="133"/>
      <w:bookmarkEnd w:id="134"/>
      <w:bookmarkEnd w:id="135"/>
      <w:bookmarkEnd w:id="136"/>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3.1.1 区环境应急协调小组应建立健全突发环境事件风险防控体系，健全隐患排查工作机制，实行分级分类管理。</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3.1.2 生态环境部门要督促企业落实环境安全主体责任，公安、规自、住建、交通、水务、农业、卫生健康、应急、气象等部门应做好环境风险防范工作，降低突发环境事件风险。</w:t>
      </w:r>
    </w:p>
    <w:p>
      <w:pPr>
        <w:topLinePunct/>
        <w:jc w:val="both"/>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3.1.3 各部门按照职责分工，加强对本辖区、本行业、本领域可能引起突发环境事件信息的监测，加强信息收集、分析和研判，及时将信息通报同级生态环境部门。</w:t>
      </w:r>
    </w:p>
    <w:p>
      <w:pPr>
        <w:pStyle w:val="2"/>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napToGrid w:val="0"/>
          <w:color w:val="000000"/>
          <w:sz w:val="32"/>
          <w:szCs w:val="32"/>
          <w:highlight w:val="none"/>
          <w:lang w:val="en-US" w:eastAsia="zh-CN" w:bidi="ar-SA"/>
        </w:rPr>
        <w:t>区生态环境局根据辖区内</w:t>
      </w:r>
      <w:r>
        <w:rPr>
          <w:rFonts w:hint="eastAsia" w:ascii="仿宋_GB2312" w:hAnsi="仿宋_GB2312" w:cs="仿宋_GB2312"/>
          <w:snapToGrid w:val="0"/>
          <w:color w:val="000000"/>
          <w:sz w:val="32"/>
          <w:szCs w:val="32"/>
          <w:highlight w:val="none"/>
          <w:lang w:val="en-US" w:eastAsia="zh-CN" w:bidi="ar-SA"/>
        </w:rPr>
        <w:t>河流分布</w:t>
      </w:r>
      <w:r>
        <w:rPr>
          <w:rFonts w:hint="eastAsia" w:ascii="仿宋_GB2312" w:hAnsi="仿宋_GB2312" w:eastAsia="仿宋_GB2312" w:cs="仿宋_GB2312"/>
          <w:snapToGrid w:val="0"/>
          <w:color w:val="000000"/>
          <w:sz w:val="32"/>
          <w:szCs w:val="32"/>
          <w:highlight w:val="none"/>
          <w:lang w:val="en-US" w:eastAsia="zh-CN" w:bidi="ar-SA"/>
        </w:rPr>
        <w:t>和环境安全风险源分布情况，制定监测方案，组织环境监测，共享监测数据，提高</w:t>
      </w:r>
      <w:r>
        <w:rPr>
          <w:rFonts w:hint="eastAsia" w:ascii="仿宋_GB2312" w:hAnsi="仿宋_GB2312" w:cs="仿宋_GB2312"/>
          <w:snapToGrid w:val="0"/>
          <w:color w:val="000000"/>
          <w:sz w:val="32"/>
          <w:szCs w:val="32"/>
          <w:highlight w:val="none"/>
          <w:lang w:val="en-US" w:eastAsia="zh-CN" w:bidi="ar-SA"/>
        </w:rPr>
        <w:t>河流</w:t>
      </w:r>
      <w:r>
        <w:rPr>
          <w:rFonts w:hint="eastAsia" w:ascii="仿宋_GB2312" w:hAnsi="仿宋_GB2312" w:eastAsia="仿宋_GB2312" w:cs="仿宋_GB2312"/>
          <w:snapToGrid w:val="0"/>
          <w:color w:val="000000"/>
          <w:sz w:val="32"/>
          <w:szCs w:val="32"/>
          <w:highlight w:val="none"/>
          <w:lang w:val="en-US" w:eastAsia="zh-CN" w:bidi="ar-SA"/>
        </w:rPr>
        <w:t>流域监测数据的科学性和有效性，为突发水环境污染事件决策提供有力的科学支撑</w:t>
      </w:r>
      <w:r>
        <w:rPr>
          <w:rFonts w:hint="eastAsia" w:ascii="仿宋_GB2312" w:hAnsi="仿宋_GB2312" w:cs="仿宋_GB2312"/>
          <w:snapToGrid w:val="0"/>
          <w:color w:val="000000"/>
          <w:sz w:val="32"/>
          <w:szCs w:val="32"/>
          <w:highlight w:val="none"/>
          <w:lang w:val="en-US" w:eastAsia="zh-CN" w:bidi="ar-SA"/>
        </w:rPr>
        <w:t>。</w:t>
      </w:r>
    </w:p>
    <w:p>
      <w:pPr>
        <w:topLinePunct/>
        <w:jc w:val="both"/>
        <w:textAlignment w:val="auto"/>
        <w:rPr>
          <w:rFonts w:ascii="仿宋" w:hAnsi="仿宋" w:eastAsia="仿宋" w:cs="仿宋"/>
          <w:color w:val="auto"/>
          <w:highlight w:val="none"/>
        </w:rPr>
      </w:pPr>
      <w:r>
        <w:rPr>
          <w:rFonts w:hint="eastAsia" w:ascii="仿宋_GB2312" w:hAnsi="仿宋_GB2312" w:cs="仿宋_GB2312"/>
          <w:sz w:val="32"/>
          <w:szCs w:val="32"/>
          <w:highlight w:val="none"/>
        </w:rPr>
        <w:t>3.1.4 企业事业单位和其他生产经营者应根据生态环境保护法律法规要求，开展突发环境事件风险评估，完善风险防控措施，排查治理环境安全隐患，制定突发环境事件应急预案并备案、演练，加强环境应急监测及应急能力建设，当出现可能导致突发环境事件的情况时，要依法立即报告区生态环境局。</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137" w:name="_Toc1350031085"/>
      <w:bookmarkStart w:id="138" w:name="_Toc24447"/>
      <w:bookmarkStart w:id="139" w:name="_Toc26156"/>
      <w:bookmarkStart w:id="140" w:name="_Toc15992"/>
      <w:bookmarkStart w:id="141" w:name="_Toc4348"/>
      <w:bookmarkStart w:id="142" w:name="_Toc1837058757"/>
      <w:bookmarkStart w:id="143" w:name="_Toc14704"/>
      <w:bookmarkStart w:id="144" w:name="_Toc20487"/>
      <w:bookmarkStart w:id="145" w:name="_Toc22742"/>
      <w:bookmarkStart w:id="146" w:name="_Toc9422"/>
      <w:bookmarkStart w:id="147" w:name="_Toc9712"/>
      <w:bookmarkStart w:id="148" w:name="_Toc22632"/>
      <w:bookmarkStart w:id="149" w:name="_Toc19275"/>
      <w:r>
        <w:rPr>
          <w:rFonts w:hint="eastAsia" w:ascii="楷体_GB2312" w:hAnsi="楷体_GB2312" w:eastAsia="楷体_GB2312" w:cs="楷体_GB2312"/>
          <w:bCs/>
          <w:kern w:val="0"/>
          <w:sz w:val="32"/>
          <w:szCs w:val="32"/>
          <w:highlight w:val="none"/>
          <w:lang w:val="en-US" w:eastAsia="zh-CN"/>
        </w:rPr>
        <w:t>3.2 预警</w:t>
      </w:r>
      <w:bookmarkEnd w:id="137"/>
      <w:bookmarkEnd w:id="138"/>
      <w:bookmarkEnd w:id="139"/>
      <w:bookmarkEnd w:id="140"/>
      <w:bookmarkEnd w:id="141"/>
      <w:bookmarkEnd w:id="142"/>
      <w:bookmarkEnd w:id="143"/>
      <w:bookmarkEnd w:id="144"/>
      <w:bookmarkEnd w:id="145"/>
      <w:bookmarkEnd w:id="146"/>
      <w:bookmarkEnd w:id="147"/>
      <w:bookmarkEnd w:id="148"/>
      <w:bookmarkEnd w:id="149"/>
    </w:p>
    <w:p>
      <w:pPr>
        <w:topLinePunct/>
        <w:jc w:val="both"/>
        <w:rPr>
          <w:rFonts w:ascii="仿宋" w:hAnsi="仿宋" w:eastAsia="仿宋" w:cs="仿宋"/>
          <w:color w:val="auto"/>
          <w:highlight w:val="none"/>
        </w:rPr>
      </w:pPr>
      <w:r>
        <w:rPr>
          <w:rFonts w:hint="eastAsia" w:ascii="仿宋_GB2312" w:hAnsi="仿宋_GB2312" w:cs="仿宋_GB2312"/>
          <w:sz w:val="32"/>
          <w:szCs w:val="32"/>
          <w:highlight w:val="none"/>
        </w:rPr>
        <w:t>按照“早预防、早发现、早报告、早处置”的原则及突发环境事件等级、发展趋势、危害程度，及时发布预警或提出预警建议，组织实施预警响应。</w:t>
      </w:r>
    </w:p>
    <w:p>
      <w:pPr>
        <w:pStyle w:val="5"/>
        <w:keepNext/>
        <w:keepLines/>
        <w:widowControl w:val="0"/>
        <w:wordWrap/>
        <w:topLinePunct/>
        <w:adjustRightInd/>
        <w:snapToGrid/>
        <w:spacing w:before="0" w:after="157" w:afterLines="5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150" w:name="_Toc13859"/>
      <w:bookmarkStart w:id="151" w:name="_Toc1807715040"/>
      <w:bookmarkStart w:id="152" w:name="_Toc24308"/>
      <w:bookmarkStart w:id="153" w:name="_Toc31428"/>
      <w:bookmarkStart w:id="154" w:name="_Toc16108"/>
      <w:bookmarkStart w:id="155" w:name="_Toc25042"/>
      <w:bookmarkStart w:id="156" w:name="_Toc32127"/>
      <w:bookmarkStart w:id="157" w:name="_Toc12702"/>
      <w:bookmarkStart w:id="158" w:name="_Toc20900"/>
      <w:bookmarkStart w:id="159" w:name="_Toc11170"/>
      <w:bookmarkStart w:id="160" w:name="_Toc21284"/>
      <w:bookmarkStart w:id="161" w:name="_Toc9698"/>
      <w:bookmarkStart w:id="162" w:name="_Toc1074135980"/>
      <w:bookmarkStart w:id="163" w:name="_Toc9004"/>
      <w:r>
        <w:rPr>
          <w:rFonts w:hint="eastAsia" w:ascii="仿宋_GB2312" w:hAnsi="仿宋_GB2312" w:eastAsia="仿宋_GB2312" w:cs="仿宋_GB2312"/>
          <w:b w:val="0"/>
          <w:bCs w:val="0"/>
          <w:snapToGrid w:val="0"/>
          <w:color w:val="000000"/>
          <w:sz w:val="32"/>
          <w:szCs w:val="32"/>
          <w:highlight w:val="none"/>
          <w:lang w:val="en-US" w:eastAsia="zh-CN" w:bidi="ar-SA"/>
        </w:rPr>
        <w:t>3.2.1 预警分级</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根据突发环境事件可能造成的危害程度、发展情况和紧迫性等因素，预警分为一级、二级、三级、四级，依次采用红色、橙色、黄色、蓝色标示。预计可能发生一般突发环境事件的发布蓝色（四级）预警；预计可能发生较大突发环境事件的发布黄色（三级）预警；预计可能发生重大突发环境事件的发布橙色（二级）预警；预计可能发生特别重大突发环境事件的发布红色（一级）预警。若生态环境部明确预警分级标准，本预案从其规定。</w:t>
      </w:r>
    </w:p>
    <w:p>
      <w:pPr>
        <w:pStyle w:val="5"/>
        <w:keepNext/>
        <w:keepLines/>
        <w:widowControl w:val="0"/>
        <w:wordWrap/>
        <w:topLinePunct/>
        <w:adjustRightInd/>
        <w:snapToGrid/>
        <w:spacing w:before="0" w:after="157" w:afterLines="5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164" w:name="_Toc1081"/>
      <w:bookmarkStart w:id="165" w:name="_Toc27488"/>
      <w:bookmarkStart w:id="166" w:name="_Toc24817"/>
      <w:bookmarkStart w:id="167" w:name="_Toc482690300"/>
      <w:bookmarkStart w:id="168" w:name="_Toc22170"/>
      <w:bookmarkStart w:id="169" w:name="_Toc979"/>
      <w:bookmarkStart w:id="170" w:name="_Toc18067"/>
      <w:bookmarkStart w:id="171" w:name="_Toc1255879178"/>
      <w:bookmarkStart w:id="172" w:name="_Toc9165"/>
      <w:bookmarkStart w:id="173" w:name="_Toc1815523171"/>
      <w:bookmarkStart w:id="174" w:name="_Toc1808"/>
      <w:bookmarkStart w:id="175" w:name="_Toc9024"/>
      <w:bookmarkStart w:id="176" w:name="_Toc6418"/>
      <w:bookmarkStart w:id="177" w:name="_Toc18626"/>
      <w:bookmarkStart w:id="178" w:name="_Toc21590"/>
      <w:r>
        <w:rPr>
          <w:rFonts w:hint="eastAsia" w:ascii="仿宋_GB2312" w:hAnsi="仿宋_GB2312" w:eastAsia="仿宋_GB2312" w:cs="仿宋_GB2312"/>
          <w:b w:val="0"/>
          <w:bCs w:val="0"/>
          <w:snapToGrid w:val="0"/>
          <w:color w:val="000000"/>
          <w:sz w:val="32"/>
          <w:szCs w:val="32"/>
          <w:highlight w:val="none"/>
          <w:lang w:val="en-US" w:eastAsia="zh-CN" w:bidi="ar-SA"/>
        </w:rPr>
        <w:t>3.2.2 预警发布、调整和解除</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预警按照“谁发布、谁解除”的原则。蓝色预警由区环境应急协调小组办公室发布和解除，报区应急办备案，同时抄送市应急办和市环境应急协调小组办公室，市环境应急协调小组办公室也可根据需要发布和解除；黄色、橙色、红色预警由市级部门依程序发布和解除。其中，对于需要向公众发布的预警信息，由区环境应急协调小组办公室履行审批程序，并由区预警信息发布中心按规定统一对外发布和解除</w:t>
      </w:r>
      <w:r>
        <w:rPr>
          <w:rFonts w:hint="eastAsia" w:ascii="仿宋_GB2312" w:hAnsi="仿宋_GB2312" w:cs="仿宋_GB2312"/>
          <w:b w:val="0"/>
          <w:bCs w:val="0"/>
          <w:snapToGrid w:val="0"/>
          <w:color w:val="000000"/>
          <w:sz w:val="32"/>
          <w:szCs w:val="32"/>
          <w:highlight w:val="none"/>
          <w:lang w:val="en-US" w:eastAsia="zh-CN" w:bidi="ar-SA"/>
        </w:rPr>
        <w:t>。</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（2）区环境应急协调小组办公室应当密切关注事件进展情况，根据事态变化情况、采取措施的效果及专家组建议，遇预警级别升级情况时，及时上报市级相关部门，并通报区相关部门。</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3）预警信息可通过电视、广播、互联网、手机短信、微信公众号、微博等公共媒体方式发布。预警信息包括突发环境事件类别、预警级别、起始时间、预计持续时间、可能影响范围、警示事项、应采取的措施、发布单位和发布时间等。</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（4）当确定突发环境事件不可能发生或危险已经消除的，预警信息发布单位应立即按程序解除预警，适时结束相关措施。</w:t>
      </w:r>
      <w:bookmarkStart w:id="179" w:name="_Toc6049"/>
      <w:bookmarkStart w:id="180" w:name="_Toc25530"/>
      <w:bookmarkStart w:id="181" w:name="_Toc18712"/>
      <w:bookmarkStart w:id="182" w:name="_Toc14896"/>
      <w:bookmarkStart w:id="183" w:name="_Toc2050278421"/>
      <w:bookmarkStart w:id="184" w:name="_Toc23491"/>
      <w:bookmarkStart w:id="185" w:name="_Toc241937603"/>
      <w:bookmarkStart w:id="186" w:name="_Toc28239"/>
      <w:bookmarkStart w:id="187" w:name="_Toc30523"/>
      <w:bookmarkStart w:id="188" w:name="_Toc278362067"/>
      <w:bookmarkStart w:id="189" w:name="_Toc2092061930"/>
      <w:bookmarkStart w:id="190" w:name="_Toc241937651"/>
    </w:p>
    <w:p>
      <w:pPr>
        <w:pStyle w:val="5"/>
        <w:keepNext/>
        <w:keepLines/>
        <w:widowControl w:val="0"/>
        <w:wordWrap/>
        <w:topLinePunct/>
        <w:adjustRightInd/>
        <w:snapToGrid/>
        <w:spacing w:before="0" w:after="157" w:afterLines="50"/>
        <w:ind w:firstLine="0" w:firstLineChars="0"/>
        <w:jc w:val="both"/>
        <w:textAlignment w:val="auto"/>
        <w:rPr>
          <w:rFonts w:hint="eastAsia" w:ascii="仿宋_GB2312" w:hAnsi="仿宋_GB2312" w:eastAsia="仿宋_GB2312" w:cs="仿宋_GB2312"/>
          <w:b/>
          <w:bCs/>
          <w:snapToGrid w:val="0"/>
          <w:color w:val="000000"/>
          <w:sz w:val="32"/>
          <w:szCs w:val="32"/>
          <w:highlight w:val="none"/>
          <w:lang w:val="en-US" w:eastAsia="zh-CN" w:bidi="ar-SA"/>
        </w:rPr>
      </w:pPr>
      <w:bookmarkStart w:id="191" w:name="_Toc22324"/>
      <w:bookmarkStart w:id="192" w:name="_Toc148"/>
      <w:bookmarkStart w:id="193" w:name="_Toc10234"/>
      <w:bookmarkStart w:id="194" w:name="_Toc5092"/>
      <w:bookmarkStart w:id="195" w:name="_Toc29231"/>
      <w:r>
        <w:rPr>
          <w:rFonts w:hint="eastAsia" w:ascii="仿宋_GB2312" w:hAnsi="仿宋_GB2312" w:eastAsia="仿宋_GB2312" w:cs="仿宋_GB2312"/>
          <w:b/>
          <w:bCs/>
          <w:snapToGrid w:val="0"/>
          <w:color w:val="000000"/>
          <w:sz w:val="32"/>
          <w:szCs w:val="32"/>
          <w:highlight w:val="none"/>
          <w:lang w:val="en-US" w:eastAsia="zh-CN" w:bidi="ar-SA"/>
        </w:rPr>
        <w:t>3.2.3 预警响应</w:t>
      </w:r>
      <w:bookmarkEnd w:id="179"/>
      <w:bookmarkEnd w:id="180"/>
      <w:bookmarkEnd w:id="181"/>
      <w:bookmarkEnd w:id="182"/>
      <w:bookmarkEnd w:id="191"/>
      <w:bookmarkEnd w:id="192"/>
      <w:bookmarkEnd w:id="193"/>
      <w:bookmarkEnd w:id="194"/>
      <w:bookmarkEnd w:id="195"/>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（1）发布蓝色预警后，区环境应急协调小组、属地镇政府（街道办事处、功能区管委会）及相关部门应采取以下措施：</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要求有关部门及时收集、报告有关信息，向社会公布反映环境污染信息的渠道，加强对突发环境事件发生、发展情况的监测、预报和预警工作。</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组织有关部门和机构、专业技术人员及专家，随时对突发事件信息进行分析评估，预测突发环境事件发生可能性的大小、影响范围和强度以及可能发生的突发环境事件的级别。</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要求应急救援队伍、负有特定职责的人员进入待命状态，调集突发环境事件应急救援所需物资和设备，做好应急保障工作。转移、撤离或疏散可能受到危害影响的人员，并进行妥善安置。及时向社会发布与公众有关的突发环境事件预测信息和分析评估结果，并对相关信息的报道工作进行管理。</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及时按照有关规定向社会发布可能受到突发环境事件危害的警告，宣传避免和减轻危害的常识，公布咨询电话。</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（2）</w:t>
      </w:r>
      <w:r>
        <w:rPr>
          <w:rFonts w:hint="eastAsia" w:ascii="仿宋_GB2312" w:hAnsi="仿宋_GB2312" w:eastAsia="仿宋_GB2312" w:cs="仿宋_GB2312"/>
          <w:b w:val="0"/>
          <w:bCs w:val="0"/>
          <w:snapToGrid w:val="0"/>
          <w:color w:val="000000"/>
          <w:sz w:val="32"/>
          <w:szCs w:val="32"/>
          <w:highlight w:val="none"/>
          <w:lang w:val="en-US" w:eastAsia="zh-CN" w:bidi="ar-SA"/>
        </w:rPr>
        <w:t>收到黄色、橙色、红色预警后，除采取上述措施外，同时按市级部门要求做好应对相关工作。</w:t>
      </w:r>
      <w:bookmarkEnd w:id="183"/>
      <w:bookmarkEnd w:id="184"/>
      <w:bookmarkEnd w:id="185"/>
      <w:bookmarkEnd w:id="186"/>
      <w:bookmarkEnd w:id="187"/>
      <w:bookmarkEnd w:id="188"/>
      <w:bookmarkEnd w:id="189"/>
      <w:bookmarkEnd w:id="190"/>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要求各应急救援队伍和应急指挥人员进入应急状态，并动员后备人员做好参加应急救援和处置工作的准备；环境监测人员立即开展应急监测，随时掌握并报告事态进展情况。</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对排放污染物可能导致事件发生的有关企业事业单位实行停运、限产、停产等措施，封闭、隔离或限制使用有关场所，控制或限制容易导致危害扩大的行为或活动；对可能导致突发环境事件发生的相关企业事业单位和其他生产经营者加强环境监管。</w:t>
      </w:r>
      <w:bookmarkStart w:id="196" w:name="_Toc26178"/>
      <w:bookmarkStart w:id="197" w:name="_Toc7775"/>
      <w:bookmarkStart w:id="198" w:name="_Toc9813"/>
      <w:bookmarkStart w:id="199" w:name="_Toc25627"/>
      <w:bookmarkStart w:id="200" w:name="_Toc1367"/>
      <w:bookmarkStart w:id="201" w:name="_Toc28650"/>
      <w:bookmarkStart w:id="202" w:name="_Toc19236"/>
      <w:bookmarkStart w:id="203" w:name="_Toc1437983074"/>
      <w:bookmarkStart w:id="204" w:name="_Toc17305"/>
      <w:bookmarkStart w:id="205" w:name="_Toc1909604691"/>
      <w:bookmarkStart w:id="206" w:name="_Toc29757"/>
      <w:bookmarkStart w:id="207" w:name="_Toc28213"/>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208" w:name="_Toc29929"/>
      <w:r>
        <w:rPr>
          <w:rFonts w:hint="eastAsia" w:ascii="黑体" w:hAnsi="黑体" w:eastAsia="黑体" w:cs="黑体"/>
          <w:b/>
          <w:bCs/>
          <w:color w:val="auto"/>
          <w:sz w:val="32"/>
          <w:szCs w:val="44"/>
          <w:highlight w:val="none"/>
        </w:rPr>
        <w:t>4 应急响应与处置</w:t>
      </w:r>
      <w:bookmarkEnd w:id="196"/>
      <w:bookmarkEnd w:id="197"/>
      <w:bookmarkEnd w:id="198"/>
      <w:bookmarkEnd w:id="199"/>
      <w:bookmarkEnd w:id="200"/>
      <w:bookmarkEnd w:id="201"/>
      <w:bookmarkEnd w:id="202"/>
      <w:bookmarkEnd w:id="203"/>
      <w:bookmarkEnd w:id="204"/>
      <w:bookmarkEnd w:id="205"/>
      <w:bookmarkEnd w:id="206"/>
      <w:bookmarkEnd w:id="207"/>
      <w:bookmarkEnd w:id="208"/>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209" w:name="_Toc19736"/>
      <w:bookmarkStart w:id="210" w:name="_Toc21047"/>
      <w:bookmarkStart w:id="211" w:name="_Toc3941"/>
      <w:bookmarkStart w:id="212" w:name="_Toc400561380"/>
      <w:bookmarkStart w:id="213" w:name="_Toc12234"/>
      <w:bookmarkStart w:id="214" w:name="_Toc26741"/>
      <w:bookmarkStart w:id="215" w:name="_Toc4221"/>
      <w:bookmarkStart w:id="216" w:name="_Toc4497"/>
      <w:bookmarkStart w:id="217" w:name="_Toc5803"/>
      <w:bookmarkStart w:id="218" w:name="_Toc8549"/>
      <w:bookmarkStart w:id="219" w:name="_Toc9107"/>
      <w:bookmarkStart w:id="220" w:name="_Toc582937222"/>
      <w:bookmarkStart w:id="221" w:name="_Toc8077"/>
      <w:bookmarkStart w:id="222" w:name="_Toc468095378"/>
      <w:r>
        <w:rPr>
          <w:rFonts w:hint="eastAsia" w:ascii="楷体_GB2312" w:hAnsi="楷体_GB2312" w:eastAsia="楷体_GB2312" w:cs="楷体_GB2312"/>
          <w:bCs/>
          <w:kern w:val="0"/>
          <w:sz w:val="32"/>
          <w:szCs w:val="32"/>
          <w:highlight w:val="none"/>
          <w:lang w:val="en-US" w:eastAsia="zh-CN"/>
        </w:rPr>
        <w:t>4.1 先期处置</w:t>
      </w:r>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发生突发环境事件后，事发单位要立即组织本单位应急救援力量营救受害人员，疏散、撤离、安置受威胁的人员；控制污染源，采取污染防治措施，控制污染物进入环境的途径，尽量降低对周边环境的影响。</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镇政府（街道办事处、功能区管委会）组织村（居）委会第一时间组织受影响群众的转移疏散、自救互救，采取措施控制事态发展和环境污染，做好应急救援队伍引导工作，协助维护社会秩序。</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223" w:name="_Toc6691"/>
      <w:bookmarkStart w:id="224" w:name="_Toc1565"/>
      <w:bookmarkStart w:id="225" w:name="_Toc17461"/>
      <w:bookmarkStart w:id="226" w:name="_Toc16915"/>
      <w:bookmarkStart w:id="227" w:name="_Toc1902946889"/>
      <w:bookmarkStart w:id="228" w:name="_Toc863"/>
      <w:bookmarkStart w:id="229" w:name="_Toc21315"/>
      <w:bookmarkStart w:id="230" w:name="_Toc28042"/>
      <w:bookmarkStart w:id="231" w:name="_Toc842769088"/>
      <w:bookmarkStart w:id="232" w:name="_Toc15437"/>
      <w:bookmarkStart w:id="233" w:name="_Toc9957"/>
      <w:bookmarkStart w:id="234" w:name="_Toc4325"/>
      <w:bookmarkStart w:id="235" w:name="_Toc22024"/>
      <w:r>
        <w:rPr>
          <w:rFonts w:hint="eastAsia" w:ascii="楷体_GB2312" w:hAnsi="楷体_GB2312" w:eastAsia="楷体_GB2312" w:cs="楷体_GB2312"/>
          <w:bCs/>
          <w:kern w:val="0"/>
          <w:sz w:val="32"/>
          <w:szCs w:val="32"/>
          <w:highlight w:val="none"/>
          <w:lang w:val="en-US" w:eastAsia="zh-CN"/>
        </w:rPr>
        <w:t>4.2 信息报送</w:t>
      </w:r>
      <w:bookmarkEnd w:id="223"/>
      <w:bookmarkEnd w:id="224"/>
      <w:bookmarkEnd w:id="225"/>
      <w:r>
        <w:rPr>
          <w:rFonts w:hint="eastAsia" w:ascii="楷体_GB2312" w:hAnsi="楷体_GB2312" w:eastAsia="楷体_GB2312" w:cs="楷体_GB2312"/>
          <w:bCs/>
          <w:kern w:val="0"/>
          <w:sz w:val="32"/>
          <w:szCs w:val="32"/>
          <w:highlight w:val="none"/>
          <w:lang w:val="en-US" w:eastAsia="zh-CN"/>
        </w:rPr>
        <w:t>与</w:t>
      </w:r>
      <w:bookmarkEnd w:id="226"/>
      <w:bookmarkEnd w:id="227"/>
      <w:bookmarkEnd w:id="228"/>
      <w:bookmarkEnd w:id="229"/>
      <w:bookmarkEnd w:id="230"/>
      <w:bookmarkEnd w:id="231"/>
      <w:r>
        <w:rPr>
          <w:rFonts w:hint="eastAsia" w:ascii="楷体_GB2312" w:hAnsi="楷体_GB2312" w:eastAsia="楷体_GB2312" w:cs="楷体_GB2312"/>
          <w:bCs/>
          <w:kern w:val="0"/>
          <w:sz w:val="32"/>
          <w:szCs w:val="32"/>
          <w:highlight w:val="none"/>
          <w:lang w:val="en-US" w:eastAsia="zh-CN"/>
        </w:rPr>
        <w:t>通报</w:t>
      </w:r>
      <w:bookmarkEnd w:id="232"/>
      <w:bookmarkEnd w:id="233"/>
      <w:bookmarkEnd w:id="234"/>
      <w:bookmarkEnd w:id="235"/>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4.2.1 公民、法人或者其他组织，特别是责任单位，发现突发环境事件发生后，应立即向区生态环境和相关部门报告。同时，责任单位要通报可能受到污染的单位和居民。</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4.2.2 区相关部门发现突发事件有可能产生次生、衍生突发环境事件时，应及时将信息通报给</w:t>
      </w:r>
      <w:r>
        <w:rPr>
          <w:rFonts w:hint="eastAsia" w:ascii="仿宋_GB2312" w:hAnsi="仿宋_GB2312" w:cs="仿宋_GB2312"/>
          <w:b w:val="0"/>
          <w:bCs w:val="0"/>
          <w:snapToGrid w:val="0"/>
          <w:color w:val="000000"/>
          <w:sz w:val="32"/>
          <w:szCs w:val="32"/>
          <w:highlight w:val="none"/>
          <w:lang w:val="en-US" w:eastAsia="zh-CN" w:bidi="ar-SA"/>
        </w:rPr>
        <w:t>区</w:t>
      </w:r>
      <w:r>
        <w:rPr>
          <w:rFonts w:hint="eastAsia" w:ascii="仿宋_GB2312" w:hAnsi="仿宋_GB2312" w:eastAsia="仿宋_GB2312" w:cs="仿宋_GB2312"/>
          <w:b w:val="0"/>
          <w:bCs w:val="0"/>
          <w:snapToGrid w:val="0"/>
          <w:color w:val="000000"/>
          <w:sz w:val="32"/>
          <w:szCs w:val="32"/>
          <w:highlight w:val="none"/>
          <w:lang w:val="en-US" w:eastAsia="zh-CN" w:bidi="ar-SA"/>
        </w:rPr>
        <w:t>生态环境部门。</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4.2.3 区生态环境部门接到突发环境事件报告后，应立即组织调查核实，查明引发事件的污染源，确定污染的基本情况。区级生态环境部门调查核实一般突发环境事件，必要时，可请求市生态环境部门给予帮助。</w:t>
      </w:r>
    </w:p>
    <w:p>
      <w:pPr>
        <w:pStyle w:val="12"/>
        <w:ind w:left="0" w:leftChars="0" w:right="-92" w:rightChars="-33" w:firstLine="640" w:firstLineChars="200"/>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4.2.4</w:t>
      </w:r>
      <w:r>
        <w:rPr>
          <w:rFonts w:hint="eastAsia" w:ascii="仿宋_GB2312" w:hAnsi="仿宋_GB2312" w:eastAsia="仿宋_GB2312" w:cs="仿宋_GB2312"/>
          <w:b w:val="0"/>
          <w:bCs w:val="0"/>
          <w:snapToGrid w:val="0"/>
          <w:color w:val="000000"/>
          <w:sz w:val="32"/>
          <w:szCs w:val="32"/>
          <w:highlight w:val="none"/>
          <w:lang w:val="en-US" w:eastAsia="zh-CN" w:bidi="ar-SA"/>
        </w:rPr>
        <w:t>对于能够判定为</w:t>
      </w:r>
      <w:r>
        <w:rPr>
          <w:rFonts w:hint="eastAsia" w:ascii="仿宋_GB2312" w:hAnsi="仿宋_GB2312" w:cs="仿宋_GB2312"/>
          <w:b w:val="0"/>
          <w:bCs w:val="0"/>
          <w:snapToGrid w:val="0"/>
          <w:color w:val="000000"/>
          <w:sz w:val="32"/>
          <w:szCs w:val="32"/>
          <w:highlight w:val="none"/>
          <w:lang w:val="en-US" w:eastAsia="zh-CN" w:bidi="ar-SA"/>
        </w:rPr>
        <w:t>一般</w:t>
      </w:r>
      <w:r>
        <w:rPr>
          <w:rFonts w:hint="eastAsia" w:ascii="仿宋_GB2312" w:hAnsi="仿宋_GB2312" w:eastAsia="仿宋_GB2312" w:cs="仿宋_GB2312"/>
          <w:b w:val="0"/>
          <w:bCs w:val="0"/>
          <w:snapToGrid w:val="0"/>
          <w:color w:val="000000"/>
          <w:sz w:val="32"/>
          <w:szCs w:val="32"/>
          <w:highlight w:val="none"/>
          <w:lang w:val="en-US" w:eastAsia="zh-CN" w:bidi="ar-SA"/>
        </w:rPr>
        <w:t>及以上突发</w:t>
      </w:r>
      <w:r>
        <w:rPr>
          <w:rFonts w:hint="eastAsia" w:ascii="仿宋_GB2312" w:hAnsi="仿宋_GB2312" w:cs="仿宋_GB2312"/>
          <w:b w:val="0"/>
          <w:bCs w:val="0"/>
          <w:snapToGrid w:val="0"/>
          <w:color w:val="000000"/>
          <w:sz w:val="32"/>
          <w:szCs w:val="32"/>
          <w:highlight w:val="none"/>
          <w:lang w:val="en-US" w:eastAsia="zh-CN" w:bidi="ar-SA"/>
        </w:rPr>
        <w:t>环境</w:t>
      </w:r>
      <w:r>
        <w:rPr>
          <w:rFonts w:hint="eastAsia" w:ascii="仿宋_GB2312" w:hAnsi="仿宋_GB2312" w:eastAsia="仿宋_GB2312" w:cs="仿宋_GB2312"/>
          <w:b w:val="0"/>
          <w:bCs w:val="0"/>
          <w:snapToGrid w:val="0"/>
          <w:color w:val="000000"/>
          <w:sz w:val="32"/>
          <w:szCs w:val="32"/>
          <w:highlight w:val="none"/>
          <w:lang w:val="en-US" w:eastAsia="zh-CN" w:bidi="ar-SA"/>
        </w:rPr>
        <w:t>事件等级的，事件本身比较敏感或发生在重点地区、特殊时期的，可能产生较大影响的突发</w:t>
      </w:r>
      <w:r>
        <w:rPr>
          <w:rFonts w:hint="eastAsia" w:ascii="仿宋_GB2312" w:hAnsi="仿宋_GB2312" w:cs="仿宋_GB2312"/>
          <w:b w:val="0"/>
          <w:bCs w:val="0"/>
          <w:snapToGrid w:val="0"/>
          <w:color w:val="000000"/>
          <w:sz w:val="32"/>
          <w:szCs w:val="32"/>
          <w:highlight w:val="none"/>
          <w:lang w:val="en-US" w:eastAsia="zh-CN" w:bidi="ar-SA"/>
        </w:rPr>
        <w:t>环境</w:t>
      </w:r>
      <w:r>
        <w:rPr>
          <w:rFonts w:hint="eastAsia" w:ascii="仿宋_GB2312" w:hAnsi="仿宋_GB2312" w:eastAsia="仿宋_GB2312" w:cs="仿宋_GB2312"/>
          <w:b w:val="0"/>
          <w:bCs w:val="0"/>
          <w:snapToGrid w:val="0"/>
          <w:color w:val="000000"/>
          <w:sz w:val="32"/>
          <w:szCs w:val="32"/>
          <w:highlight w:val="none"/>
          <w:lang w:val="en-US" w:eastAsia="zh-CN" w:bidi="ar-SA"/>
        </w:rPr>
        <w:t>事件，</w:t>
      </w:r>
      <w:r>
        <w:rPr>
          <w:rFonts w:hint="eastAsia" w:ascii="仿宋_GB2312" w:hAnsi="仿宋_GB2312" w:cs="仿宋_GB2312"/>
          <w:b w:val="0"/>
          <w:bCs w:val="0"/>
          <w:snapToGrid w:val="0"/>
          <w:color w:val="000000"/>
          <w:sz w:val="32"/>
          <w:szCs w:val="32"/>
          <w:highlight w:val="none"/>
          <w:lang w:val="en-US" w:eastAsia="zh-CN" w:bidi="ar-SA"/>
        </w:rPr>
        <w:t>区环境应急协调小组</w:t>
      </w:r>
      <w:r>
        <w:rPr>
          <w:rFonts w:hint="eastAsia" w:ascii="仿宋_GB2312" w:hAnsi="仿宋_GB2312" w:eastAsia="仿宋_GB2312" w:cs="仿宋_GB2312"/>
          <w:b w:val="0"/>
          <w:bCs w:val="0"/>
          <w:snapToGrid w:val="0"/>
          <w:color w:val="000000"/>
          <w:sz w:val="32"/>
          <w:szCs w:val="32"/>
          <w:highlight w:val="none"/>
          <w:lang w:val="en-US" w:eastAsia="zh-CN" w:bidi="ar-SA"/>
        </w:rPr>
        <w:t>办公室、镇政府（街道办事处、功能区管委会）、相关部门和有关单位要立即报告区委办公室、区政府办公室和区应急办，同时通报区委宣传部、区委网信办等部门，最迟不晚于接报后10分钟，详细信息最迟不得晚于事件发生后1小时报送。</w:t>
      </w:r>
    </w:p>
    <w:p>
      <w:pPr>
        <w:pStyle w:val="12"/>
        <w:ind w:left="0" w:leftChars="0" w:right="-92" w:rightChars="-33" w:firstLine="640" w:firstLineChars="200"/>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4.2.5</w:t>
      </w:r>
      <w:r>
        <w:rPr>
          <w:rFonts w:hint="eastAsia" w:ascii="仿宋_GB2312" w:hAnsi="仿宋_GB2312" w:eastAsia="仿宋_GB2312" w:cs="仿宋_GB2312"/>
          <w:b w:val="0"/>
          <w:bCs w:val="0"/>
          <w:snapToGrid w:val="0"/>
          <w:color w:val="000000"/>
          <w:sz w:val="32"/>
          <w:szCs w:val="32"/>
          <w:highlight w:val="none"/>
          <w:lang w:val="en-US" w:eastAsia="zh-CN" w:bidi="ar-SA"/>
        </w:rPr>
        <w:t>对于暂时无法判明等级的突发</w:t>
      </w:r>
      <w:r>
        <w:rPr>
          <w:rFonts w:hint="eastAsia" w:ascii="仿宋_GB2312" w:hAnsi="仿宋_GB2312" w:cs="仿宋_GB2312"/>
          <w:b w:val="0"/>
          <w:bCs w:val="0"/>
          <w:snapToGrid w:val="0"/>
          <w:color w:val="000000"/>
          <w:sz w:val="32"/>
          <w:szCs w:val="32"/>
          <w:highlight w:val="none"/>
          <w:lang w:val="en-US" w:eastAsia="zh-CN" w:bidi="ar-SA"/>
        </w:rPr>
        <w:t>环境</w:t>
      </w:r>
      <w:r>
        <w:rPr>
          <w:rFonts w:hint="eastAsia" w:ascii="仿宋_GB2312" w:hAnsi="仿宋_GB2312" w:eastAsia="仿宋_GB2312" w:cs="仿宋_GB2312"/>
          <w:b w:val="0"/>
          <w:bCs w:val="0"/>
          <w:snapToGrid w:val="0"/>
          <w:color w:val="000000"/>
          <w:sz w:val="32"/>
          <w:szCs w:val="32"/>
          <w:highlight w:val="none"/>
          <w:lang w:val="en-US" w:eastAsia="zh-CN" w:bidi="ar-SA"/>
        </w:rPr>
        <w:t>事件，应迅速核实，最迟不晚于接报后15分钟向区委办公室、区政府办公室和区应急办报告，同时通报区委宣传部、区委网信办等部门。对于仍在处置过程中的突发</w:t>
      </w:r>
      <w:r>
        <w:rPr>
          <w:rFonts w:hint="eastAsia" w:ascii="仿宋_GB2312" w:hAnsi="仿宋_GB2312" w:cs="仿宋_GB2312"/>
          <w:b w:val="0"/>
          <w:bCs w:val="0"/>
          <w:snapToGrid w:val="0"/>
          <w:color w:val="000000"/>
          <w:sz w:val="32"/>
          <w:szCs w:val="32"/>
          <w:highlight w:val="none"/>
          <w:lang w:val="en-US" w:eastAsia="zh-CN" w:bidi="ar-SA"/>
        </w:rPr>
        <w:t>环境</w:t>
      </w:r>
      <w:r>
        <w:rPr>
          <w:rFonts w:hint="eastAsia" w:ascii="仿宋_GB2312" w:hAnsi="仿宋_GB2312" w:eastAsia="仿宋_GB2312" w:cs="仿宋_GB2312"/>
          <w:b w:val="0"/>
          <w:bCs w:val="0"/>
          <w:snapToGrid w:val="0"/>
          <w:color w:val="000000"/>
          <w:sz w:val="32"/>
          <w:szCs w:val="32"/>
          <w:highlight w:val="none"/>
          <w:lang w:val="en-US" w:eastAsia="zh-CN" w:bidi="ar-SA"/>
        </w:rPr>
        <w:t>事件，每30分钟续报人员伤亡、处置进展和发展趋势等信息，直到应急处置结束。</w:t>
      </w:r>
    </w:p>
    <w:p>
      <w:pPr>
        <w:pStyle w:val="12"/>
        <w:ind w:left="0" w:leftChars="0" w:right="-92" w:rightChars="-33" w:firstLine="640" w:firstLineChars="200"/>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w:t>
      </w:r>
      <w:r>
        <w:rPr>
          <w:rFonts w:hint="eastAsia" w:ascii="仿宋_GB2312" w:hAnsi="仿宋_GB2312" w:cs="仿宋_GB2312"/>
          <w:b w:val="0"/>
          <w:bCs w:val="0"/>
          <w:snapToGrid w:val="0"/>
          <w:color w:val="000000"/>
          <w:sz w:val="32"/>
          <w:szCs w:val="32"/>
          <w:highlight w:val="none"/>
          <w:lang w:val="en-US" w:eastAsia="zh-CN" w:bidi="ar-SA"/>
        </w:rPr>
        <w:t>2</w:t>
      </w:r>
      <w:r>
        <w:rPr>
          <w:rFonts w:hint="eastAsia" w:ascii="仿宋_GB2312" w:hAnsi="仿宋_GB2312" w:eastAsia="仿宋_GB2312" w:cs="仿宋_GB2312"/>
          <w:b w:val="0"/>
          <w:bCs w:val="0"/>
          <w:snapToGrid w:val="0"/>
          <w:color w:val="000000"/>
          <w:sz w:val="32"/>
          <w:szCs w:val="32"/>
          <w:highlight w:val="none"/>
          <w:lang w:val="en-US" w:eastAsia="zh-CN" w:bidi="ar-SA"/>
        </w:rPr>
        <w:t>.6对于涉及到港澳驻区机构、港澳台人员、外国在区机构、人员或赴外（港澳）人员的突发</w:t>
      </w:r>
      <w:r>
        <w:rPr>
          <w:rFonts w:hint="eastAsia" w:ascii="仿宋_GB2312" w:hAnsi="仿宋_GB2312" w:cs="仿宋_GB2312"/>
          <w:b w:val="0"/>
          <w:bCs w:val="0"/>
          <w:snapToGrid w:val="0"/>
          <w:color w:val="000000"/>
          <w:sz w:val="32"/>
          <w:szCs w:val="32"/>
          <w:highlight w:val="none"/>
          <w:lang w:val="en-US" w:eastAsia="zh-CN" w:bidi="ar-SA"/>
        </w:rPr>
        <w:t>环境</w:t>
      </w:r>
      <w:r>
        <w:rPr>
          <w:rFonts w:hint="eastAsia" w:ascii="仿宋_GB2312" w:hAnsi="仿宋_GB2312" w:eastAsia="仿宋_GB2312" w:cs="仿宋_GB2312"/>
          <w:b w:val="0"/>
          <w:bCs w:val="0"/>
          <w:snapToGrid w:val="0"/>
          <w:color w:val="000000"/>
          <w:sz w:val="32"/>
          <w:szCs w:val="32"/>
          <w:highlight w:val="none"/>
          <w:lang w:val="en-US" w:eastAsia="zh-CN" w:bidi="ar-SA"/>
        </w:rPr>
        <w:t>事件，区应急办应同时通报区委统战部、区委外办区政府外办，经请示区应急委主管或主要领导同意后，向市应急办汇报。</w:t>
      </w:r>
    </w:p>
    <w:p>
      <w:pPr>
        <w:pStyle w:val="12"/>
        <w:ind w:left="0" w:leftChars="0" w:right="-92" w:rightChars="-33" w:firstLine="640" w:firstLineChars="200"/>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w:t>
      </w:r>
      <w:r>
        <w:rPr>
          <w:rFonts w:hint="eastAsia" w:ascii="仿宋_GB2312" w:hAnsi="仿宋_GB2312" w:cs="仿宋_GB2312"/>
          <w:b w:val="0"/>
          <w:bCs w:val="0"/>
          <w:snapToGrid w:val="0"/>
          <w:color w:val="000000"/>
          <w:sz w:val="32"/>
          <w:szCs w:val="32"/>
          <w:highlight w:val="none"/>
          <w:lang w:val="en-US" w:eastAsia="zh-CN" w:bidi="ar-SA"/>
        </w:rPr>
        <w:t>2</w:t>
      </w:r>
      <w:r>
        <w:rPr>
          <w:rFonts w:hint="eastAsia" w:ascii="仿宋_GB2312" w:hAnsi="仿宋_GB2312" w:eastAsia="仿宋_GB2312" w:cs="仿宋_GB2312"/>
          <w:b w:val="0"/>
          <w:bCs w:val="0"/>
          <w:snapToGrid w:val="0"/>
          <w:color w:val="000000"/>
          <w:sz w:val="32"/>
          <w:szCs w:val="32"/>
          <w:highlight w:val="none"/>
          <w:lang w:val="en-US" w:eastAsia="zh-CN" w:bidi="ar-SA"/>
        </w:rPr>
        <w:t>.7对于接报的较大及以上突发事件信息，区委办公室、区政府办公室、区应急办和区</w:t>
      </w:r>
      <w:r>
        <w:rPr>
          <w:rFonts w:hint="eastAsia" w:ascii="仿宋_GB2312" w:hAnsi="仿宋_GB2312" w:cs="仿宋_GB2312"/>
          <w:b w:val="0"/>
          <w:bCs w:val="0"/>
          <w:snapToGrid w:val="0"/>
          <w:color w:val="000000"/>
          <w:sz w:val="32"/>
          <w:szCs w:val="32"/>
          <w:highlight w:val="none"/>
          <w:lang w:val="en-US" w:eastAsia="zh-CN" w:bidi="ar-SA"/>
        </w:rPr>
        <w:t>环境应急协调小组办公室</w:t>
      </w:r>
      <w:r>
        <w:rPr>
          <w:rFonts w:hint="eastAsia" w:ascii="仿宋_GB2312" w:hAnsi="仿宋_GB2312" w:eastAsia="仿宋_GB2312" w:cs="仿宋_GB2312"/>
          <w:b w:val="0"/>
          <w:bCs w:val="0"/>
          <w:snapToGrid w:val="0"/>
          <w:color w:val="000000"/>
          <w:sz w:val="32"/>
          <w:szCs w:val="32"/>
          <w:highlight w:val="none"/>
          <w:lang w:val="en-US" w:eastAsia="zh-CN" w:bidi="ar-SA"/>
        </w:rPr>
        <w:t>分别按规定同时向市委、市政府、市应急办和市</w:t>
      </w:r>
      <w:r>
        <w:rPr>
          <w:rFonts w:hint="eastAsia" w:ascii="仿宋_GB2312" w:hAnsi="仿宋_GB2312" w:cs="仿宋_GB2312"/>
          <w:b w:val="0"/>
          <w:bCs w:val="0"/>
          <w:snapToGrid w:val="0"/>
          <w:color w:val="000000"/>
          <w:sz w:val="32"/>
          <w:szCs w:val="32"/>
          <w:highlight w:val="none"/>
          <w:lang w:val="en-US" w:eastAsia="zh-CN" w:bidi="ar-SA"/>
        </w:rPr>
        <w:t>环境应急协调小组办公室</w:t>
      </w:r>
      <w:r>
        <w:rPr>
          <w:rFonts w:hint="eastAsia" w:ascii="仿宋_GB2312" w:hAnsi="仿宋_GB2312" w:eastAsia="仿宋_GB2312" w:cs="仿宋_GB2312"/>
          <w:b w:val="0"/>
          <w:bCs w:val="0"/>
          <w:snapToGrid w:val="0"/>
          <w:color w:val="000000"/>
          <w:sz w:val="32"/>
          <w:szCs w:val="32"/>
          <w:highlight w:val="none"/>
          <w:lang w:val="en-US" w:eastAsia="zh-CN" w:bidi="ar-SA"/>
        </w:rPr>
        <w:t>报告。</w:t>
      </w:r>
    </w:p>
    <w:p>
      <w:p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4.2.</w:t>
      </w:r>
      <w:r>
        <w:rPr>
          <w:rFonts w:hint="eastAsia" w:ascii="仿宋_GB2312" w:hAnsi="仿宋_GB2312" w:cs="仿宋_GB2312"/>
          <w:b w:val="0"/>
          <w:bCs w:val="0"/>
          <w:snapToGrid w:val="0"/>
          <w:color w:val="000000"/>
          <w:sz w:val="32"/>
          <w:szCs w:val="32"/>
          <w:highlight w:val="none"/>
          <w:lang w:val="en-US" w:eastAsia="zh-CN" w:bidi="ar-SA"/>
        </w:rPr>
        <w:t>8</w:t>
      </w:r>
      <w:r>
        <w:rPr>
          <w:rFonts w:hint="eastAsia" w:ascii="仿宋_GB2312" w:hAnsi="仿宋_GB2312" w:eastAsia="仿宋_GB2312" w:cs="仿宋_GB2312"/>
          <w:b w:val="0"/>
          <w:bCs w:val="0"/>
          <w:snapToGrid w:val="0"/>
          <w:color w:val="000000"/>
          <w:sz w:val="32"/>
          <w:szCs w:val="32"/>
          <w:highlight w:val="none"/>
          <w:lang w:val="en-US" w:eastAsia="zh-CN" w:bidi="ar-SA"/>
        </w:rPr>
        <w:t xml:space="preserve"> 突发环境事件有跨区界、跨流域影响的，应及时报告区应急办，并按有关规定</w:t>
      </w:r>
      <w:r>
        <w:rPr>
          <w:rFonts w:hint="eastAsia" w:ascii="仿宋_GB2312" w:hAnsi="仿宋_GB2312" w:cs="仿宋_GB2312"/>
          <w:b w:val="0"/>
          <w:bCs w:val="0"/>
          <w:snapToGrid w:val="0"/>
          <w:color w:val="000000"/>
          <w:sz w:val="32"/>
          <w:szCs w:val="32"/>
          <w:highlight w:val="none"/>
          <w:lang w:val="en-US" w:eastAsia="zh-CN" w:bidi="ar-SA"/>
        </w:rPr>
        <w:t>及时</w:t>
      </w:r>
      <w:r>
        <w:rPr>
          <w:rFonts w:hint="eastAsia" w:ascii="仿宋_GB2312" w:hAnsi="仿宋_GB2312" w:eastAsia="仿宋_GB2312" w:cs="仿宋_GB2312"/>
          <w:b w:val="0"/>
          <w:bCs w:val="0"/>
          <w:snapToGrid w:val="0"/>
          <w:color w:val="000000"/>
          <w:sz w:val="32"/>
          <w:szCs w:val="32"/>
          <w:highlight w:val="none"/>
          <w:lang w:val="en-US" w:eastAsia="zh-CN" w:bidi="ar-SA"/>
        </w:rPr>
        <w:t>向毗邻和可能受到影响的</w:t>
      </w:r>
      <w:r>
        <w:rPr>
          <w:rFonts w:hint="eastAsia" w:ascii="仿宋_GB2312" w:hAnsi="仿宋_GB2312" w:cs="仿宋_GB2312"/>
          <w:b w:val="0"/>
          <w:bCs w:val="0"/>
          <w:snapToGrid w:val="0"/>
          <w:color w:val="000000"/>
          <w:sz w:val="32"/>
          <w:szCs w:val="32"/>
          <w:highlight w:val="none"/>
          <w:lang w:val="en-US" w:eastAsia="zh-CN" w:bidi="ar-SA"/>
        </w:rPr>
        <w:t>地</w:t>
      </w:r>
      <w:r>
        <w:rPr>
          <w:rFonts w:hint="eastAsia" w:ascii="仿宋_GB2312" w:hAnsi="仿宋_GB2312" w:eastAsia="仿宋_GB2312" w:cs="仿宋_GB2312"/>
          <w:b w:val="0"/>
          <w:bCs w:val="0"/>
          <w:snapToGrid w:val="0"/>
          <w:color w:val="000000"/>
          <w:sz w:val="32"/>
          <w:szCs w:val="32"/>
          <w:highlight w:val="none"/>
          <w:lang w:val="en-US" w:eastAsia="zh-CN" w:bidi="ar-SA"/>
        </w:rPr>
        <w:t>区政府通报情况</w:t>
      </w:r>
      <w:r>
        <w:rPr>
          <w:rFonts w:hint="eastAsia" w:ascii="仿宋_GB2312" w:hAnsi="仿宋_GB2312" w:cs="仿宋_GB2312"/>
          <w:b w:val="0"/>
          <w:bCs w:val="0"/>
          <w:snapToGrid w:val="0"/>
          <w:color w:val="000000"/>
          <w:sz w:val="32"/>
          <w:szCs w:val="32"/>
          <w:highlight w:val="none"/>
          <w:lang w:val="en-US" w:eastAsia="zh-CN" w:bidi="ar-SA"/>
        </w:rPr>
        <w:t>，适时启动联防联控机制。</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通报的主要内容：事件发生的时间、地点、原因、类别、人员伤亡和损失情况、污染物种类和性质、可能影响的范围、危害程度、发展趋势、属地采取的措施等</w:t>
      </w:r>
      <w:r>
        <w:rPr>
          <w:rFonts w:hint="eastAsia" w:ascii="仿宋_GB2312" w:hAnsi="仿宋_GB2312" w:eastAsia="仿宋_GB2312" w:cs="仿宋_GB2312"/>
          <w:b w:val="0"/>
          <w:bCs w:val="0"/>
          <w:snapToGrid w:val="0"/>
          <w:color w:val="000000"/>
          <w:sz w:val="32"/>
          <w:szCs w:val="32"/>
          <w:highlight w:val="none"/>
          <w:lang w:val="en-US" w:eastAsia="zh-CN" w:bidi="ar-SA"/>
        </w:rPr>
        <w:t>。</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4.2.</w:t>
      </w:r>
      <w:r>
        <w:rPr>
          <w:rFonts w:hint="eastAsia" w:ascii="仿宋_GB2312" w:hAnsi="仿宋_GB2312" w:cs="仿宋_GB2312"/>
          <w:b w:val="0"/>
          <w:bCs w:val="0"/>
          <w:snapToGrid w:val="0"/>
          <w:color w:val="000000"/>
          <w:sz w:val="32"/>
          <w:szCs w:val="32"/>
          <w:highlight w:val="none"/>
          <w:lang w:val="en-US" w:eastAsia="zh-CN" w:bidi="ar-SA"/>
        </w:rPr>
        <w:t>9</w:t>
      </w:r>
      <w:r>
        <w:rPr>
          <w:rFonts w:hint="eastAsia" w:ascii="仿宋_GB2312" w:hAnsi="仿宋_GB2312" w:eastAsia="仿宋_GB2312" w:cs="仿宋_GB2312"/>
          <w:b w:val="0"/>
          <w:bCs w:val="0"/>
          <w:snapToGrid w:val="0"/>
          <w:color w:val="000000"/>
          <w:sz w:val="32"/>
          <w:szCs w:val="32"/>
          <w:highlight w:val="none"/>
          <w:lang w:val="en-US" w:eastAsia="zh-CN" w:bidi="ar-SA"/>
        </w:rPr>
        <w:t xml:space="preserve"> 突发环境事件报告分为初报、续报和终报。报告内容应包括：时间、地点、信息来源、事件起因和性质、基本过程、主要污染物和数量、监测数据、人员受害情况、饮用水水源地等环境敏感点受影响情况、发展趋势、处置情况、拟采取的措施以及下一步工作建议等。</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236" w:name="_Toc28394"/>
      <w:bookmarkStart w:id="237" w:name="_Toc914"/>
      <w:bookmarkStart w:id="238" w:name="_Toc588956648"/>
      <w:bookmarkStart w:id="239" w:name="_Toc12769"/>
      <w:bookmarkStart w:id="240" w:name="_Toc482690304"/>
      <w:bookmarkStart w:id="241" w:name="_Toc1038"/>
      <w:bookmarkStart w:id="242" w:name="_Toc8139"/>
      <w:bookmarkStart w:id="243" w:name="_Toc1467090835"/>
      <w:bookmarkStart w:id="244" w:name="_Toc14076"/>
      <w:bookmarkStart w:id="245" w:name="_Toc5752"/>
      <w:bookmarkStart w:id="246" w:name="_Toc5567"/>
      <w:bookmarkStart w:id="247" w:name="_Toc5852"/>
      <w:bookmarkStart w:id="248" w:name="_Toc22560"/>
      <w:bookmarkStart w:id="249" w:name="_Toc23036"/>
      <w:r>
        <w:rPr>
          <w:rFonts w:hint="eastAsia" w:ascii="楷体_GB2312" w:hAnsi="楷体_GB2312" w:eastAsia="楷体_GB2312" w:cs="楷体_GB2312"/>
          <w:bCs/>
          <w:kern w:val="0"/>
          <w:sz w:val="32"/>
          <w:szCs w:val="32"/>
          <w:highlight w:val="none"/>
          <w:lang w:val="en-US" w:eastAsia="zh-CN"/>
        </w:rPr>
        <w:t xml:space="preserve">4.3 </w:t>
      </w:r>
      <w:bookmarkEnd w:id="236"/>
      <w:bookmarkEnd w:id="237"/>
      <w:bookmarkEnd w:id="238"/>
      <w:bookmarkEnd w:id="239"/>
      <w:bookmarkEnd w:id="240"/>
      <w:bookmarkEnd w:id="241"/>
      <w:bookmarkEnd w:id="242"/>
      <w:bookmarkEnd w:id="243"/>
      <w:bookmarkEnd w:id="244"/>
      <w:bookmarkEnd w:id="245"/>
      <w:bookmarkEnd w:id="246"/>
      <w:bookmarkEnd w:id="247"/>
      <w:r>
        <w:rPr>
          <w:rFonts w:hint="eastAsia" w:ascii="楷体_GB2312" w:hAnsi="楷体_GB2312" w:eastAsia="楷体_GB2312" w:cs="楷体_GB2312"/>
          <w:bCs/>
          <w:kern w:val="0"/>
          <w:sz w:val="32"/>
          <w:szCs w:val="32"/>
          <w:highlight w:val="none"/>
          <w:lang w:val="en-US" w:eastAsia="zh-CN"/>
        </w:rPr>
        <w:t>分级响应</w:t>
      </w:r>
      <w:bookmarkEnd w:id="248"/>
      <w:bookmarkEnd w:id="249"/>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根据</w:t>
      </w:r>
      <w:r>
        <w:rPr>
          <w:rFonts w:hint="eastAsia" w:ascii="仿宋_GB2312" w:hAnsi="仿宋_GB2312" w:cs="仿宋_GB2312"/>
          <w:sz w:val="32"/>
          <w:szCs w:val="32"/>
          <w:highlight w:val="none"/>
          <w:lang w:val="en-US" w:eastAsia="zh-CN"/>
        </w:rPr>
        <w:t>《市环境应急预案》和《区总预案》的分级标准，</w:t>
      </w:r>
      <w:r>
        <w:rPr>
          <w:rFonts w:hint="eastAsia" w:ascii="仿宋_GB2312" w:hAnsi="仿宋_GB2312" w:eastAsia="仿宋_GB2312" w:cs="仿宋_GB2312"/>
          <w:b w:val="0"/>
          <w:bCs w:val="0"/>
          <w:snapToGrid w:val="0"/>
          <w:color w:val="000000"/>
          <w:sz w:val="32"/>
          <w:szCs w:val="32"/>
          <w:highlight w:val="none"/>
          <w:lang w:val="en-US" w:eastAsia="zh-CN" w:bidi="ar-SA"/>
        </w:rPr>
        <w:t>本区</w:t>
      </w:r>
      <w:r>
        <w:rPr>
          <w:rFonts w:hint="eastAsia" w:ascii="仿宋_GB2312" w:hAnsi="仿宋_GB2312" w:cs="仿宋_GB2312"/>
          <w:b w:val="0"/>
          <w:bCs w:val="0"/>
          <w:snapToGrid w:val="0"/>
          <w:color w:val="000000"/>
          <w:sz w:val="32"/>
          <w:szCs w:val="32"/>
          <w:highlight w:val="none"/>
          <w:lang w:val="en-US" w:eastAsia="zh-CN" w:bidi="ar-SA"/>
        </w:rPr>
        <w:t>突发环境事件应急响应由低到高分为二级和一级。</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对于事件本身比较敏感，发生在重大活动举办、重要会议召开等特殊时期的，可适当提高响应级别。应急响应启动后，可视突发环境事件态势发展情况及时调整响应级别。</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bookmarkStart w:id="250" w:name="_Toc19377"/>
      <w:bookmarkStart w:id="251" w:name="_Toc14858"/>
      <w:bookmarkStart w:id="252" w:name="_Toc10465"/>
      <w:bookmarkStart w:id="253" w:name="_Toc21930"/>
      <w:bookmarkStart w:id="254" w:name="_Toc30341"/>
      <w:bookmarkStart w:id="255" w:name="_Toc3119"/>
      <w:bookmarkStart w:id="256" w:name="_Toc16537"/>
      <w:bookmarkStart w:id="257" w:name="_Toc25639"/>
      <w:r>
        <w:rPr>
          <w:rFonts w:hint="eastAsia" w:ascii="仿宋_GB2312" w:hAnsi="仿宋_GB2312" w:eastAsia="仿宋_GB2312" w:cs="仿宋_GB2312"/>
          <w:b w:val="0"/>
          <w:bCs w:val="0"/>
          <w:snapToGrid w:val="0"/>
          <w:color w:val="000000"/>
          <w:sz w:val="32"/>
          <w:szCs w:val="32"/>
          <w:highlight w:val="none"/>
          <w:lang w:val="en-US" w:eastAsia="zh-CN" w:bidi="ar-SA"/>
        </w:rPr>
        <w:t xml:space="preserve">4.3.1 </w:t>
      </w:r>
      <w:r>
        <w:rPr>
          <w:rFonts w:hint="eastAsia" w:ascii="仿宋_GB2312" w:hAnsi="仿宋_GB2312" w:cs="仿宋_GB2312"/>
          <w:b w:val="0"/>
          <w:bCs w:val="0"/>
          <w:snapToGrid w:val="0"/>
          <w:color w:val="000000"/>
          <w:sz w:val="32"/>
          <w:szCs w:val="32"/>
          <w:highlight w:val="none"/>
          <w:lang w:val="en-US" w:eastAsia="zh-CN" w:bidi="ar-SA"/>
        </w:rPr>
        <w:t>二</w:t>
      </w:r>
      <w:r>
        <w:rPr>
          <w:rFonts w:hint="eastAsia" w:ascii="仿宋_GB2312" w:hAnsi="仿宋_GB2312" w:eastAsia="仿宋_GB2312" w:cs="仿宋_GB2312"/>
          <w:b w:val="0"/>
          <w:bCs w:val="0"/>
          <w:snapToGrid w:val="0"/>
          <w:color w:val="000000"/>
          <w:sz w:val="32"/>
          <w:szCs w:val="32"/>
          <w:highlight w:val="none"/>
          <w:lang w:val="en-US" w:eastAsia="zh-CN" w:bidi="ar-SA"/>
        </w:rPr>
        <w:t>级响应</w:t>
      </w:r>
      <w:bookmarkEnd w:id="250"/>
      <w:bookmarkEnd w:id="251"/>
      <w:bookmarkEnd w:id="252"/>
      <w:bookmarkEnd w:id="253"/>
      <w:bookmarkEnd w:id="254"/>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default" w:ascii="仿宋_GB2312" w:hAnsi="仿宋_GB2312" w:eastAsia="仿宋_GB2312" w:cs="仿宋_GB2312"/>
          <w:b w:val="0"/>
          <w:bCs w:val="0"/>
          <w:snapToGrid w:val="0"/>
          <w:color w:val="000000"/>
          <w:sz w:val="32"/>
          <w:szCs w:val="32"/>
          <w:highlight w:val="none"/>
          <w:lang w:val="en-US" w:eastAsia="zh-CN" w:bidi="ar-SA"/>
        </w:rPr>
        <w:t>初判突发环境事件</w:t>
      </w:r>
      <w:r>
        <w:rPr>
          <w:rFonts w:hint="eastAsia" w:ascii="仿宋_GB2312" w:hAnsi="仿宋_GB2312" w:cs="仿宋_GB2312"/>
          <w:b w:val="0"/>
          <w:bCs w:val="0"/>
          <w:snapToGrid w:val="0"/>
          <w:color w:val="000000"/>
          <w:sz w:val="32"/>
          <w:szCs w:val="32"/>
          <w:highlight w:val="none"/>
          <w:lang w:val="en-US" w:eastAsia="zh-CN" w:bidi="ar-SA"/>
        </w:rPr>
        <w:t>为</w:t>
      </w:r>
      <w:r>
        <w:rPr>
          <w:rFonts w:hint="default" w:ascii="仿宋_GB2312" w:hAnsi="仿宋_GB2312" w:eastAsia="仿宋_GB2312" w:cs="仿宋_GB2312"/>
          <w:b w:val="0"/>
          <w:bCs w:val="0"/>
          <w:snapToGrid w:val="0"/>
          <w:color w:val="000000"/>
          <w:sz w:val="32"/>
          <w:szCs w:val="32"/>
          <w:highlight w:val="none"/>
          <w:lang w:val="en-US" w:eastAsia="zh-CN" w:bidi="ar-SA"/>
        </w:rPr>
        <w:t>一般</w:t>
      </w:r>
      <w:r>
        <w:rPr>
          <w:rFonts w:hint="eastAsia" w:ascii="仿宋_GB2312" w:hAnsi="仿宋_GB2312" w:cs="仿宋_GB2312"/>
          <w:b w:val="0"/>
          <w:bCs w:val="0"/>
          <w:snapToGrid w:val="0"/>
          <w:color w:val="000000"/>
          <w:sz w:val="32"/>
          <w:szCs w:val="32"/>
          <w:highlight w:val="none"/>
          <w:lang w:val="en-US" w:eastAsia="zh-CN" w:bidi="ar-SA"/>
        </w:rPr>
        <w:t>及以下</w:t>
      </w:r>
      <w:r>
        <w:rPr>
          <w:rFonts w:hint="default" w:ascii="仿宋_GB2312" w:hAnsi="仿宋_GB2312" w:eastAsia="仿宋_GB2312" w:cs="仿宋_GB2312"/>
          <w:b w:val="0"/>
          <w:bCs w:val="0"/>
          <w:snapToGrid w:val="0"/>
          <w:color w:val="000000"/>
          <w:sz w:val="32"/>
          <w:szCs w:val="32"/>
          <w:highlight w:val="none"/>
          <w:lang w:val="en-US" w:eastAsia="zh-CN" w:bidi="ar-SA"/>
        </w:rPr>
        <w:t>级别，由区环境应急协调小组办公室启动</w:t>
      </w:r>
      <w:r>
        <w:rPr>
          <w:rFonts w:hint="eastAsia" w:ascii="仿宋_GB2312" w:hAnsi="仿宋_GB2312" w:cs="仿宋_GB2312"/>
          <w:b w:val="0"/>
          <w:bCs w:val="0"/>
          <w:snapToGrid w:val="0"/>
          <w:color w:val="000000"/>
          <w:sz w:val="32"/>
          <w:szCs w:val="32"/>
          <w:highlight w:val="none"/>
          <w:lang w:val="en-US" w:eastAsia="zh-CN" w:bidi="ar-SA"/>
        </w:rPr>
        <w:t>二</w:t>
      </w:r>
      <w:r>
        <w:rPr>
          <w:rFonts w:hint="default" w:ascii="仿宋_GB2312" w:hAnsi="仿宋_GB2312" w:eastAsia="仿宋_GB2312" w:cs="仿宋_GB2312"/>
          <w:b w:val="0"/>
          <w:bCs w:val="0"/>
          <w:snapToGrid w:val="0"/>
          <w:color w:val="000000"/>
          <w:sz w:val="32"/>
          <w:szCs w:val="32"/>
          <w:highlight w:val="none"/>
          <w:lang w:val="en-US" w:eastAsia="zh-CN" w:bidi="ar-SA"/>
        </w:rPr>
        <w:t>级应急响</w:t>
      </w:r>
      <w:r>
        <w:rPr>
          <w:rFonts w:hint="eastAsia" w:ascii="仿宋_GB2312" w:hAnsi="仿宋_GB2312" w:cs="仿宋_GB2312"/>
          <w:b w:val="0"/>
          <w:bCs w:val="0"/>
          <w:snapToGrid w:val="0"/>
          <w:color w:val="000000"/>
          <w:sz w:val="32"/>
          <w:szCs w:val="32"/>
          <w:highlight w:val="none"/>
          <w:lang w:val="en-US" w:eastAsia="zh-CN" w:bidi="ar-SA"/>
        </w:rPr>
        <w:t>应</w:t>
      </w:r>
      <w:r>
        <w:rPr>
          <w:rFonts w:hint="default" w:ascii="仿宋_GB2312" w:hAnsi="仿宋_GB2312" w:eastAsia="仿宋_GB2312" w:cs="仿宋_GB2312"/>
          <w:b w:val="0"/>
          <w:bCs w:val="0"/>
          <w:snapToGrid w:val="0"/>
          <w:color w:val="000000"/>
          <w:sz w:val="32"/>
          <w:szCs w:val="32"/>
          <w:highlight w:val="none"/>
          <w:lang w:val="en-US" w:eastAsia="zh-CN" w:bidi="ar-SA"/>
        </w:rPr>
        <w:t>，</w:t>
      </w:r>
      <w:r>
        <w:rPr>
          <w:rFonts w:hint="eastAsia" w:ascii="仿宋_GB2312" w:hAnsi="仿宋_GB2312" w:cs="仿宋_GB2312"/>
          <w:b w:val="0"/>
          <w:bCs w:val="0"/>
          <w:snapToGrid w:val="0"/>
          <w:color w:val="000000"/>
          <w:sz w:val="32"/>
          <w:szCs w:val="32"/>
          <w:highlight w:val="none"/>
          <w:lang w:val="en-US" w:eastAsia="zh-CN" w:bidi="ar-SA"/>
        </w:rPr>
        <w:t>成立区临时指挥部，</w:t>
      </w:r>
      <w:r>
        <w:rPr>
          <w:rFonts w:hint="eastAsia" w:ascii="仿宋_GB2312" w:hAnsi="仿宋_GB2312" w:eastAsia="仿宋_GB2312" w:cs="仿宋_GB2312"/>
          <w:b w:val="0"/>
          <w:bCs w:val="0"/>
          <w:snapToGrid w:val="0"/>
          <w:color w:val="000000"/>
          <w:sz w:val="32"/>
          <w:szCs w:val="32"/>
          <w:highlight w:val="none"/>
          <w:lang w:val="en-US" w:eastAsia="zh-CN" w:bidi="ar-SA"/>
        </w:rPr>
        <w:t>迅速指挥协调区级公安、交管、消防、卫生健康、应急、宣传、生态环境等应急力量赶赴现场，开展先期处置，控制或切断污染源，全力控制事件态势，避免污染物向环境扩散，严防二次污染和次生、衍生灾害发生；组织、动员和帮助群众开展安全防护工作。区有关领导赴现场任总指挥，根据应急处置工作需要，成立现场指挥部，组织协调各方力量开展处置</w:t>
      </w:r>
      <w:r>
        <w:rPr>
          <w:rFonts w:hint="eastAsia" w:ascii="仿宋_GB2312" w:hAnsi="仿宋_GB2312" w:cs="仿宋_GB2312"/>
          <w:b w:val="0"/>
          <w:bCs w:val="0"/>
          <w:snapToGrid w:val="0"/>
          <w:color w:val="000000"/>
          <w:sz w:val="32"/>
          <w:szCs w:val="32"/>
          <w:highlight w:val="none"/>
          <w:lang w:val="en-US" w:eastAsia="zh-CN" w:bidi="ar-SA"/>
        </w:rPr>
        <w:t>，</w:t>
      </w:r>
      <w:r>
        <w:rPr>
          <w:rFonts w:hint="eastAsia" w:ascii="仿宋_GB2312" w:hAnsi="仿宋_GB2312" w:eastAsia="仿宋_GB2312" w:cs="仿宋_GB2312"/>
          <w:b w:val="0"/>
          <w:bCs w:val="0"/>
          <w:snapToGrid w:val="0"/>
          <w:color w:val="000000"/>
          <w:sz w:val="32"/>
          <w:szCs w:val="32"/>
          <w:highlight w:val="none"/>
          <w:lang w:val="en-US" w:eastAsia="zh-CN" w:bidi="ar-SA"/>
        </w:rPr>
        <w:t>处置过程情况随时报告区临时指挥部和市环境应急协调小组办公室。</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响应启动后，可根据需要请求市级部门指导本区应急处置工作，在协调应急队伍、专家以及装备、物资等工作方面予以支援。</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bookmarkStart w:id="258" w:name="_Toc12502"/>
      <w:bookmarkStart w:id="259" w:name="_Toc25582"/>
      <w:bookmarkStart w:id="260" w:name="_Toc15010"/>
      <w:bookmarkStart w:id="261" w:name="_Toc2782"/>
      <w:r>
        <w:rPr>
          <w:rFonts w:hint="eastAsia" w:ascii="仿宋_GB2312" w:hAnsi="仿宋_GB2312" w:eastAsia="仿宋_GB2312" w:cs="仿宋_GB2312"/>
          <w:b w:val="0"/>
          <w:bCs w:val="0"/>
          <w:snapToGrid w:val="0"/>
          <w:color w:val="000000"/>
          <w:sz w:val="32"/>
          <w:szCs w:val="32"/>
          <w:highlight w:val="none"/>
          <w:lang w:val="en-US" w:eastAsia="zh-CN" w:bidi="ar-SA"/>
        </w:rPr>
        <w:t xml:space="preserve">4.3.2 </w:t>
      </w:r>
      <w:r>
        <w:rPr>
          <w:rFonts w:hint="eastAsia" w:ascii="仿宋_GB2312" w:hAnsi="仿宋_GB2312" w:cs="仿宋_GB2312"/>
          <w:b w:val="0"/>
          <w:bCs w:val="0"/>
          <w:snapToGrid w:val="0"/>
          <w:color w:val="000000"/>
          <w:sz w:val="32"/>
          <w:szCs w:val="32"/>
          <w:highlight w:val="none"/>
          <w:lang w:val="en-US" w:eastAsia="zh-CN" w:bidi="ar-SA"/>
        </w:rPr>
        <w:t>一级</w:t>
      </w:r>
      <w:r>
        <w:rPr>
          <w:rFonts w:hint="eastAsia" w:ascii="仿宋_GB2312" w:hAnsi="仿宋_GB2312" w:eastAsia="仿宋_GB2312" w:cs="仿宋_GB2312"/>
          <w:b w:val="0"/>
          <w:bCs w:val="0"/>
          <w:snapToGrid w:val="0"/>
          <w:color w:val="000000"/>
          <w:sz w:val="32"/>
          <w:szCs w:val="32"/>
          <w:highlight w:val="none"/>
          <w:lang w:val="en-US" w:eastAsia="zh-CN" w:bidi="ar-SA"/>
        </w:rPr>
        <w:t>响应</w:t>
      </w:r>
      <w:bookmarkEnd w:id="258"/>
      <w:bookmarkEnd w:id="259"/>
      <w:bookmarkEnd w:id="260"/>
      <w:bookmarkEnd w:id="261"/>
    </w:p>
    <w:p>
      <w:p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初判突发环境事件满足以下条件之一时，区环境应急协调小组办公室在二级响应的基础上启动：</w:t>
      </w:r>
    </w:p>
    <w:p>
      <w:pPr>
        <w:numPr>
          <w:ilvl w:val="0"/>
          <w:numId w:val="1"/>
        </w:num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突发环境事件可能达到较大及以上级别；</w:t>
      </w:r>
    </w:p>
    <w:p>
      <w:pPr>
        <w:numPr>
          <w:ilvl w:val="0"/>
          <w:numId w:val="1"/>
        </w:num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需要统筹多个市级部门或单位、</w:t>
      </w:r>
      <w:r>
        <w:rPr>
          <w:rFonts w:hint="eastAsia" w:ascii="仿宋_GB2312" w:hAnsi="仿宋_GB2312" w:eastAsia="仿宋_GB2312" w:cs="仿宋_GB2312"/>
          <w:b w:val="0"/>
          <w:bCs w:val="0"/>
          <w:snapToGrid w:val="0"/>
          <w:color w:val="000000"/>
          <w:sz w:val="32"/>
          <w:szCs w:val="32"/>
          <w:highlight w:val="none"/>
          <w:lang w:val="en-US" w:eastAsia="zh-CN" w:bidi="ar-SA"/>
        </w:rPr>
        <w:t>毗邻和可能受到影响的区</w:t>
      </w:r>
      <w:r>
        <w:rPr>
          <w:rFonts w:hint="eastAsia" w:ascii="仿宋_GB2312" w:hAnsi="仿宋_GB2312" w:cs="仿宋_GB2312"/>
          <w:b w:val="0"/>
          <w:bCs w:val="0"/>
          <w:snapToGrid w:val="0"/>
          <w:color w:val="000000"/>
          <w:sz w:val="32"/>
          <w:szCs w:val="32"/>
          <w:highlight w:val="none"/>
          <w:lang w:val="en-US" w:eastAsia="zh-CN" w:bidi="ar-SA"/>
        </w:rPr>
        <w:t>政府共同处置；</w:t>
      </w:r>
    </w:p>
    <w:p>
      <w:pPr>
        <w:numPr>
          <w:ilvl w:val="0"/>
          <w:numId w:val="1"/>
        </w:num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需要调动市级应急队伍、应急物资等作为主要资源进行处置；</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区环境应急协调小组办公室向市级部门报告，由市级部门启动相应级别应急响应，区临时指挥部配合做好应急处置工作。</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区应急委相关领导迅速赶赴现场，成立由区</w:t>
      </w:r>
      <w:r>
        <w:rPr>
          <w:rFonts w:hint="eastAsia" w:ascii="仿宋_GB2312" w:hAnsi="仿宋_GB2312" w:cs="仿宋_GB2312"/>
          <w:b w:val="0"/>
          <w:bCs w:val="0"/>
          <w:snapToGrid w:val="0"/>
          <w:color w:val="000000"/>
          <w:sz w:val="32"/>
          <w:szCs w:val="32"/>
          <w:highlight w:val="none"/>
          <w:lang w:val="en-US" w:eastAsia="zh-CN" w:bidi="ar-SA"/>
        </w:rPr>
        <w:t>生态环境局</w:t>
      </w:r>
      <w:r>
        <w:rPr>
          <w:rFonts w:hint="eastAsia" w:ascii="仿宋_GB2312" w:hAnsi="仿宋_GB2312" w:eastAsia="仿宋_GB2312" w:cs="仿宋_GB2312"/>
          <w:b w:val="0"/>
          <w:bCs w:val="0"/>
          <w:snapToGrid w:val="0"/>
          <w:color w:val="000000"/>
          <w:sz w:val="32"/>
          <w:szCs w:val="32"/>
          <w:highlight w:val="none"/>
          <w:lang w:val="en-US" w:eastAsia="zh-CN" w:bidi="ar-SA"/>
        </w:rPr>
        <w:t>牵头的区级现场指挥部，组织协调区级各相关力量开展具体处置与救援行动。根据事态发展，区委、区政府主要领导赶赴现场任总指挥，主管区领导任执行指挥。当市突发环境事件临时应急指挥部（以下简称市临时指挥部）指挥人员到达现场并成立市级现场指挥部后，区级现场指挥部移交指挥权，并纳入市级现场指挥部统一领导。</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262" w:name="_Toc9083"/>
      <w:r>
        <w:rPr>
          <w:rFonts w:hint="eastAsia" w:ascii="楷体_GB2312" w:hAnsi="楷体_GB2312" w:eastAsia="楷体_GB2312" w:cs="楷体_GB2312"/>
          <w:bCs/>
          <w:kern w:val="0"/>
          <w:sz w:val="32"/>
          <w:szCs w:val="32"/>
          <w:highlight w:val="none"/>
          <w:lang w:val="en-US" w:eastAsia="zh-CN"/>
        </w:rPr>
        <w:t>4.4 现场指挥部</w:t>
      </w:r>
      <w:bookmarkEnd w:id="255"/>
      <w:bookmarkEnd w:id="256"/>
      <w:bookmarkEnd w:id="257"/>
      <w:bookmarkEnd w:id="262"/>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4.4.1 根据应急处置工作需要，成立现场指挥部。现场指挥部设总指挥和执行指挥，区委区政府相关领导</w:t>
      </w:r>
      <w:r>
        <w:rPr>
          <w:rFonts w:hint="eastAsia" w:ascii="仿宋_GB2312" w:hAnsi="仿宋_GB2312" w:cs="仿宋_GB2312"/>
          <w:b w:val="0"/>
          <w:bCs w:val="0"/>
          <w:snapToGrid w:val="0"/>
          <w:color w:val="000000"/>
          <w:sz w:val="32"/>
          <w:szCs w:val="32"/>
          <w:highlight w:val="none"/>
          <w:lang w:val="en-US" w:eastAsia="zh-CN" w:bidi="ar-SA"/>
        </w:rPr>
        <w:t>担任总指挥，区生态环境局</w:t>
      </w:r>
      <w:r>
        <w:rPr>
          <w:rFonts w:hint="eastAsia" w:ascii="仿宋_GB2312" w:hAnsi="仿宋_GB2312" w:eastAsia="仿宋_GB2312" w:cs="仿宋_GB2312"/>
          <w:b w:val="0"/>
          <w:bCs w:val="0"/>
          <w:snapToGrid w:val="0"/>
          <w:color w:val="000000"/>
          <w:sz w:val="32"/>
          <w:szCs w:val="32"/>
          <w:highlight w:val="none"/>
          <w:lang w:val="en-US" w:eastAsia="zh-CN" w:bidi="ar-SA"/>
        </w:rPr>
        <w:t>相应级别领导担任执行指挥。</w:t>
      </w:r>
      <w:r>
        <w:rPr>
          <w:rFonts w:hint="eastAsia" w:ascii="仿宋_GB2312" w:hAnsi="仿宋_GB2312" w:cs="仿宋_GB2312"/>
          <w:b w:val="0"/>
          <w:bCs w:val="0"/>
          <w:snapToGrid w:val="0"/>
          <w:color w:val="000000"/>
          <w:sz w:val="32"/>
          <w:szCs w:val="32"/>
          <w:highlight w:val="none"/>
          <w:lang w:val="en-US" w:eastAsia="zh-CN" w:bidi="ar-SA"/>
        </w:rPr>
        <w:t>总指挥行使重要事项决策和行政协调权，执行指挥行使专业处置权。</w:t>
      </w:r>
      <w:r>
        <w:rPr>
          <w:rFonts w:hint="eastAsia" w:ascii="仿宋_GB2312" w:hAnsi="仿宋_GB2312" w:eastAsia="仿宋_GB2312" w:cs="仿宋_GB2312"/>
          <w:b w:val="0"/>
          <w:bCs w:val="0"/>
          <w:snapToGrid w:val="0"/>
          <w:color w:val="000000"/>
          <w:sz w:val="32"/>
          <w:szCs w:val="32"/>
          <w:highlight w:val="none"/>
          <w:lang w:val="en-US" w:eastAsia="zh-CN" w:bidi="ar-SA"/>
        </w:rPr>
        <w:t>现场指挥部由区临时指挥部工作组指派相关人员组成，根据处置需要进行现场编组，确定联系人和通信方式。</w:t>
      </w:r>
    </w:p>
    <w:p>
      <w:pPr>
        <w:pStyle w:val="2"/>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区生态环境局</w:t>
      </w:r>
      <w:r>
        <w:rPr>
          <w:rFonts w:hint="eastAsia" w:ascii="仿宋_GB2312" w:hAnsi="仿宋_GB2312" w:eastAsia="仿宋_GB2312" w:cs="仿宋_GB2312"/>
          <w:b w:val="0"/>
          <w:bCs w:val="0"/>
          <w:snapToGrid w:val="0"/>
          <w:color w:val="000000"/>
          <w:sz w:val="32"/>
          <w:szCs w:val="32"/>
          <w:highlight w:val="none"/>
          <w:lang w:val="en-US" w:eastAsia="zh-CN" w:bidi="ar-SA"/>
        </w:rPr>
        <w:t>负责调集相关领域的专家和专业应急队伍，了解事件情况、风险以及影响控制事态的关键因素，提出危险区域划定与管控意见，组织开展现场抢险救援处置工作，同步做好信息发布工作。</w:t>
      </w:r>
      <w:r>
        <w:rPr>
          <w:rFonts w:hint="eastAsia" w:ascii="仿宋_GB2312" w:hAnsi="仿宋_GB2312" w:cs="仿宋_GB2312"/>
          <w:b w:val="0"/>
          <w:bCs w:val="0"/>
          <w:snapToGrid w:val="0"/>
          <w:color w:val="000000"/>
          <w:sz w:val="32"/>
          <w:szCs w:val="32"/>
          <w:highlight w:val="none"/>
          <w:lang w:val="en-US" w:eastAsia="zh-CN" w:bidi="ar-SA"/>
        </w:rPr>
        <w:t>市</w:t>
      </w:r>
      <w:r>
        <w:rPr>
          <w:rFonts w:hint="eastAsia" w:ascii="仿宋_GB2312" w:hAnsi="仿宋_GB2312" w:eastAsia="仿宋_GB2312" w:cs="仿宋_GB2312"/>
          <w:b w:val="0"/>
          <w:bCs w:val="0"/>
          <w:snapToGrid w:val="0"/>
          <w:color w:val="000000"/>
          <w:sz w:val="32"/>
          <w:szCs w:val="32"/>
          <w:highlight w:val="none"/>
          <w:lang w:val="en-US" w:eastAsia="zh-CN" w:bidi="ar-SA"/>
        </w:rPr>
        <w:t>公安</w:t>
      </w:r>
      <w:r>
        <w:rPr>
          <w:rFonts w:hint="eastAsia" w:ascii="仿宋_GB2312" w:hAnsi="仿宋_GB2312" w:cs="仿宋_GB2312"/>
          <w:b w:val="0"/>
          <w:bCs w:val="0"/>
          <w:snapToGrid w:val="0"/>
          <w:color w:val="000000"/>
          <w:sz w:val="32"/>
          <w:szCs w:val="32"/>
          <w:highlight w:val="none"/>
          <w:lang w:val="en-US" w:eastAsia="zh-CN" w:bidi="ar-SA"/>
        </w:rPr>
        <w:t>局大兴分局</w:t>
      </w:r>
      <w:r>
        <w:rPr>
          <w:rFonts w:hint="eastAsia" w:ascii="仿宋_GB2312" w:hAnsi="仿宋_GB2312" w:eastAsia="仿宋_GB2312" w:cs="仿宋_GB2312"/>
          <w:b w:val="0"/>
          <w:bCs w:val="0"/>
          <w:snapToGrid w:val="0"/>
          <w:color w:val="000000"/>
          <w:sz w:val="32"/>
          <w:szCs w:val="32"/>
          <w:highlight w:val="none"/>
          <w:lang w:val="en-US" w:eastAsia="zh-CN" w:bidi="ar-SA"/>
        </w:rPr>
        <w:t>、</w:t>
      </w:r>
      <w:r>
        <w:rPr>
          <w:rFonts w:hint="eastAsia" w:ascii="仿宋_GB2312" w:hAnsi="仿宋_GB2312" w:cs="仿宋_GB2312"/>
          <w:b w:val="0"/>
          <w:bCs w:val="0"/>
          <w:snapToGrid w:val="0"/>
          <w:color w:val="000000"/>
          <w:sz w:val="32"/>
          <w:szCs w:val="32"/>
          <w:highlight w:val="none"/>
          <w:lang w:val="en-US" w:eastAsia="zh-CN" w:bidi="ar-SA"/>
        </w:rPr>
        <w:t>区交通支队</w:t>
      </w:r>
      <w:r>
        <w:rPr>
          <w:rFonts w:hint="eastAsia" w:ascii="仿宋_GB2312" w:hAnsi="仿宋_GB2312" w:eastAsia="仿宋_GB2312" w:cs="仿宋_GB2312"/>
          <w:b w:val="0"/>
          <w:bCs w:val="0"/>
          <w:snapToGrid w:val="0"/>
          <w:color w:val="000000"/>
          <w:sz w:val="32"/>
          <w:szCs w:val="32"/>
          <w:highlight w:val="none"/>
          <w:lang w:val="en-US" w:eastAsia="zh-CN" w:bidi="ar-SA"/>
        </w:rPr>
        <w:t>负责做好人员疏散、周边交通管控、车辆疏导、现场侦查、现场管控、秩序维护等工作。</w:t>
      </w:r>
      <w:r>
        <w:rPr>
          <w:rFonts w:hint="eastAsia" w:ascii="仿宋_GB2312" w:hAnsi="仿宋_GB2312" w:cs="仿宋_GB2312"/>
          <w:b w:val="0"/>
          <w:bCs w:val="0"/>
          <w:snapToGrid w:val="0"/>
          <w:color w:val="000000"/>
          <w:sz w:val="32"/>
          <w:szCs w:val="32"/>
          <w:highlight w:val="none"/>
          <w:lang w:val="en-US" w:eastAsia="zh-CN" w:bidi="ar-SA"/>
        </w:rPr>
        <w:t>区</w:t>
      </w:r>
      <w:r>
        <w:rPr>
          <w:rFonts w:hint="eastAsia" w:ascii="仿宋_GB2312" w:hAnsi="仿宋_GB2312" w:eastAsia="仿宋_GB2312" w:cs="仿宋_GB2312"/>
          <w:b w:val="0"/>
          <w:bCs w:val="0"/>
          <w:snapToGrid w:val="0"/>
          <w:color w:val="000000"/>
          <w:sz w:val="32"/>
          <w:szCs w:val="32"/>
          <w:highlight w:val="none"/>
          <w:lang w:val="en-US" w:eastAsia="zh-CN" w:bidi="ar-SA"/>
        </w:rPr>
        <w:t>卫生部门负责调度120等急救力量立即赶赴现场，对搜救出的伤员实施急救与转运，及时核实上报人员伤亡情况及数量。</w:t>
      </w:r>
      <w:r>
        <w:rPr>
          <w:rFonts w:hint="eastAsia" w:ascii="仿宋_GB2312" w:hAnsi="仿宋_GB2312" w:cs="仿宋_GB2312"/>
          <w:b w:val="0"/>
          <w:bCs w:val="0"/>
          <w:snapToGrid w:val="0"/>
          <w:color w:val="000000"/>
          <w:sz w:val="32"/>
          <w:szCs w:val="32"/>
          <w:highlight w:val="none"/>
          <w:lang w:val="en-US" w:eastAsia="zh-CN" w:bidi="ar-SA"/>
        </w:rPr>
        <w:t>区消防救援支队</w:t>
      </w:r>
      <w:r>
        <w:rPr>
          <w:rFonts w:hint="eastAsia" w:ascii="仿宋_GB2312" w:hAnsi="仿宋_GB2312" w:eastAsia="仿宋_GB2312" w:cs="仿宋_GB2312"/>
          <w:b w:val="0"/>
          <w:bCs w:val="0"/>
          <w:snapToGrid w:val="0"/>
          <w:color w:val="000000"/>
          <w:sz w:val="32"/>
          <w:szCs w:val="32"/>
          <w:highlight w:val="none"/>
          <w:lang w:val="en-US" w:eastAsia="zh-CN" w:bidi="ar-SA"/>
        </w:rPr>
        <w:t>负责组织实施综合性救援抢险工作。</w:t>
      </w:r>
      <w:r>
        <w:rPr>
          <w:rFonts w:hint="eastAsia" w:ascii="仿宋_GB2312" w:hAnsi="仿宋_GB2312" w:cs="仿宋_GB2312"/>
          <w:b w:val="0"/>
          <w:bCs w:val="0"/>
          <w:snapToGrid w:val="0"/>
          <w:color w:val="000000"/>
          <w:sz w:val="32"/>
          <w:szCs w:val="32"/>
          <w:highlight w:val="none"/>
          <w:lang w:val="en-US" w:eastAsia="zh-CN" w:bidi="ar-SA"/>
        </w:rPr>
        <w:t>区</w:t>
      </w:r>
      <w:r>
        <w:rPr>
          <w:rFonts w:hint="eastAsia" w:ascii="仿宋_GB2312" w:hAnsi="仿宋_GB2312" w:eastAsia="仿宋_GB2312" w:cs="仿宋_GB2312"/>
          <w:b w:val="0"/>
          <w:bCs w:val="0"/>
          <w:snapToGrid w:val="0"/>
          <w:color w:val="000000"/>
          <w:sz w:val="32"/>
          <w:szCs w:val="32"/>
          <w:highlight w:val="none"/>
          <w:lang w:val="en-US" w:eastAsia="zh-CN" w:bidi="ar-SA"/>
        </w:rPr>
        <w:t>宣传部门负责牵头组织突发事件信息发布，舆情引导等工作。</w:t>
      </w:r>
      <w:r>
        <w:rPr>
          <w:rFonts w:hint="eastAsia" w:ascii="仿宋_GB2312" w:hAnsi="仿宋_GB2312" w:cs="仿宋_GB2312"/>
          <w:b w:val="0"/>
          <w:bCs w:val="0"/>
          <w:snapToGrid w:val="0"/>
          <w:color w:val="000000"/>
          <w:sz w:val="32"/>
          <w:szCs w:val="32"/>
          <w:highlight w:val="none"/>
          <w:lang w:val="en-US" w:eastAsia="zh-CN" w:bidi="ar-SA"/>
        </w:rPr>
        <w:t>区生态环境局</w:t>
      </w:r>
      <w:r>
        <w:rPr>
          <w:rFonts w:hint="eastAsia" w:ascii="仿宋_GB2312" w:hAnsi="仿宋_GB2312" w:eastAsia="仿宋_GB2312" w:cs="仿宋_GB2312"/>
          <w:b w:val="0"/>
          <w:bCs w:val="0"/>
          <w:snapToGrid w:val="0"/>
          <w:color w:val="000000"/>
          <w:sz w:val="32"/>
          <w:szCs w:val="32"/>
          <w:highlight w:val="none"/>
          <w:lang w:val="en-US" w:eastAsia="zh-CN" w:bidi="ar-SA"/>
        </w:rPr>
        <w:t>的负责宣传人员应到现场共同做好新闻发布工作。</w:t>
      </w:r>
    </w:p>
    <w:p>
      <w:p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4.4.2 市级现场指挥部</w:t>
      </w:r>
      <w:r>
        <w:rPr>
          <w:rFonts w:hint="eastAsia" w:ascii="仿宋_GB2312" w:hAnsi="仿宋_GB2312" w:cs="仿宋_GB2312"/>
          <w:b w:val="0"/>
          <w:bCs w:val="0"/>
          <w:snapToGrid w:val="0"/>
          <w:color w:val="000000"/>
          <w:sz w:val="32"/>
          <w:szCs w:val="32"/>
          <w:highlight w:val="none"/>
          <w:lang w:val="en-US" w:eastAsia="zh-CN" w:bidi="ar-SA"/>
        </w:rPr>
        <w:t>成立</w:t>
      </w:r>
      <w:r>
        <w:rPr>
          <w:rFonts w:hint="eastAsia" w:ascii="仿宋_GB2312" w:hAnsi="仿宋_GB2312" w:eastAsia="仿宋_GB2312" w:cs="仿宋_GB2312"/>
          <w:b w:val="0"/>
          <w:bCs w:val="0"/>
          <w:snapToGrid w:val="0"/>
          <w:color w:val="000000"/>
          <w:sz w:val="32"/>
          <w:szCs w:val="32"/>
          <w:highlight w:val="none"/>
          <w:lang w:val="en-US" w:eastAsia="zh-CN" w:bidi="ar-SA"/>
        </w:rPr>
        <w:t>后，区级现场总指挥和必要人员纳入市级现场指挥部，区级现场指挥部继续统一领导区级现场应急处置工作</w:t>
      </w:r>
      <w:r>
        <w:rPr>
          <w:rFonts w:hint="eastAsia" w:ascii="仿宋_GB2312" w:hAnsi="仿宋_GB2312" w:cs="仿宋_GB2312"/>
          <w:b w:val="0"/>
          <w:bCs w:val="0"/>
          <w:snapToGrid w:val="0"/>
          <w:color w:val="000000"/>
          <w:sz w:val="32"/>
          <w:szCs w:val="32"/>
          <w:highlight w:val="none"/>
          <w:lang w:val="en-US" w:eastAsia="zh-CN" w:bidi="ar-SA"/>
        </w:rPr>
        <w:t>。</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应维护好事发地区治安秩序，做好交通保障、人员救治与疏散、群众安置等工作，全力防止紧急事态的进一步扩大和次生、衍生灾害发生。及时掌握事件进展情况，随时向区委、区政府、区应急委和市级现场指挥部报告；结合现场实际情况，对突发事件进行综合分析、快速评估，尽快研究确定现场应急处置方案；制定切实可行的防范措施和救援程序，配备符合要求的安全防护设备，确保现场救援人员安全；按处置方案发布命令，全面展开调集应急物资，抢修被损坏的公共设施，向受到危害的人员提供避难场所、生活必需品、医疗救护等紧急处置工作。</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生态环境局应依据突发事件的级别和种类，适时派出由该领域具有丰富应急处置经验的人员、相关专业技术人员组成的专家顾问组，共同参与处置工作。专家顾问组应根据上报和收集掌握的情况，对整个事件进行分析判断和事态评估，研究并提出减灾、救灾等处置措施，为现场指挥部提供决策咨询。</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应随时跟踪事态的进展情况，一旦发现事态有进一步扩大的趋势，有可能超出自身的控制能力时，应及时报请区委、区政府协调调配其他应急资源参与处置工作；向事件可能波及的地区通报有关情况，必要时可通过媒体向社会发出预警。与突发事件有关的部门、单位和镇政府（街道办事处、功能区管委会），应主动向现场指挥部和参与事件处置的相关部门提供与应急处置有关基础资料，为实施应急处置、救援等工作提供各种便利条件。</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突发环境事件涉外时，区委宣传部、区委统战部、区委外办、政府外办等相关部门应根据需要和职责分工，参与现场指挥部相关工作，协调处置相关涉外事务。</w:t>
      </w:r>
    </w:p>
    <w:p>
      <w:pPr>
        <w:topLinePunct/>
        <w:jc w:val="both"/>
        <w:rPr>
          <w:rFonts w:hint="default"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现场指挥部可依据有关法律、法规、规章等规定，采取强制性措施和其他必要措施。</w:t>
      </w:r>
    </w:p>
    <w:p>
      <w:p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4.4.3 市级应急指挥机构在本区设立前方指挥部，或向本区派出市级工作组、部门工作组时，区级现场指挥部与其对接并接受业务指导，做好保障工作。</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263" w:name="_Toc4983"/>
      <w:bookmarkStart w:id="264" w:name="_Toc20616"/>
      <w:bookmarkStart w:id="265" w:name="_Toc20554"/>
      <w:bookmarkStart w:id="266" w:name="_Toc5571"/>
      <w:bookmarkStart w:id="267" w:name="_Toc27731"/>
      <w:bookmarkStart w:id="268" w:name="_Toc8958"/>
      <w:bookmarkStart w:id="269" w:name="_Toc6524"/>
      <w:bookmarkStart w:id="270" w:name="_Toc7963"/>
      <w:bookmarkStart w:id="271" w:name="_Toc25744"/>
      <w:bookmarkStart w:id="272" w:name="_Toc692307142"/>
      <w:bookmarkStart w:id="273" w:name="_Toc198071408"/>
      <w:bookmarkStart w:id="274" w:name="_Toc16042"/>
      <w:bookmarkStart w:id="275" w:name="_Toc4996"/>
      <w:r>
        <w:rPr>
          <w:rFonts w:hint="eastAsia" w:ascii="楷体_GB2312" w:hAnsi="楷体_GB2312" w:eastAsia="楷体_GB2312" w:cs="楷体_GB2312"/>
          <w:bCs/>
          <w:kern w:val="0"/>
          <w:sz w:val="32"/>
          <w:szCs w:val="32"/>
          <w:highlight w:val="none"/>
          <w:lang w:val="en-US" w:eastAsia="zh-CN"/>
        </w:rPr>
        <w:t xml:space="preserve">4.5 </w:t>
      </w:r>
      <w:r>
        <w:rPr>
          <w:rFonts w:hint="eastAsia" w:ascii="楷体_GB2312" w:hAnsi="楷体_GB2312" w:eastAsia="楷体_GB2312" w:cs="楷体_GB2312"/>
          <w:bCs/>
          <w:kern w:val="0"/>
          <w:sz w:val="32"/>
          <w:szCs w:val="32"/>
          <w:highlight w:val="none"/>
          <w:lang w:val="en-US"/>
        </w:rPr>
        <w:t>处置程序与</w:t>
      </w:r>
      <w:r>
        <w:rPr>
          <w:rFonts w:hint="eastAsia" w:ascii="楷体_GB2312" w:hAnsi="楷体_GB2312" w:eastAsia="楷体_GB2312" w:cs="楷体_GB2312"/>
          <w:bCs/>
          <w:kern w:val="0"/>
          <w:sz w:val="32"/>
          <w:szCs w:val="32"/>
          <w:highlight w:val="none"/>
          <w:lang w:val="en-US" w:eastAsia="zh-CN"/>
        </w:rPr>
        <w:t>措施</w:t>
      </w:r>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276" w:name="_Toc4711"/>
      <w:bookmarkStart w:id="277" w:name="_Toc31111"/>
      <w:bookmarkStart w:id="278" w:name="_Toc28106"/>
      <w:bookmarkStart w:id="279" w:name="_Toc17922"/>
      <w:bookmarkStart w:id="280" w:name="_Toc18494"/>
      <w:bookmarkStart w:id="281" w:name="_Toc27234"/>
      <w:bookmarkStart w:id="282" w:name="_Toc17471"/>
      <w:bookmarkStart w:id="283" w:name="_Toc30777"/>
      <w:bookmarkStart w:id="284" w:name="_Toc386501406"/>
      <w:bookmarkStart w:id="285" w:name="_Toc11199"/>
      <w:bookmarkStart w:id="286" w:name="_Toc22443"/>
      <w:bookmarkStart w:id="287" w:name="_Toc539736148"/>
      <w:bookmarkStart w:id="288" w:name="_Toc11874"/>
      <w:bookmarkStart w:id="289" w:name="_Toc6474"/>
      <w:r>
        <w:rPr>
          <w:rFonts w:hint="eastAsia" w:ascii="仿宋_GB2312" w:hAnsi="仿宋_GB2312" w:eastAsia="仿宋_GB2312" w:cs="仿宋_GB2312"/>
          <w:b w:val="0"/>
          <w:bCs w:val="0"/>
          <w:snapToGrid w:val="0"/>
          <w:color w:val="000000"/>
          <w:sz w:val="32"/>
          <w:szCs w:val="32"/>
          <w:highlight w:val="none"/>
          <w:lang w:val="en-US" w:eastAsia="zh-CN" w:bidi="ar-SA"/>
        </w:rPr>
        <w:t>4.5.1 现场污染处置</w:t>
      </w:r>
      <w:bookmarkEnd w:id="276"/>
      <w:bookmarkEnd w:id="277"/>
      <w:bookmarkEnd w:id="278"/>
      <w:bookmarkEnd w:id="279"/>
      <w:bookmarkEnd w:id="280"/>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涉事企业事业单位或其他生产经营者要立即采取必要措施，切断和控制污染源，防止污染蔓延扩散。做好有毒有害物质和消防废水、废液等的收集、清理和安全处置工作。当涉事企业事业单位或其他生产经营者不明或处置力量不足时，由现场指挥部组织相关部门对污染来源开展调查，确定污染物种类和污染范围，协调应急处置队伍、调集相关应急物资，切断污染源。</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（2）现场指挥部应组织制定综合处置方案。</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涉及大气污染的突发环境事件，可采用监测和模拟等手段，或结合大兴区特征污染物变化情况追踪污染气体扩散途径和范围，确定安全边界，通过封堵、围挡、喷淋、抽吸、转移异地处置、去污洗消等措施处置。</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涉及水体污染的突发环境事件，结合“一河一图一策”，借助环境应急空间与设施，通过拦截、导流、疏浚等形式防治水体污染扩大，采取隔离、吸附、打捞、氧化还原、中和、沉淀、消毒、去污洗消、临时收贮、微生物消解、转移异地处置、临时改造污染处置工艺或临时建设污染处置工程等方法处置污染物。</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涉及土壤污染的突发环境事件，组织开展现场鉴定、识别、核实造成污染的种类、性质、污染方式、危害程度及受影响范围和边界，封存、转移、销毁残存的化学毒剂，对被污染的部位和被污染的物品、场所、环境等进行洗消，控制污染源扩散。</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涉及辐射污染的突发环境事件，</w:t>
      </w:r>
      <w:r>
        <w:rPr>
          <w:rFonts w:hint="eastAsia" w:ascii="仿宋_GB2312" w:hAnsi="仿宋_GB2312" w:cs="仿宋_GB2312"/>
          <w:b w:val="0"/>
          <w:bCs w:val="0"/>
          <w:snapToGrid w:val="0"/>
          <w:color w:val="000000"/>
          <w:sz w:val="32"/>
          <w:szCs w:val="32"/>
          <w:highlight w:val="none"/>
          <w:lang w:val="en-US" w:eastAsia="zh-CN" w:bidi="ar-SA"/>
        </w:rPr>
        <w:t>依据《北京市生态环境局辐射污染事件应急预案》，配合开展应急调查、应急监测、污染处置、公众防护和现场控制等相关工作。</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（3）事件涉及的相关部门、单位要及时、主动提供有关的基础资料和信息，供现场指挥部研究救援和处置方案时参考。必要时，其他排污单位要采取停产、限产、限排等措施，减轻环境污染负荷。</w:t>
      </w:r>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290" w:name="_Toc32720"/>
      <w:bookmarkStart w:id="291" w:name="_Toc15283"/>
      <w:bookmarkStart w:id="292" w:name="_Toc6877"/>
      <w:bookmarkStart w:id="293" w:name="_Toc16041"/>
      <w:bookmarkStart w:id="294" w:name="_Toc32017"/>
      <w:r>
        <w:rPr>
          <w:rFonts w:hint="eastAsia" w:ascii="仿宋_GB2312" w:hAnsi="仿宋_GB2312" w:eastAsia="仿宋_GB2312" w:cs="仿宋_GB2312"/>
          <w:b w:val="0"/>
          <w:bCs w:val="0"/>
          <w:snapToGrid w:val="0"/>
          <w:color w:val="000000"/>
          <w:sz w:val="32"/>
          <w:szCs w:val="32"/>
          <w:highlight w:val="none"/>
          <w:lang w:val="en-US" w:eastAsia="zh-CN" w:bidi="ar-SA"/>
        </w:rPr>
        <w:t>4.5.2 转移安置人员</w:t>
      </w:r>
      <w:bookmarkEnd w:id="290"/>
      <w:bookmarkEnd w:id="291"/>
      <w:bookmarkEnd w:id="292"/>
      <w:bookmarkEnd w:id="293"/>
      <w:bookmarkEnd w:id="294"/>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应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w:t>
      </w:r>
      <w:bookmarkStart w:id="295" w:name="_Hlk98697972"/>
      <w:r>
        <w:rPr>
          <w:rFonts w:hint="eastAsia" w:ascii="仿宋_GB2312" w:hAnsi="仿宋_GB2312" w:eastAsia="仿宋_GB2312" w:cs="仿宋_GB2312"/>
          <w:b w:val="0"/>
          <w:bCs w:val="0"/>
          <w:snapToGrid w:val="0"/>
          <w:color w:val="000000"/>
          <w:sz w:val="32"/>
          <w:szCs w:val="32"/>
          <w:highlight w:val="none"/>
          <w:lang w:val="en-US" w:eastAsia="zh-CN" w:bidi="ar-SA"/>
        </w:rPr>
        <w:t>保障受事件影响人员的基本生活需求和必要医疗条件。</w:t>
      </w:r>
      <w:bookmarkEnd w:id="295"/>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296" w:name="_Toc21320"/>
      <w:bookmarkStart w:id="297" w:name="_Toc8149"/>
      <w:bookmarkStart w:id="298" w:name="_Toc10004"/>
      <w:bookmarkStart w:id="299" w:name="_Toc20597"/>
      <w:bookmarkStart w:id="300" w:name="_Toc18008"/>
      <w:r>
        <w:rPr>
          <w:rFonts w:hint="eastAsia" w:ascii="仿宋_GB2312" w:hAnsi="仿宋_GB2312" w:eastAsia="仿宋_GB2312" w:cs="仿宋_GB2312"/>
          <w:b w:val="0"/>
          <w:bCs w:val="0"/>
          <w:snapToGrid w:val="0"/>
          <w:color w:val="000000"/>
          <w:sz w:val="32"/>
          <w:szCs w:val="32"/>
          <w:highlight w:val="none"/>
          <w:lang w:val="en-US" w:eastAsia="zh-CN" w:bidi="ar-SA"/>
        </w:rPr>
        <w:t>4.5.3 医学救援</w:t>
      </w:r>
      <w:bookmarkEnd w:id="296"/>
      <w:bookmarkEnd w:id="297"/>
      <w:bookmarkEnd w:id="298"/>
      <w:bookmarkEnd w:id="299"/>
      <w:bookmarkEnd w:id="300"/>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应迅速组织医疗资源和力量，对伤病员进行诊断治疗，根据需要及时、安全地将重伤病员转移到有条件的医疗机构进行救治。指导和协助开展受污染人员的去污洗消工作，提出公众健康的防护措施建议。视情增派医疗卫生专家和卫生应急队伍、调配急需医药物资，支持事发地医学救援工作。做好受影响人员的心理援助及安抚工作。</w:t>
      </w:r>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01" w:name="_Toc16744"/>
      <w:bookmarkStart w:id="302" w:name="_Toc25099"/>
      <w:bookmarkStart w:id="303" w:name="_Toc10931"/>
      <w:bookmarkStart w:id="304" w:name="_Toc3853"/>
      <w:bookmarkStart w:id="305" w:name="_Toc27007"/>
      <w:r>
        <w:rPr>
          <w:rFonts w:hint="eastAsia" w:ascii="仿宋_GB2312" w:hAnsi="仿宋_GB2312" w:eastAsia="仿宋_GB2312" w:cs="仿宋_GB2312"/>
          <w:b w:val="0"/>
          <w:bCs w:val="0"/>
          <w:snapToGrid w:val="0"/>
          <w:color w:val="000000"/>
          <w:sz w:val="32"/>
          <w:szCs w:val="32"/>
          <w:highlight w:val="none"/>
          <w:lang w:val="en-US" w:eastAsia="zh-CN" w:bidi="ar-SA"/>
        </w:rPr>
        <w:t>4.5.4 应急监测</w:t>
      </w:r>
      <w:bookmarkEnd w:id="301"/>
      <w:bookmarkEnd w:id="302"/>
      <w:bookmarkEnd w:id="303"/>
      <w:bookmarkEnd w:id="304"/>
      <w:bookmarkEnd w:id="305"/>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w:t>
      </w:r>
      <w:r>
        <w:rPr>
          <w:rFonts w:hint="eastAsia" w:ascii="仿宋_GB2312" w:hAnsi="仿宋_GB2312" w:cs="仿宋_GB2312"/>
          <w:b w:val="0"/>
          <w:bCs w:val="0"/>
          <w:snapToGrid w:val="0"/>
          <w:color w:val="000000"/>
          <w:sz w:val="32"/>
          <w:szCs w:val="32"/>
          <w:highlight w:val="none"/>
          <w:lang w:val="en-US" w:eastAsia="zh-CN" w:bidi="ar-SA"/>
        </w:rPr>
        <w:t>应急监测组根据《北京市生态环境局突发环境事件应急指挥与处置管理办法（2022年修订）》《北京市大兴区生态环境局处置突发环境事件应急预案》，</w:t>
      </w:r>
      <w:r>
        <w:rPr>
          <w:rFonts w:hint="eastAsia" w:ascii="仿宋_GB2312" w:hAnsi="仿宋_GB2312" w:eastAsia="仿宋_GB2312" w:cs="仿宋_GB2312"/>
          <w:b w:val="0"/>
          <w:bCs w:val="0"/>
          <w:snapToGrid w:val="0"/>
          <w:color w:val="000000"/>
          <w:sz w:val="32"/>
          <w:szCs w:val="32"/>
          <w:highlight w:val="none"/>
          <w:lang w:val="en-US" w:eastAsia="zh-CN" w:bidi="ar-SA"/>
        </w:rPr>
        <w:t>加强大气、水体、土壤等应急监测工作。根据突发环境事件污染物种类、性质、扩散速度和事发地的气象、水文、地质及地域特点、周边敏感区域情况，制定应急监测方案，</w:t>
      </w:r>
      <w:r>
        <w:rPr>
          <w:rFonts w:hint="eastAsia" w:ascii="仿宋_GB2312" w:hAnsi="仿宋_GB2312" w:cs="仿宋_GB2312"/>
          <w:b w:val="0"/>
          <w:bCs w:val="0"/>
          <w:snapToGrid w:val="0"/>
          <w:color w:val="000000"/>
          <w:sz w:val="32"/>
          <w:szCs w:val="32"/>
          <w:highlight w:val="none"/>
          <w:lang w:val="en-US" w:eastAsia="zh-CN" w:bidi="ar-SA"/>
        </w:rPr>
        <w:t>明确应急监测任务，开展监测工作，确定</w:t>
      </w:r>
      <w:r>
        <w:rPr>
          <w:rFonts w:hint="eastAsia" w:ascii="仿宋_GB2312" w:hAnsi="仿宋_GB2312" w:eastAsia="仿宋_GB2312" w:cs="仿宋_GB2312"/>
          <w:b w:val="0"/>
          <w:bCs w:val="0"/>
          <w:snapToGrid w:val="0"/>
          <w:color w:val="000000"/>
          <w:sz w:val="32"/>
          <w:szCs w:val="32"/>
          <w:highlight w:val="none"/>
          <w:lang w:val="en-US" w:eastAsia="zh-CN" w:bidi="ar-SA"/>
        </w:rPr>
        <w:t>污染物类型、扩散的空间范围和浓度。随着污染物的扩散情况和监测结果的变化趋势适当调整监测</w:t>
      </w:r>
      <w:r>
        <w:rPr>
          <w:rFonts w:hint="eastAsia" w:ascii="仿宋_GB2312" w:hAnsi="仿宋_GB2312" w:cs="仿宋_GB2312"/>
          <w:b w:val="0"/>
          <w:bCs w:val="0"/>
          <w:snapToGrid w:val="0"/>
          <w:color w:val="000000"/>
          <w:sz w:val="32"/>
          <w:szCs w:val="32"/>
          <w:highlight w:val="none"/>
          <w:lang w:val="en-US" w:eastAsia="zh-CN" w:bidi="ar-SA"/>
        </w:rPr>
        <w:t>频次</w:t>
      </w:r>
      <w:r>
        <w:rPr>
          <w:rFonts w:hint="eastAsia" w:ascii="仿宋_GB2312" w:hAnsi="仿宋_GB2312" w:eastAsia="仿宋_GB2312" w:cs="仿宋_GB2312"/>
          <w:b w:val="0"/>
          <w:bCs w:val="0"/>
          <w:snapToGrid w:val="0"/>
          <w:color w:val="000000"/>
          <w:sz w:val="32"/>
          <w:szCs w:val="32"/>
          <w:highlight w:val="none"/>
          <w:lang w:val="en-US" w:eastAsia="zh-CN" w:bidi="ar-SA"/>
        </w:rPr>
        <w:t>和监测点位。</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根据需要，组织相关专家对突发环境事件信息进行动态分析、评估，及时预测事件的发展情况和污染物浓度数据变化情况，提出应急处置方案和建议，供现场指挥部领导决策参考。</w:t>
      </w:r>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06" w:name="_Toc32445"/>
      <w:bookmarkStart w:id="307" w:name="_Toc7113"/>
      <w:bookmarkStart w:id="308" w:name="_Toc13162"/>
      <w:bookmarkStart w:id="309" w:name="_Toc27260"/>
      <w:bookmarkStart w:id="310" w:name="_Toc14197"/>
      <w:r>
        <w:rPr>
          <w:rFonts w:hint="eastAsia" w:ascii="仿宋_GB2312" w:hAnsi="仿宋_GB2312" w:eastAsia="仿宋_GB2312" w:cs="仿宋_GB2312"/>
          <w:b w:val="0"/>
          <w:bCs w:val="0"/>
          <w:snapToGrid w:val="0"/>
          <w:color w:val="000000"/>
          <w:sz w:val="32"/>
          <w:szCs w:val="32"/>
          <w:highlight w:val="none"/>
          <w:lang w:val="en-US" w:eastAsia="zh-CN" w:bidi="ar-SA"/>
        </w:rPr>
        <w:t>4.5.5 市场监管和调控</w:t>
      </w:r>
      <w:bookmarkEnd w:id="306"/>
      <w:bookmarkEnd w:id="307"/>
      <w:bookmarkEnd w:id="308"/>
      <w:bookmarkEnd w:id="309"/>
      <w:bookmarkEnd w:id="310"/>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密切关注受突发环境事件影响区域市场供应情况及公众反应，加强对重要生活必需品等商品的市场监管和调控。禁止受污染食品和饮用水用于生产、加工和销售环节，防范因突发环境事件造成集体中毒等。</w:t>
      </w:r>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11" w:name="_Toc1599"/>
      <w:bookmarkStart w:id="312" w:name="_Toc6330"/>
      <w:bookmarkStart w:id="313" w:name="_Toc5474"/>
      <w:bookmarkStart w:id="314" w:name="_Toc19000"/>
      <w:bookmarkStart w:id="315" w:name="_Toc12943"/>
      <w:r>
        <w:rPr>
          <w:rFonts w:hint="eastAsia" w:ascii="仿宋_GB2312" w:hAnsi="仿宋_GB2312" w:eastAsia="仿宋_GB2312" w:cs="仿宋_GB2312"/>
          <w:b w:val="0"/>
          <w:bCs w:val="0"/>
          <w:snapToGrid w:val="0"/>
          <w:color w:val="000000"/>
          <w:sz w:val="32"/>
          <w:szCs w:val="32"/>
          <w:highlight w:val="none"/>
          <w:lang w:val="en-US" w:eastAsia="zh-CN" w:bidi="ar-SA"/>
        </w:rPr>
        <w:t>4.5.6 维护社会稳定</w:t>
      </w:r>
      <w:bookmarkEnd w:id="311"/>
      <w:bookmarkEnd w:id="312"/>
      <w:bookmarkEnd w:id="313"/>
      <w:bookmarkEnd w:id="314"/>
      <w:bookmarkEnd w:id="315"/>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现场指挥部要加强受影响地区社会治安管理，严厉打击借机传播谣言制造社会恐慌、哄抢救灾物资等违法犯罪行为；加强转移人员安置点、救灾物资存放点等重点地区治安管控；做好受影响人员与涉事单位、事发</w:t>
      </w:r>
      <w:r>
        <w:rPr>
          <w:rFonts w:hint="eastAsia" w:ascii="仿宋_GB2312" w:hAnsi="仿宋_GB2312" w:cs="仿宋_GB2312"/>
          <w:b w:val="0"/>
          <w:bCs w:val="0"/>
          <w:snapToGrid w:val="0"/>
          <w:color w:val="000000"/>
          <w:sz w:val="32"/>
          <w:szCs w:val="32"/>
          <w:highlight w:val="none"/>
          <w:lang w:val="en-US" w:eastAsia="zh-CN" w:bidi="ar-SA"/>
        </w:rPr>
        <w:t>地</w:t>
      </w:r>
      <w:r>
        <w:rPr>
          <w:rFonts w:hint="eastAsia" w:ascii="仿宋_GB2312" w:hAnsi="仿宋" w:eastAsia="仿宋_GB2312"/>
          <w:kern w:val="0"/>
          <w:sz w:val="32"/>
          <w:szCs w:val="32"/>
          <w:highlight w:val="none"/>
        </w:rPr>
        <w:t>镇政府（街道办事处、功能区管委会）</w:t>
      </w:r>
      <w:r>
        <w:rPr>
          <w:rFonts w:hint="eastAsia" w:ascii="仿宋_GB2312" w:hAnsi="仿宋_GB2312" w:eastAsia="仿宋_GB2312" w:cs="仿宋_GB2312"/>
          <w:b w:val="0"/>
          <w:bCs w:val="0"/>
          <w:snapToGrid w:val="0"/>
          <w:color w:val="000000"/>
          <w:sz w:val="32"/>
          <w:szCs w:val="32"/>
          <w:highlight w:val="none"/>
          <w:lang w:val="en-US" w:eastAsia="zh-CN" w:bidi="ar-SA"/>
        </w:rPr>
        <w:t>及有关部门矛盾纠纷化解和法律服务工作，防止出现群体性事件，维护社会稳定。</w:t>
      </w:r>
    </w:p>
    <w:bookmarkEnd w:id="281"/>
    <w:bookmarkEnd w:id="282"/>
    <w:bookmarkEnd w:id="283"/>
    <w:bookmarkEnd w:id="284"/>
    <w:bookmarkEnd w:id="285"/>
    <w:bookmarkEnd w:id="286"/>
    <w:bookmarkEnd w:id="287"/>
    <w:bookmarkEnd w:id="288"/>
    <w:bookmarkEnd w:id="289"/>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16" w:name="_Toc600"/>
      <w:bookmarkStart w:id="317" w:name="_Toc20655"/>
      <w:bookmarkStart w:id="318" w:name="_Toc1819"/>
      <w:bookmarkStart w:id="319" w:name="_Toc23520"/>
      <w:r>
        <w:rPr>
          <w:rFonts w:hint="eastAsia" w:ascii="楷体_GB2312" w:hAnsi="楷体_GB2312" w:eastAsia="楷体_GB2312" w:cs="楷体_GB2312"/>
          <w:bCs/>
          <w:kern w:val="0"/>
          <w:sz w:val="32"/>
          <w:szCs w:val="32"/>
          <w:highlight w:val="none"/>
          <w:lang w:val="en-US" w:eastAsia="zh-CN"/>
        </w:rPr>
        <w:t>4.6 信息发布和舆论引导</w:t>
      </w:r>
      <w:bookmarkEnd w:id="316"/>
      <w:bookmarkEnd w:id="317"/>
      <w:bookmarkEnd w:id="318"/>
      <w:bookmarkEnd w:id="319"/>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20" w:name="_Toc22828"/>
      <w:bookmarkStart w:id="321" w:name="_Toc22155"/>
      <w:bookmarkStart w:id="322" w:name="_Toc18273"/>
      <w:bookmarkStart w:id="323" w:name="_Toc1831"/>
      <w:bookmarkStart w:id="324" w:name="_Toc8954"/>
      <w:r>
        <w:rPr>
          <w:rFonts w:hint="eastAsia" w:ascii="仿宋_GB2312" w:hAnsi="仿宋_GB2312" w:eastAsia="仿宋_GB2312" w:cs="仿宋_GB2312"/>
          <w:b w:val="0"/>
          <w:bCs w:val="0"/>
          <w:snapToGrid w:val="0"/>
          <w:color w:val="000000"/>
          <w:sz w:val="32"/>
          <w:szCs w:val="32"/>
          <w:highlight w:val="none"/>
          <w:lang w:val="en-US" w:eastAsia="zh-CN" w:bidi="ar-SA"/>
        </w:rPr>
        <w:t>4.6.1 信息发布</w:t>
      </w:r>
      <w:bookmarkEnd w:id="320"/>
      <w:bookmarkEnd w:id="321"/>
      <w:bookmarkEnd w:id="322"/>
      <w:bookmarkEnd w:id="323"/>
      <w:bookmarkEnd w:id="324"/>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（1）突发环境事件的信息发布工作，应按照党中央、国务院及本市相关规定，由宣传部门会同生态环境部门进行管理协调与具体落实。</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（2）</w:t>
      </w:r>
      <w:r>
        <w:rPr>
          <w:rFonts w:hint="eastAsia" w:ascii="仿宋_GB2312" w:hAnsi="仿宋_GB2312" w:eastAsia="仿宋_GB2312" w:cs="仿宋_GB2312"/>
          <w:b w:val="0"/>
          <w:bCs w:val="0"/>
          <w:snapToGrid w:val="0"/>
          <w:color w:val="000000"/>
          <w:sz w:val="32"/>
          <w:szCs w:val="32"/>
          <w:highlight w:val="none"/>
          <w:lang w:val="en-US" w:eastAsia="zh-CN" w:bidi="ar-SA"/>
        </w:rPr>
        <w:t>各成员单位</w:t>
      </w:r>
      <w:r>
        <w:rPr>
          <w:rFonts w:hint="eastAsia" w:ascii="仿宋_GB2312" w:hAnsi="仿宋_GB2312" w:cs="仿宋_GB2312"/>
          <w:b w:val="0"/>
          <w:bCs w:val="0"/>
          <w:snapToGrid w:val="0"/>
          <w:color w:val="000000"/>
          <w:sz w:val="32"/>
          <w:szCs w:val="32"/>
          <w:highlight w:val="none"/>
          <w:lang w:val="en-US" w:eastAsia="zh-CN" w:bidi="ar-SA"/>
        </w:rPr>
        <w:t>、</w:t>
      </w:r>
      <w:r>
        <w:rPr>
          <w:rFonts w:hint="eastAsia" w:ascii="仿宋_GB2312" w:hAnsi="仿宋_GB2312" w:eastAsia="仿宋_GB2312" w:cs="仿宋_GB2312"/>
          <w:b w:val="0"/>
          <w:bCs w:val="0"/>
          <w:snapToGrid w:val="0"/>
          <w:color w:val="000000"/>
          <w:sz w:val="32"/>
          <w:szCs w:val="32"/>
          <w:highlight w:val="none"/>
          <w:lang w:val="en-US" w:eastAsia="zh-CN" w:bidi="ar-SA"/>
        </w:rPr>
        <w:t>镇政府（街道办事处、功能区管委会）应及时向区环境应急协调小组办公室报送相关事件信息，做好突发环境事件的新闻发布保障工作。</w:t>
      </w:r>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25" w:name="_Toc21814"/>
      <w:bookmarkStart w:id="326" w:name="_Toc530"/>
      <w:bookmarkStart w:id="327" w:name="_Toc25800"/>
      <w:bookmarkStart w:id="328" w:name="_Toc14250"/>
      <w:bookmarkStart w:id="329" w:name="_Toc18702"/>
      <w:r>
        <w:rPr>
          <w:rFonts w:hint="eastAsia" w:ascii="仿宋_GB2312" w:hAnsi="仿宋_GB2312" w:eastAsia="仿宋_GB2312" w:cs="仿宋_GB2312"/>
          <w:b w:val="0"/>
          <w:bCs w:val="0"/>
          <w:snapToGrid w:val="0"/>
          <w:color w:val="000000"/>
          <w:sz w:val="32"/>
          <w:szCs w:val="32"/>
          <w:highlight w:val="none"/>
          <w:lang w:val="en-US" w:eastAsia="zh-CN" w:bidi="ar-SA"/>
        </w:rPr>
        <w:t>4.6.2 舆论引导</w:t>
      </w:r>
      <w:bookmarkEnd w:id="325"/>
      <w:bookmarkEnd w:id="326"/>
      <w:bookmarkEnd w:id="327"/>
      <w:bookmarkEnd w:id="328"/>
      <w:bookmarkEnd w:id="329"/>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（1）网信、生态环境及其他相关部门应迅速收集、整理网络、市民热线等舆情社情信息，及时核实、解决公众反映的问题，予以积极回应和正面引导。对于不实和负面信息，及时澄清并发布准确信息。</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（2）对于可能产生国际影响的突发环境事件，对外报道工作由市委宣传部、市政府新闻办、市政府外办和市环境应急协调小组办公室共同组织。</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30" w:name="_Toc3680"/>
      <w:bookmarkStart w:id="331" w:name="_Toc29848"/>
      <w:bookmarkStart w:id="332" w:name="_Toc16986"/>
      <w:bookmarkStart w:id="333" w:name="_Toc23108"/>
      <w:r>
        <w:rPr>
          <w:rFonts w:hint="eastAsia" w:ascii="楷体_GB2312" w:hAnsi="楷体_GB2312" w:eastAsia="楷体_GB2312" w:cs="楷体_GB2312"/>
          <w:bCs/>
          <w:kern w:val="0"/>
          <w:sz w:val="32"/>
          <w:szCs w:val="32"/>
          <w:highlight w:val="none"/>
          <w:lang w:val="en-US" w:eastAsia="zh-CN"/>
        </w:rPr>
        <w:t>4.7 应急结束</w:t>
      </w:r>
      <w:bookmarkEnd w:id="330"/>
      <w:bookmarkEnd w:id="331"/>
      <w:bookmarkEnd w:id="332"/>
      <w:bookmarkEnd w:id="333"/>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34" w:name="_Toc8157"/>
      <w:bookmarkStart w:id="335" w:name="_Toc6056"/>
      <w:bookmarkStart w:id="336" w:name="_Toc14494"/>
      <w:bookmarkStart w:id="337" w:name="_Toc26955"/>
      <w:bookmarkStart w:id="338" w:name="_Toc30773"/>
      <w:r>
        <w:rPr>
          <w:rFonts w:hint="eastAsia" w:ascii="仿宋_GB2312" w:hAnsi="仿宋_GB2312" w:eastAsia="仿宋_GB2312" w:cs="仿宋_GB2312"/>
          <w:b w:val="0"/>
          <w:bCs w:val="0"/>
          <w:snapToGrid w:val="0"/>
          <w:color w:val="000000"/>
          <w:sz w:val="32"/>
          <w:szCs w:val="32"/>
          <w:highlight w:val="none"/>
          <w:lang w:val="en-US" w:eastAsia="zh-CN" w:bidi="ar-SA"/>
        </w:rPr>
        <w:t>4.7.1 结束条件</w:t>
      </w:r>
      <w:bookmarkEnd w:id="334"/>
      <w:bookmarkEnd w:id="335"/>
      <w:bookmarkEnd w:id="336"/>
      <w:bookmarkEnd w:id="337"/>
      <w:bookmarkEnd w:id="338"/>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符合下列情形之一的，应急结束：</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（1）事件现场危害得到控制或基本消除，事件发生条件已经消除，各种专业应急处置行动已无继续的必要；</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（2）环境污染物已经消除，或处置过程中所造成的环境污染已纳入日常监管；</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（3）确认事发地人群、环境的各项主要健康、环境、生物及生态指标已经降低到常态水平；</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（4）采取了必要的防护措施，以保护公众免受再次危害，并使事件可能引起的中长期影响趋于合理且尽量低的水平；</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（5）专家技术组认为可终止的情形。</w:t>
      </w:r>
    </w:p>
    <w:p>
      <w:pPr>
        <w:pStyle w:val="6"/>
        <w:widowControl w:val="0"/>
        <w:topLinePunct/>
        <w:adjustRightInd/>
        <w:snapToGrid/>
        <w:spacing w:before="0"/>
        <w:ind w:firstLine="640" w:firstLineChars="200"/>
        <w:jc w:val="both"/>
        <w:textAlignment w:val="auto"/>
        <w:rPr>
          <w:rFonts w:hint="eastAsia" w:ascii="仿宋_GB2312" w:hAnsi="仿宋_GB2312" w:eastAsia="仿宋_GB2312" w:cs="仿宋_GB2312"/>
          <w:b w:val="0"/>
          <w:bCs w:val="0"/>
          <w:snapToGrid w:val="0"/>
          <w:color w:val="000000"/>
          <w:sz w:val="32"/>
          <w:szCs w:val="32"/>
          <w:highlight w:val="none"/>
          <w:lang w:val="en-US" w:eastAsia="zh-CN" w:bidi="ar-SA"/>
        </w:rPr>
      </w:pPr>
      <w:bookmarkStart w:id="339" w:name="_Toc16064"/>
      <w:bookmarkStart w:id="340" w:name="_Toc29038"/>
      <w:bookmarkStart w:id="341" w:name="_Toc5900"/>
      <w:bookmarkStart w:id="342" w:name="_Toc31252"/>
      <w:bookmarkStart w:id="343" w:name="_Toc14378"/>
      <w:bookmarkStart w:id="344" w:name="_Toc27428"/>
      <w:bookmarkStart w:id="345" w:name="_Toc31909"/>
      <w:bookmarkStart w:id="346" w:name="_Toc27357"/>
      <w:bookmarkStart w:id="347" w:name="_Toc32128"/>
      <w:r>
        <w:rPr>
          <w:rFonts w:hint="eastAsia" w:ascii="仿宋_GB2312" w:hAnsi="仿宋_GB2312" w:eastAsia="仿宋_GB2312" w:cs="仿宋_GB2312"/>
          <w:b w:val="0"/>
          <w:bCs w:val="0"/>
          <w:snapToGrid w:val="0"/>
          <w:color w:val="000000"/>
          <w:sz w:val="32"/>
          <w:szCs w:val="32"/>
          <w:highlight w:val="none"/>
          <w:lang w:val="en-US" w:eastAsia="zh-CN" w:bidi="ar-SA"/>
        </w:rPr>
        <w:t>4.7.2 宣布结束</w:t>
      </w:r>
      <w:bookmarkEnd w:id="339"/>
      <w:bookmarkEnd w:id="340"/>
      <w:bookmarkEnd w:id="341"/>
      <w:bookmarkEnd w:id="342"/>
      <w:bookmarkEnd w:id="343"/>
      <w:bookmarkEnd w:id="344"/>
      <w:bookmarkEnd w:id="345"/>
      <w:bookmarkEnd w:id="346"/>
      <w:bookmarkEnd w:id="347"/>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按照“谁启动谁结束”的原则。一般突发环境事件由启动响应的区临时指挥部按程序宣布响应结束；较大及以上突发环境事件由市临时指挥部按程序批准后宣布响应结束。必要时，应及时向社会发布响应结束消息。应急响应结束后，必要时应继续进行一定频次的环境监测。</w:t>
      </w:r>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348" w:name="_Toc10796"/>
      <w:bookmarkStart w:id="349" w:name="_Toc3663"/>
      <w:bookmarkStart w:id="350" w:name="_Toc15930"/>
      <w:bookmarkStart w:id="351" w:name="_Toc29012"/>
      <w:bookmarkStart w:id="352" w:name="_Toc24102"/>
      <w:bookmarkStart w:id="353" w:name="_Toc15505"/>
      <w:bookmarkStart w:id="354" w:name="_Toc21498"/>
      <w:bookmarkStart w:id="355" w:name="_Toc27356"/>
      <w:bookmarkStart w:id="356" w:name="_Toc2357"/>
      <w:r>
        <w:rPr>
          <w:rFonts w:hint="eastAsia" w:ascii="黑体" w:hAnsi="黑体" w:eastAsia="黑体" w:cs="黑体"/>
          <w:b/>
          <w:bCs/>
          <w:color w:val="auto"/>
          <w:sz w:val="32"/>
          <w:szCs w:val="44"/>
          <w:highlight w:val="none"/>
        </w:rPr>
        <w:t>5 后期工作</w:t>
      </w:r>
      <w:bookmarkEnd w:id="348"/>
      <w:bookmarkEnd w:id="349"/>
      <w:bookmarkEnd w:id="350"/>
      <w:bookmarkEnd w:id="351"/>
      <w:bookmarkEnd w:id="352"/>
      <w:bookmarkEnd w:id="353"/>
      <w:bookmarkEnd w:id="354"/>
      <w:bookmarkEnd w:id="355"/>
      <w:bookmarkEnd w:id="356"/>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57" w:name="_Toc21335"/>
      <w:bookmarkStart w:id="358" w:name="_Toc22763"/>
      <w:bookmarkStart w:id="359" w:name="_Toc15117"/>
      <w:bookmarkStart w:id="360" w:name="_Toc19314"/>
      <w:bookmarkStart w:id="361" w:name="_Toc123245544"/>
      <w:bookmarkStart w:id="362" w:name="_Toc18109"/>
      <w:r>
        <w:rPr>
          <w:rFonts w:hint="eastAsia" w:ascii="楷体_GB2312" w:hAnsi="楷体_GB2312" w:eastAsia="楷体_GB2312" w:cs="楷体_GB2312"/>
          <w:bCs/>
          <w:kern w:val="0"/>
          <w:sz w:val="32"/>
          <w:szCs w:val="32"/>
          <w:highlight w:val="none"/>
          <w:lang w:val="en-US" w:eastAsia="zh-CN"/>
        </w:rPr>
        <w:t>5.1 善后处置</w:t>
      </w:r>
      <w:bookmarkEnd w:id="357"/>
      <w:bookmarkEnd w:id="358"/>
      <w:bookmarkEnd w:id="359"/>
      <w:bookmarkEnd w:id="360"/>
      <w:bookmarkEnd w:id="361"/>
      <w:bookmarkEnd w:id="362"/>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宣布应急结束后，在区委、区政府、区应急委统一领导下，由相关部门、有关单位和各属地负责善后处置工作，及时制订恢复重建计划和善后处置措施，并组织实施。由处置主责部门会同财政、发展改革部门制定应由政府补偿的补偿标准和办法，事发</w:t>
      </w:r>
      <w:r>
        <w:rPr>
          <w:rFonts w:hint="eastAsia" w:ascii="仿宋_GB2312" w:hAnsi="仿宋_GB2312" w:cs="仿宋_GB2312"/>
          <w:b w:val="0"/>
          <w:bCs w:val="0"/>
          <w:snapToGrid w:val="0"/>
          <w:color w:val="000000"/>
          <w:sz w:val="32"/>
          <w:szCs w:val="32"/>
          <w:highlight w:val="none"/>
          <w:lang w:val="en-US" w:eastAsia="zh-CN" w:bidi="ar-SA"/>
        </w:rPr>
        <w:t>地</w:t>
      </w:r>
      <w:r>
        <w:rPr>
          <w:rFonts w:hint="eastAsia" w:ascii="仿宋_GB2312" w:hAnsi="仿宋" w:eastAsia="仿宋_GB2312"/>
          <w:kern w:val="0"/>
          <w:sz w:val="32"/>
          <w:szCs w:val="32"/>
          <w:highlight w:val="none"/>
        </w:rPr>
        <w:t>镇政府（街道办事处、功能区管委会）</w:t>
      </w:r>
      <w:r>
        <w:rPr>
          <w:rFonts w:hint="eastAsia" w:ascii="仿宋_GB2312" w:hAnsi="仿宋_GB2312" w:eastAsia="仿宋_GB2312" w:cs="仿宋_GB2312"/>
          <w:b w:val="0"/>
          <w:bCs w:val="0"/>
          <w:snapToGrid w:val="0"/>
          <w:color w:val="000000"/>
          <w:sz w:val="32"/>
          <w:szCs w:val="32"/>
          <w:highlight w:val="none"/>
          <w:lang w:val="en-US" w:eastAsia="zh-CN" w:bidi="ar-SA"/>
        </w:rPr>
        <w:t>做好征用补偿。</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63" w:name="_Toc26708"/>
      <w:bookmarkStart w:id="364" w:name="_Toc17537"/>
      <w:bookmarkStart w:id="365" w:name="_Toc12773"/>
      <w:bookmarkStart w:id="366" w:name="_Toc12091"/>
      <w:r>
        <w:rPr>
          <w:rFonts w:hint="eastAsia" w:ascii="楷体_GB2312" w:hAnsi="楷体_GB2312" w:eastAsia="楷体_GB2312" w:cs="楷体_GB2312"/>
          <w:bCs/>
          <w:kern w:val="0"/>
          <w:sz w:val="32"/>
          <w:szCs w:val="32"/>
          <w:highlight w:val="none"/>
          <w:lang w:val="en-US" w:eastAsia="zh-CN"/>
        </w:rPr>
        <w:t>5.2 损害评估</w:t>
      </w:r>
      <w:bookmarkEnd w:id="363"/>
      <w:bookmarkEnd w:id="364"/>
      <w:bookmarkEnd w:id="365"/>
      <w:bookmarkEnd w:id="366"/>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按照生态环境部有关规定，区生态环境部门根据需要组织开展突发环境事件污染损害评估工作，并将评估结果向社会公布。评估结论作为事件调查处理、损害赔偿、环境修复和生态恢复重建的依据。</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67" w:name="_Toc19737"/>
      <w:bookmarkStart w:id="368" w:name="_Toc123245546"/>
      <w:bookmarkStart w:id="369" w:name="_Toc9192"/>
      <w:bookmarkStart w:id="370" w:name="_Toc6883"/>
      <w:bookmarkStart w:id="371" w:name="_Toc6827"/>
      <w:bookmarkStart w:id="372" w:name="_Toc9325"/>
      <w:r>
        <w:rPr>
          <w:rFonts w:hint="eastAsia" w:ascii="楷体_GB2312" w:hAnsi="楷体_GB2312" w:eastAsia="楷体_GB2312" w:cs="楷体_GB2312"/>
          <w:bCs/>
          <w:kern w:val="0"/>
          <w:sz w:val="32"/>
          <w:szCs w:val="32"/>
          <w:highlight w:val="none"/>
          <w:lang w:val="en-US" w:eastAsia="zh-CN"/>
        </w:rPr>
        <w:t>5.3 事件调查</w:t>
      </w:r>
      <w:bookmarkEnd w:id="367"/>
      <w:bookmarkEnd w:id="368"/>
      <w:bookmarkEnd w:id="369"/>
      <w:bookmarkEnd w:id="370"/>
      <w:bookmarkEnd w:id="371"/>
      <w:bookmarkEnd w:id="372"/>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突发环境事件发生后，根据有关规定，由生态环境部门牵头，可会同监察机关及相关部门，组织开展事件调查处理及责任追究工作，查明事件原因和性质，提出整改防范措施和处理建议。</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政府负责组织一般突发环境事件的调查处理；配合市级部门组织的较大突发环境事件的调查处理；配合国家生态环境部开展重大、特别重大突发环境事件的调查处理。调查工作机构可根据需要聘请有关专家参与。</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73" w:name="_Toc29999"/>
      <w:bookmarkStart w:id="374" w:name="_Toc18236"/>
      <w:bookmarkStart w:id="375" w:name="_Toc1947"/>
      <w:bookmarkStart w:id="376" w:name="_Toc15158"/>
      <w:r>
        <w:rPr>
          <w:rFonts w:hint="eastAsia" w:ascii="楷体_GB2312" w:hAnsi="楷体_GB2312" w:eastAsia="楷体_GB2312" w:cs="楷体_GB2312"/>
          <w:bCs/>
          <w:kern w:val="0"/>
          <w:sz w:val="32"/>
          <w:szCs w:val="32"/>
          <w:highlight w:val="none"/>
          <w:lang w:val="en-US" w:eastAsia="zh-CN"/>
        </w:rPr>
        <w:t>5.4 总结评估</w:t>
      </w:r>
      <w:bookmarkEnd w:id="373"/>
      <w:bookmarkEnd w:id="374"/>
      <w:bookmarkEnd w:id="375"/>
      <w:bookmarkEnd w:id="376"/>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一般突发环境事件应急处置结束后，由区生态环境部门牵头组织开展应对工作总结评估，总结评估报告报市环境应急协调小组。</w:t>
      </w:r>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评估报告内容包括：突发环境事件等级、发生的原因、过程，对事前、事发、事中、事后全过程应对工作进行全面客观的分析和评估，针对存在的问题总结经验教训，提出改进建议等。</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77" w:name="_Toc24734"/>
      <w:bookmarkStart w:id="378" w:name="_Toc25904"/>
      <w:bookmarkStart w:id="379" w:name="_Toc6193"/>
      <w:bookmarkStart w:id="380" w:name="_Toc30796"/>
      <w:r>
        <w:rPr>
          <w:rFonts w:hint="eastAsia" w:ascii="楷体_GB2312" w:hAnsi="楷体_GB2312" w:eastAsia="楷体_GB2312" w:cs="楷体_GB2312"/>
          <w:bCs/>
          <w:kern w:val="0"/>
          <w:sz w:val="32"/>
          <w:szCs w:val="32"/>
          <w:highlight w:val="none"/>
          <w:lang w:val="en-US" w:eastAsia="zh-CN"/>
        </w:rPr>
        <w:t>5.5 奖励处罚</w:t>
      </w:r>
      <w:bookmarkEnd w:id="377"/>
      <w:bookmarkEnd w:id="378"/>
      <w:bookmarkEnd w:id="379"/>
      <w:bookmarkEnd w:id="380"/>
    </w:p>
    <w:p>
      <w:pPr>
        <w:topLinePunct/>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委、区政府根据有关规定，对突发环境事件处置成绩突出的组织和个人，按照有关规定予以表彰或奖励；对玩忽职守、保障不力，给国家和人民群众生命财产造成损失的单位和个人，依照有关法律法规实行责任追究，构成犯罪的，依法追究刑事责任。</w:t>
      </w:r>
      <w:bookmarkStart w:id="381" w:name="_Toc12074"/>
      <w:bookmarkStart w:id="382" w:name="_Toc13323"/>
      <w:bookmarkStart w:id="383" w:name="_Toc6209"/>
      <w:bookmarkStart w:id="384" w:name="_Toc5670"/>
      <w:bookmarkStart w:id="385" w:name="_Toc10097"/>
      <w:bookmarkStart w:id="386" w:name="_Toc30417"/>
      <w:bookmarkStart w:id="387" w:name="_Toc330179116"/>
      <w:bookmarkStart w:id="388" w:name="_Toc27624"/>
      <w:bookmarkStart w:id="389" w:name="_Toc116767822"/>
      <w:bookmarkStart w:id="390" w:name="_Toc21429"/>
      <w:bookmarkStart w:id="391" w:name="_Toc13396"/>
      <w:bookmarkStart w:id="392" w:name="_Toc23056"/>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393" w:name="_Toc5902"/>
      <w:r>
        <w:rPr>
          <w:rFonts w:hint="eastAsia" w:ascii="黑体" w:hAnsi="黑体" w:eastAsia="黑体" w:cs="黑体"/>
          <w:b/>
          <w:bCs/>
          <w:color w:val="auto"/>
          <w:sz w:val="32"/>
          <w:szCs w:val="44"/>
          <w:highlight w:val="none"/>
        </w:rPr>
        <w:t>6 应急保障</w:t>
      </w:r>
      <w:bookmarkEnd w:id="381"/>
      <w:bookmarkEnd w:id="382"/>
      <w:bookmarkEnd w:id="383"/>
      <w:bookmarkEnd w:id="384"/>
      <w:bookmarkEnd w:id="385"/>
      <w:bookmarkEnd w:id="386"/>
      <w:bookmarkEnd w:id="387"/>
      <w:bookmarkEnd w:id="388"/>
      <w:bookmarkEnd w:id="389"/>
      <w:bookmarkEnd w:id="390"/>
      <w:bookmarkEnd w:id="391"/>
      <w:bookmarkEnd w:id="392"/>
      <w:bookmarkEnd w:id="393"/>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394" w:name="_Toc2239"/>
      <w:bookmarkStart w:id="395" w:name="_Toc6628"/>
      <w:bookmarkStart w:id="396" w:name="_Toc222658764"/>
      <w:bookmarkStart w:id="397" w:name="_Toc474"/>
      <w:bookmarkStart w:id="398" w:name="_Toc27985"/>
      <w:bookmarkStart w:id="399" w:name="_Toc26442"/>
      <w:bookmarkStart w:id="400" w:name="_Toc31749"/>
      <w:bookmarkStart w:id="401" w:name="_Toc1864214643"/>
      <w:bookmarkStart w:id="402" w:name="_Toc7980"/>
      <w:bookmarkStart w:id="403" w:name="_Toc26663"/>
      <w:bookmarkStart w:id="404" w:name="_Toc7673"/>
      <w:bookmarkStart w:id="405" w:name="_Toc29617"/>
      <w:bookmarkStart w:id="406" w:name="_Toc25406"/>
      <w:r>
        <w:rPr>
          <w:rFonts w:hint="eastAsia" w:ascii="楷体_GB2312" w:hAnsi="楷体_GB2312" w:eastAsia="楷体_GB2312" w:cs="楷体_GB2312"/>
          <w:bCs/>
          <w:kern w:val="0"/>
          <w:sz w:val="32"/>
          <w:szCs w:val="32"/>
          <w:highlight w:val="none"/>
          <w:lang w:val="en-US" w:eastAsia="zh-CN"/>
        </w:rPr>
        <w:t xml:space="preserve">6.1 </w:t>
      </w:r>
      <w:bookmarkEnd w:id="394"/>
      <w:bookmarkEnd w:id="395"/>
      <w:bookmarkEnd w:id="396"/>
      <w:bookmarkEnd w:id="397"/>
      <w:bookmarkEnd w:id="398"/>
      <w:bookmarkEnd w:id="399"/>
      <w:bookmarkEnd w:id="400"/>
      <w:bookmarkEnd w:id="401"/>
      <w:bookmarkEnd w:id="402"/>
      <w:r>
        <w:rPr>
          <w:rFonts w:hint="eastAsia" w:ascii="楷体_GB2312" w:hAnsi="楷体_GB2312" w:eastAsia="楷体_GB2312" w:cs="楷体_GB2312"/>
          <w:bCs/>
          <w:kern w:val="0"/>
          <w:sz w:val="32"/>
          <w:szCs w:val="32"/>
          <w:highlight w:val="none"/>
          <w:lang w:val="en-US" w:eastAsia="zh-CN"/>
        </w:rPr>
        <w:t>队伍保障</w:t>
      </w:r>
      <w:bookmarkEnd w:id="403"/>
      <w:bookmarkEnd w:id="404"/>
      <w:bookmarkEnd w:id="405"/>
      <w:bookmarkEnd w:id="406"/>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结合本区突发环境事件的特点，应依托大型企业及社会第三方力量，组建环境应急处置救援队伍。加强对应急救援队伍的管理，规范调动程序和常规管理内容，提高突发环境事件快速响应及应急处置能力。加强环境应急专家管理，发挥环境应急专家组作用，为突发环境事件应急处置方案制定、污染损害评估和调查处理工作提供决策建议。</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07" w:name="_Toc10556"/>
      <w:bookmarkStart w:id="408" w:name="_Toc10945"/>
      <w:bookmarkStart w:id="409" w:name="_Toc7787"/>
      <w:bookmarkStart w:id="410" w:name="_Toc8823"/>
      <w:r>
        <w:rPr>
          <w:rFonts w:hint="eastAsia" w:ascii="楷体_GB2312" w:hAnsi="楷体_GB2312" w:eastAsia="楷体_GB2312" w:cs="楷体_GB2312"/>
          <w:bCs/>
          <w:kern w:val="0"/>
          <w:sz w:val="32"/>
          <w:szCs w:val="32"/>
          <w:highlight w:val="none"/>
          <w:lang w:val="en-US" w:eastAsia="zh-CN"/>
        </w:rPr>
        <w:t>6.2 技术保障</w:t>
      </w:r>
      <w:bookmarkEnd w:id="407"/>
      <w:bookmarkEnd w:id="408"/>
      <w:bookmarkEnd w:id="409"/>
      <w:bookmarkEnd w:id="410"/>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区</w:t>
      </w:r>
      <w:r>
        <w:rPr>
          <w:rFonts w:hint="eastAsia" w:ascii="仿宋_GB2312" w:hAnsi="仿宋_GB2312" w:eastAsia="仿宋_GB2312" w:cs="仿宋_GB2312"/>
          <w:b w:val="0"/>
          <w:bCs w:val="0"/>
          <w:snapToGrid w:val="0"/>
          <w:color w:val="000000"/>
          <w:sz w:val="32"/>
          <w:szCs w:val="32"/>
          <w:highlight w:val="none"/>
          <w:lang w:val="en-US" w:eastAsia="zh-CN" w:bidi="ar-SA"/>
        </w:rPr>
        <w:t>生态环境</w:t>
      </w:r>
      <w:r>
        <w:rPr>
          <w:rFonts w:hint="eastAsia" w:ascii="仿宋_GB2312" w:hAnsi="仿宋_GB2312" w:cs="仿宋_GB2312"/>
          <w:b w:val="0"/>
          <w:bCs w:val="0"/>
          <w:snapToGrid w:val="0"/>
          <w:color w:val="000000"/>
          <w:sz w:val="32"/>
          <w:szCs w:val="32"/>
          <w:highlight w:val="none"/>
          <w:lang w:val="en-US" w:eastAsia="zh-CN" w:bidi="ar-SA"/>
        </w:rPr>
        <w:t>局</w:t>
      </w:r>
      <w:r>
        <w:rPr>
          <w:rFonts w:hint="eastAsia" w:ascii="仿宋_GB2312" w:hAnsi="仿宋_GB2312" w:eastAsia="仿宋_GB2312" w:cs="仿宋_GB2312"/>
          <w:b w:val="0"/>
          <w:bCs w:val="0"/>
          <w:snapToGrid w:val="0"/>
          <w:color w:val="000000"/>
          <w:sz w:val="32"/>
          <w:szCs w:val="32"/>
          <w:highlight w:val="none"/>
          <w:lang w:val="en-US" w:eastAsia="zh-CN" w:bidi="ar-SA"/>
        </w:rPr>
        <w:t>加强突发环境事件风险防控与应急处置的技术研究。完善应急指挥系统建设，实现现场信息获取、污染态势研判、应急资源调配、多方视频会商等功能。加强监测能力规划、建设与评估等。建立突发环境事件应急专家信息库，强化人才保障。</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11" w:name="_Toc10725"/>
      <w:bookmarkStart w:id="412" w:name="_Toc32709"/>
      <w:bookmarkStart w:id="413" w:name="_Toc16162"/>
      <w:bookmarkStart w:id="414" w:name="_Toc32541"/>
      <w:r>
        <w:rPr>
          <w:rFonts w:hint="eastAsia" w:ascii="楷体_GB2312" w:hAnsi="楷体_GB2312" w:eastAsia="楷体_GB2312" w:cs="楷体_GB2312"/>
          <w:bCs/>
          <w:kern w:val="0"/>
          <w:sz w:val="32"/>
          <w:szCs w:val="32"/>
          <w:highlight w:val="none"/>
          <w:lang w:val="en-US" w:eastAsia="zh-CN"/>
        </w:rPr>
        <w:t>6.3 通信、交通与运输保障</w:t>
      </w:r>
      <w:bookmarkEnd w:id="411"/>
      <w:bookmarkEnd w:id="412"/>
      <w:bookmarkEnd w:id="413"/>
      <w:bookmarkEnd w:id="414"/>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政府相关部门要和市通信部门建立健全突发环境事件应急通信保障体系，确保应急期间通信联络和信息传递需要；和市级、相邻区交通运输部门加强与公路、铁路、航空等部门的沟通联系，保障应急响应所需人员、物资、装备、器材等的运输。和市级公安部门加强应急交通管理，保障运送伤病员、应急救援人员、物资、装备、器材车辆的优先通行。</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15" w:name="_Toc17054"/>
      <w:bookmarkStart w:id="416" w:name="_Toc23391"/>
      <w:bookmarkStart w:id="417" w:name="_Toc15316"/>
      <w:bookmarkStart w:id="418" w:name="_Toc21519"/>
      <w:r>
        <w:rPr>
          <w:rFonts w:hint="eastAsia" w:ascii="楷体_GB2312" w:hAnsi="楷体_GB2312" w:eastAsia="楷体_GB2312" w:cs="楷体_GB2312"/>
          <w:bCs/>
          <w:kern w:val="0"/>
          <w:sz w:val="32"/>
          <w:szCs w:val="32"/>
          <w:highlight w:val="none"/>
          <w:lang w:val="en-US" w:eastAsia="zh-CN"/>
        </w:rPr>
        <w:t>6.4 装备物资保障</w:t>
      </w:r>
      <w:bookmarkEnd w:id="415"/>
      <w:bookmarkEnd w:id="416"/>
      <w:bookmarkEnd w:id="417"/>
      <w:bookmarkEnd w:id="418"/>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生态环境局要推动建立与大兴区环境风险特点相适应的环境应急物资储备体系，建立政府储备、企业等社会机构代储、物资生产企业保障等多形式储备共享体系。完善物资信息动态化管理，满足事件应对所需物资储备、生产信息查询及物资调用需求。区相关部门要结合实际加强应急指挥、应急交通、应急防护、应急监测、污染研判、应急处置等类型装备配备。</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19" w:name="_Toc27486"/>
      <w:bookmarkStart w:id="420" w:name="_Toc9901"/>
      <w:bookmarkStart w:id="421" w:name="_Toc7396"/>
      <w:bookmarkStart w:id="422" w:name="_Toc25682"/>
      <w:r>
        <w:rPr>
          <w:rFonts w:hint="eastAsia" w:ascii="楷体_GB2312" w:hAnsi="楷体_GB2312" w:eastAsia="楷体_GB2312" w:cs="楷体_GB2312"/>
          <w:bCs/>
          <w:kern w:val="0"/>
          <w:sz w:val="32"/>
          <w:szCs w:val="32"/>
          <w:highlight w:val="none"/>
          <w:lang w:val="en-US" w:eastAsia="zh-CN"/>
        </w:rPr>
        <w:t>6.5 资金保障</w:t>
      </w:r>
      <w:bookmarkEnd w:id="419"/>
      <w:bookmarkEnd w:id="420"/>
      <w:bookmarkEnd w:id="421"/>
      <w:bookmarkEnd w:id="422"/>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突发环境事件应急处置所需经费由事件责任单位承担。区级相关主管部门应当在年度部门预算中申请突发环境事件的应急处置经费、应急培训经费和应急演练经费。当部门预算经费不能满足需要时，由财政部门通过调整部门预算、按照有关规定安排动用政府预备费等渠道筹措资金。</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23" w:name="_Toc25964"/>
      <w:bookmarkStart w:id="424" w:name="_Toc17431"/>
      <w:bookmarkStart w:id="425" w:name="_Toc28862"/>
      <w:bookmarkStart w:id="426" w:name="_Toc17799"/>
      <w:r>
        <w:rPr>
          <w:rFonts w:hint="eastAsia" w:ascii="楷体_GB2312" w:hAnsi="楷体_GB2312" w:eastAsia="楷体_GB2312" w:cs="楷体_GB2312"/>
          <w:bCs/>
          <w:kern w:val="0"/>
          <w:sz w:val="32"/>
          <w:szCs w:val="32"/>
          <w:highlight w:val="none"/>
          <w:lang w:val="en-US" w:eastAsia="zh-CN"/>
        </w:rPr>
        <w:t>6.6 机制保障</w:t>
      </w:r>
      <w:bookmarkEnd w:id="423"/>
      <w:bookmarkEnd w:id="424"/>
      <w:bookmarkEnd w:id="425"/>
      <w:bookmarkEnd w:id="426"/>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相关部门应根据区域或流域环境风险防范需要，加强与相近、相邻区域生态环境部门的互动，健全风险防范和应急联动机制；根据突发环境事件类型的不同，生态环境、交通、应急、消防、水务、公安、规自等部门要加强沟通协作，建立信息通报、联合应对、共训共练、资源共享的应急联动机制，稳妥处置各类事件。</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27" w:name="_Toc1402"/>
      <w:bookmarkStart w:id="428" w:name="_Toc29485"/>
      <w:bookmarkStart w:id="429" w:name="_Toc4025"/>
      <w:bookmarkStart w:id="430" w:name="_Toc5200"/>
      <w:r>
        <w:rPr>
          <w:rFonts w:hint="eastAsia" w:ascii="楷体_GB2312" w:hAnsi="楷体_GB2312" w:eastAsia="楷体_GB2312" w:cs="楷体_GB2312"/>
          <w:bCs/>
          <w:kern w:val="0"/>
          <w:sz w:val="32"/>
          <w:szCs w:val="32"/>
          <w:highlight w:val="none"/>
          <w:lang w:val="en-US" w:eastAsia="zh-CN"/>
        </w:rPr>
        <w:t>6.7 应急值守</w:t>
      </w:r>
      <w:bookmarkEnd w:id="427"/>
      <w:bookmarkEnd w:id="428"/>
      <w:bookmarkEnd w:id="429"/>
      <w:bookmarkEnd w:id="430"/>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区环境应急协调小组成员单位</w:t>
      </w:r>
      <w:r>
        <w:rPr>
          <w:rFonts w:hint="eastAsia" w:ascii="仿宋_GB2312" w:hAnsi="仿宋_GB2312" w:cs="仿宋_GB2312"/>
          <w:b w:val="0"/>
          <w:bCs w:val="0"/>
          <w:snapToGrid w:val="0"/>
          <w:color w:val="000000"/>
          <w:sz w:val="32"/>
          <w:szCs w:val="32"/>
          <w:highlight w:val="none"/>
          <w:lang w:val="en-US" w:eastAsia="zh-CN" w:bidi="ar-SA"/>
        </w:rPr>
        <w:t>、</w:t>
      </w:r>
      <w:r>
        <w:rPr>
          <w:rFonts w:hint="eastAsia" w:ascii="仿宋_GB2312" w:hAnsi="仿宋_GB2312" w:eastAsia="仿宋_GB2312" w:cs="仿宋_GB2312"/>
          <w:b w:val="0"/>
          <w:bCs w:val="0"/>
          <w:snapToGrid w:val="0"/>
          <w:color w:val="000000"/>
          <w:sz w:val="32"/>
          <w:szCs w:val="32"/>
          <w:highlight w:val="none"/>
          <w:lang w:val="en-US" w:eastAsia="zh-CN" w:bidi="ar-SA"/>
        </w:rPr>
        <w:t>镇政府（街道办事处、功能区管委会）完善日常值班与值守应急相结合的接报、出警机制，并严格组织实施。充分做好值守状态时的人员、设备、车辆、通讯、资料及后勤等准备工作，做到常态管理与非常态管理的全面、有效衔接，确保发生突发环境事件时现场处置工作顺利实施。</w:t>
      </w:r>
      <w:bookmarkStart w:id="431" w:name="_Toc9445"/>
      <w:bookmarkStart w:id="432" w:name="_Toc7012"/>
      <w:bookmarkStart w:id="433" w:name="_Toc19327"/>
      <w:bookmarkStart w:id="434" w:name="_Toc28701"/>
      <w:bookmarkStart w:id="435" w:name="_Toc22050"/>
      <w:bookmarkStart w:id="436" w:name="_Toc14023"/>
      <w:bookmarkStart w:id="437" w:name="_Toc23700"/>
      <w:bookmarkStart w:id="438" w:name="_Toc18323"/>
      <w:bookmarkStart w:id="439" w:name="_Toc21438"/>
      <w:bookmarkStart w:id="440" w:name="_Toc19323"/>
      <w:bookmarkStart w:id="441" w:name="_Toc1722215939"/>
      <w:bookmarkStart w:id="442" w:name="_Toc1677420626"/>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rPr>
      </w:pPr>
      <w:bookmarkStart w:id="443" w:name="_Toc21596"/>
      <w:r>
        <w:rPr>
          <w:rFonts w:hint="eastAsia" w:ascii="黑体" w:hAnsi="黑体" w:eastAsia="黑体" w:cs="黑体"/>
          <w:b/>
          <w:bCs/>
          <w:color w:val="auto"/>
          <w:sz w:val="32"/>
          <w:szCs w:val="44"/>
          <w:highlight w:val="none"/>
        </w:rPr>
        <w:t xml:space="preserve">7 </w:t>
      </w:r>
      <w:bookmarkEnd w:id="431"/>
      <w:bookmarkEnd w:id="432"/>
      <w:bookmarkEnd w:id="433"/>
      <w:r>
        <w:rPr>
          <w:rFonts w:hint="eastAsia" w:ascii="黑体" w:hAnsi="黑体" w:eastAsia="黑体" w:cs="黑体"/>
          <w:b/>
          <w:bCs/>
          <w:color w:val="auto"/>
          <w:sz w:val="32"/>
          <w:szCs w:val="44"/>
          <w:highlight w:val="none"/>
        </w:rPr>
        <w:t>预案管理</w:t>
      </w:r>
      <w:bookmarkEnd w:id="434"/>
      <w:bookmarkEnd w:id="435"/>
      <w:bookmarkEnd w:id="436"/>
      <w:bookmarkEnd w:id="437"/>
      <w:bookmarkEnd w:id="438"/>
      <w:bookmarkEnd w:id="439"/>
      <w:bookmarkEnd w:id="440"/>
      <w:bookmarkEnd w:id="441"/>
      <w:bookmarkEnd w:id="442"/>
      <w:bookmarkEnd w:id="443"/>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44" w:name="_Toc2093"/>
      <w:bookmarkStart w:id="445" w:name="_Toc12489"/>
      <w:bookmarkStart w:id="446" w:name="_Toc3336"/>
      <w:bookmarkStart w:id="447" w:name="_Toc6952"/>
      <w:bookmarkStart w:id="448" w:name="_Toc19336"/>
      <w:bookmarkStart w:id="449" w:name="_Toc22249"/>
      <w:bookmarkStart w:id="450" w:name="_Toc1498692507"/>
      <w:bookmarkStart w:id="451" w:name="_Toc15885"/>
      <w:bookmarkStart w:id="452" w:name="_Toc24365"/>
      <w:bookmarkStart w:id="453" w:name="_Toc243143366"/>
      <w:r>
        <w:rPr>
          <w:rFonts w:hint="eastAsia" w:ascii="楷体_GB2312" w:hAnsi="楷体_GB2312" w:eastAsia="楷体_GB2312" w:cs="楷体_GB2312"/>
          <w:bCs/>
          <w:kern w:val="0"/>
          <w:sz w:val="32"/>
          <w:szCs w:val="32"/>
          <w:highlight w:val="none"/>
          <w:lang w:val="en-US" w:eastAsia="zh-CN"/>
        </w:rPr>
        <w:t>7.1 制订与备案</w:t>
      </w:r>
      <w:bookmarkEnd w:id="444"/>
      <w:bookmarkEnd w:id="445"/>
      <w:bookmarkEnd w:id="446"/>
      <w:bookmarkEnd w:id="447"/>
      <w:bookmarkEnd w:id="448"/>
      <w:bookmarkEnd w:id="449"/>
      <w:bookmarkEnd w:id="450"/>
      <w:bookmarkEnd w:id="451"/>
      <w:bookmarkEnd w:id="452"/>
      <w:bookmarkEnd w:id="453"/>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制修订应急预案应在风险评估与应急资源调查的基础上进行，鼓励采用典型情景构建的方式模拟突发环境事件场景，分析应对流程和任务清单，评估资源能力需求，规范应对措施的针对性、有效性。</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各成员单位要以本预案为依据，根据各自职责制定相关部门预案，并向</w:t>
      </w:r>
      <w:r>
        <w:rPr>
          <w:rFonts w:hint="eastAsia" w:ascii="仿宋_GB2312" w:hAnsi="仿宋_GB2312" w:cs="仿宋_GB2312"/>
          <w:b w:val="0"/>
          <w:bCs w:val="0"/>
          <w:snapToGrid w:val="0"/>
          <w:color w:val="000000"/>
          <w:sz w:val="32"/>
          <w:szCs w:val="32"/>
          <w:highlight w:val="none"/>
          <w:lang w:val="en-US" w:eastAsia="zh-CN" w:bidi="ar-SA"/>
        </w:rPr>
        <w:t>区突发环境事件应急工作协调小组</w:t>
      </w:r>
      <w:r>
        <w:rPr>
          <w:rFonts w:hint="eastAsia" w:ascii="仿宋_GB2312" w:hAnsi="仿宋_GB2312" w:eastAsia="仿宋_GB2312" w:cs="仿宋_GB2312"/>
          <w:b w:val="0"/>
          <w:bCs w:val="0"/>
          <w:snapToGrid w:val="0"/>
          <w:color w:val="000000"/>
          <w:sz w:val="32"/>
          <w:szCs w:val="32"/>
          <w:highlight w:val="none"/>
          <w:lang w:val="en-US" w:eastAsia="zh-CN" w:bidi="ar-SA"/>
        </w:rPr>
        <w:t>备案。各相关企业事业单位按程序向区生态环境局备案本单位突发环境事件应急预案，备案企业有关信息应向镇政府（街道办事处、功能区管委会）进行信息共享。</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应急预案编制单位应建立定期评估制度，分析评价应急预案的针对性、实用性和可操作性。当有关法律、法规、规章或上位预案相关规定发生重大变化，应急机构及职责发生重大调整，主要风险或应急资源发生重大变化，应急处置和应急演练中发现问题或出现的新情况时，及时对预案进行修订。</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54" w:name="_Toc21917"/>
      <w:bookmarkStart w:id="455" w:name="_Toc17341"/>
      <w:bookmarkStart w:id="456" w:name="_Toc19626"/>
      <w:bookmarkStart w:id="457" w:name="_Toc7854"/>
      <w:r>
        <w:rPr>
          <w:rFonts w:hint="eastAsia" w:ascii="楷体_GB2312" w:hAnsi="楷体_GB2312" w:eastAsia="楷体_GB2312" w:cs="楷体_GB2312"/>
          <w:bCs/>
          <w:kern w:val="0"/>
          <w:sz w:val="32"/>
          <w:szCs w:val="32"/>
          <w:highlight w:val="none"/>
          <w:lang w:val="en-US" w:eastAsia="zh-CN"/>
        </w:rPr>
        <w:t>7.2 应急演练</w:t>
      </w:r>
      <w:bookmarkEnd w:id="454"/>
      <w:bookmarkEnd w:id="455"/>
      <w:bookmarkEnd w:id="456"/>
      <w:bookmarkEnd w:id="457"/>
    </w:p>
    <w:p>
      <w:pPr>
        <w:pStyle w:val="2"/>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区环境应急协调小组、相关部门和有关单位负责</w:t>
      </w:r>
      <w:r>
        <w:rPr>
          <w:rFonts w:hint="eastAsia" w:ascii="仿宋_GB2312" w:hAnsi="仿宋_GB2312" w:cs="仿宋_GB2312"/>
          <w:b w:val="0"/>
          <w:bCs w:val="0"/>
          <w:snapToGrid w:val="0"/>
          <w:color w:val="000000"/>
          <w:sz w:val="32"/>
          <w:szCs w:val="32"/>
          <w:highlight w:val="none"/>
          <w:lang w:val="en-US" w:eastAsia="zh-CN" w:bidi="ar-SA"/>
        </w:rPr>
        <w:t>本区、</w:t>
      </w:r>
      <w:r>
        <w:rPr>
          <w:rFonts w:hint="eastAsia" w:ascii="仿宋_GB2312" w:hAnsi="仿宋_GB2312" w:eastAsia="仿宋_GB2312" w:cs="仿宋_GB2312"/>
          <w:b w:val="0"/>
          <w:bCs w:val="0"/>
          <w:snapToGrid w:val="0"/>
          <w:color w:val="000000"/>
          <w:sz w:val="32"/>
          <w:szCs w:val="32"/>
          <w:highlight w:val="none"/>
          <w:lang w:val="en-US" w:eastAsia="zh-CN" w:bidi="ar-SA"/>
        </w:rPr>
        <w:t>本系统、本领域、本部门、本单位的应急演练工作，加强对镇（街道、功能区）和基层单位应急演练工作的指导，每年组织开展综合应急演练或单项应急演练；各镇政府（街道办事处、功能区管委会）负责本区域应急演练的综合管理工作，每年组织开展综合应急演练。</w:t>
      </w:r>
    </w:p>
    <w:p>
      <w:pPr>
        <w:pStyle w:val="2"/>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应急演练包括规划与计划、准备、实施、评估总结和改进五个阶段。通过应急演练，发现和解决应急工作中存在的问题，落实岗位责任，熟悉应急工作的指挥机制和决策、协调、报告、处置、保障的程序，评价应急准备状态，培训和检验应急队伍的快速反应能力，提高各部门之间协调配合和现场处置能力，检验应急预案的可行性并改进完善。</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58" w:name="_Toc24560"/>
      <w:bookmarkStart w:id="459" w:name="_Toc22390"/>
      <w:bookmarkStart w:id="460" w:name="_Toc25632"/>
      <w:bookmarkStart w:id="461" w:name="_Toc22629"/>
      <w:r>
        <w:rPr>
          <w:rFonts w:hint="eastAsia" w:ascii="楷体_GB2312" w:hAnsi="楷体_GB2312" w:eastAsia="楷体_GB2312" w:cs="楷体_GB2312"/>
          <w:bCs/>
          <w:kern w:val="0"/>
          <w:sz w:val="32"/>
          <w:szCs w:val="32"/>
          <w:highlight w:val="none"/>
          <w:lang w:val="en-US" w:eastAsia="zh-CN"/>
        </w:rPr>
        <w:t>7.3 宣传与培训</w:t>
      </w:r>
      <w:bookmarkEnd w:id="458"/>
      <w:bookmarkEnd w:id="459"/>
      <w:bookmarkEnd w:id="460"/>
      <w:bookmarkEnd w:id="461"/>
    </w:p>
    <w:p>
      <w:pPr>
        <w:topLinePunct/>
        <w:jc w:val="both"/>
        <w:rPr>
          <w:rFonts w:hint="eastAsia" w:ascii="仿宋_GB2312" w:hAnsi="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区生态环境局加强环境应急宣传教育工作；区环境应急协调小组及各成员单位</w:t>
      </w:r>
      <w:r>
        <w:rPr>
          <w:rFonts w:hint="eastAsia" w:ascii="仿宋_GB2312" w:hAnsi="仿宋_GB2312" w:cs="仿宋_GB2312"/>
          <w:b w:val="0"/>
          <w:bCs w:val="0"/>
          <w:snapToGrid w:val="0"/>
          <w:color w:val="000000"/>
          <w:sz w:val="32"/>
          <w:szCs w:val="32"/>
          <w:highlight w:val="none"/>
          <w:lang w:val="en-US" w:eastAsia="zh-CN" w:bidi="ar-SA"/>
        </w:rPr>
        <w:t>、</w:t>
      </w:r>
      <w:r>
        <w:rPr>
          <w:rFonts w:hint="eastAsia" w:ascii="仿宋_GB2312" w:hAnsi="仿宋_GB2312" w:eastAsia="仿宋_GB2312" w:cs="仿宋_GB2312"/>
          <w:b w:val="0"/>
          <w:bCs w:val="0"/>
          <w:snapToGrid w:val="0"/>
          <w:color w:val="000000"/>
          <w:sz w:val="32"/>
          <w:szCs w:val="32"/>
          <w:highlight w:val="none"/>
          <w:lang w:val="en-US" w:eastAsia="zh-CN" w:bidi="ar-SA"/>
        </w:rPr>
        <w:t>镇政府（街道办事处、功能区管委会）应组织有关部门、单位和相关人员进行突发环境事件应急培训，增强应对突发环境事件的能力</w:t>
      </w:r>
      <w:bookmarkStart w:id="462" w:name="_Toc9126"/>
      <w:bookmarkStart w:id="463" w:name="_Toc30205"/>
      <w:bookmarkStart w:id="464" w:name="_Toc1916009636"/>
      <w:bookmarkStart w:id="465" w:name="_Toc24069"/>
      <w:bookmarkStart w:id="466" w:name="_Toc4301"/>
      <w:bookmarkStart w:id="467" w:name="_Toc13032"/>
      <w:bookmarkStart w:id="468" w:name="_Toc103583754"/>
      <w:bookmarkStart w:id="469" w:name="_Toc7178"/>
      <w:bookmarkStart w:id="470" w:name="_Toc5702"/>
      <w:bookmarkStart w:id="471" w:name="_Toc145"/>
      <w:bookmarkStart w:id="472" w:name="_Toc11716"/>
      <w:bookmarkStart w:id="473" w:name="_Toc21585"/>
      <w:r>
        <w:rPr>
          <w:rFonts w:hint="eastAsia" w:ascii="仿宋_GB2312" w:hAnsi="仿宋_GB2312" w:eastAsia="仿宋_GB2312" w:cs="仿宋_GB2312"/>
          <w:b w:val="0"/>
          <w:bCs w:val="0"/>
          <w:snapToGrid w:val="0"/>
          <w:color w:val="000000"/>
          <w:sz w:val="32"/>
          <w:szCs w:val="32"/>
          <w:highlight w:val="none"/>
          <w:lang w:val="en-US" w:eastAsia="zh-CN" w:bidi="ar-SA"/>
        </w:rPr>
        <w:t>。</w:t>
      </w:r>
    </w:p>
    <w:p>
      <w:pPr>
        <w:pStyle w:val="4"/>
        <w:widowControl w:val="0"/>
        <w:topLinePunct/>
        <w:adjustRightInd/>
        <w:snapToGrid/>
        <w:spacing w:before="0"/>
        <w:ind w:left="0" w:leftChars="0" w:firstLine="562" w:firstLineChars="175"/>
        <w:jc w:val="both"/>
        <w:textAlignment w:val="auto"/>
        <w:rPr>
          <w:rFonts w:hint="eastAsia" w:ascii="黑体" w:hAnsi="黑体" w:eastAsia="黑体" w:cs="黑体"/>
          <w:b/>
          <w:bCs/>
          <w:color w:val="auto"/>
          <w:sz w:val="32"/>
          <w:szCs w:val="44"/>
          <w:highlight w:val="none"/>
          <w:lang w:val="en-US" w:eastAsia="zh-CN"/>
        </w:rPr>
      </w:pPr>
      <w:bookmarkStart w:id="474" w:name="_Toc8383"/>
      <w:r>
        <w:rPr>
          <w:rFonts w:hint="eastAsia" w:ascii="黑体" w:hAnsi="黑体" w:eastAsia="黑体" w:cs="黑体"/>
          <w:b/>
          <w:bCs/>
          <w:color w:val="auto"/>
          <w:sz w:val="32"/>
          <w:szCs w:val="44"/>
          <w:highlight w:val="none"/>
          <w:lang w:val="en-US" w:eastAsia="zh-CN"/>
        </w:rPr>
        <w:t>8 附则</w:t>
      </w:r>
      <w:bookmarkEnd w:id="462"/>
      <w:bookmarkEnd w:id="463"/>
      <w:bookmarkEnd w:id="464"/>
      <w:bookmarkEnd w:id="465"/>
      <w:bookmarkEnd w:id="466"/>
      <w:bookmarkEnd w:id="467"/>
      <w:bookmarkEnd w:id="468"/>
      <w:bookmarkEnd w:id="469"/>
      <w:bookmarkEnd w:id="470"/>
      <w:r>
        <w:rPr>
          <w:rFonts w:hint="eastAsia" w:ascii="黑体" w:hAnsi="黑体" w:eastAsia="黑体" w:cs="黑体"/>
          <w:b/>
          <w:bCs/>
          <w:color w:val="auto"/>
          <w:sz w:val="32"/>
          <w:szCs w:val="44"/>
          <w:highlight w:val="none"/>
          <w:lang w:val="en-US" w:eastAsia="zh-CN"/>
        </w:rPr>
        <w:t>与附件</w:t>
      </w:r>
      <w:bookmarkEnd w:id="471"/>
      <w:bookmarkEnd w:id="472"/>
      <w:bookmarkEnd w:id="473"/>
      <w:bookmarkEnd w:id="474"/>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75" w:name="_Toc7527"/>
      <w:bookmarkStart w:id="476" w:name="_Toc28586"/>
      <w:bookmarkStart w:id="477" w:name="_Toc23112"/>
      <w:bookmarkStart w:id="478" w:name="_Toc1470399408"/>
      <w:bookmarkStart w:id="479" w:name="_Toc10440"/>
      <w:bookmarkStart w:id="480" w:name="_Toc10643"/>
      <w:bookmarkStart w:id="481" w:name="_Toc856665487"/>
      <w:bookmarkStart w:id="482" w:name="_Toc18703"/>
      <w:bookmarkStart w:id="483" w:name="_Toc15623"/>
      <w:bookmarkStart w:id="484" w:name="_Toc18650"/>
      <w:bookmarkStart w:id="485" w:name="_Toc3954"/>
      <w:bookmarkStart w:id="486" w:name="_Toc28286"/>
      <w:bookmarkStart w:id="487" w:name="_Toc19005"/>
      <w:r>
        <w:rPr>
          <w:rFonts w:hint="eastAsia" w:ascii="楷体_GB2312" w:hAnsi="楷体_GB2312" w:eastAsia="楷体_GB2312" w:cs="楷体_GB2312"/>
          <w:bCs/>
          <w:kern w:val="0"/>
          <w:sz w:val="32"/>
          <w:szCs w:val="32"/>
          <w:highlight w:val="none"/>
          <w:lang w:val="en-US" w:eastAsia="zh-CN"/>
        </w:rPr>
        <w:t>8.1 名词术语</w:t>
      </w:r>
      <w:bookmarkEnd w:id="475"/>
      <w:bookmarkEnd w:id="476"/>
      <w:bookmarkEnd w:id="477"/>
      <w:bookmarkEnd w:id="478"/>
      <w:bookmarkEnd w:id="479"/>
      <w:bookmarkEnd w:id="480"/>
      <w:bookmarkEnd w:id="481"/>
      <w:bookmarkEnd w:id="482"/>
      <w:bookmarkEnd w:id="483"/>
      <w:bookmarkEnd w:id="484"/>
      <w:bookmarkEnd w:id="485"/>
      <w:bookmarkEnd w:id="486"/>
      <w:bookmarkEnd w:id="487"/>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（1）原生事件：最先发生并在蔓延或演化过程中引发其他事件的事件。本预案中由交通事故、生产安全事故以及其他类型事件造成次生突发环境事件的，将交通事故、生产安全事故等统称为原生事件。</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（2）环境应急：指为避免突发环境事件的发生或减轻突发环境事件的后果，所进行的预防与应急准备、监测与预警、应急处置与救援、事后恢复与重建等应对行动。</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（3）应急监测：突发环境事件发生后至应急响应终止前，对污染物、污染物浓度、污染范围及其动态变化进行的监测。</w:t>
      </w:r>
    </w:p>
    <w:p>
      <w:pPr>
        <w:widowControl w:val="0"/>
        <w:wordWrap/>
        <w:adjustRightInd/>
        <w:snapToGrid/>
        <w:spacing w:after="157" w:afterLines="50" w:line="560" w:lineRule="exact"/>
        <w:ind w:firstLine="640" w:firstLineChars="200"/>
        <w:jc w:val="both"/>
        <w:textAlignment w:val="auto"/>
        <w:outlineLvl w:val="1"/>
        <w:rPr>
          <w:rFonts w:hint="eastAsia" w:ascii="楷体_GB2312" w:hAnsi="楷体_GB2312" w:eastAsia="楷体_GB2312" w:cs="楷体_GB2312"/>
          <w:bCs/>
          <w:kern w:val="0"/>
          <w:sz w:val="32"/>
          <w:szCs w:val="32"/>
          <w:highlight w:val="none"/>
          <w:lang w:val="en-US" w:eastAsia="zh-CN"/>
        </w:rPr>
      </w:pPr>
      <w:bookmarkStart w:id="488" w:name="_Toc1246470521"/>
      <w:bookmarkStart w:id="489" w:name="_Toc18028"/>
      <w:bookmarkStart w:id="490" w:name="_Toc7414"/>
      <w:bookmarkStart w:id="491" w:name="_Toc31192"/>
      <w:bookmarkStart w:id="492" w:name="_Toc5987"/>
      <w:bookmarkStart w:id="493" w:name="_Toc16180"/>
      <w:bookmarkStart w:id="494" w:name="_Toc11993"/>
      <w:bookmarkStart w:id="495" w:name="_Toc17840"/>
      <w:bookmarkStart w:id="496" w:name="_Toc1908524227"/>
      <w:bookmarkStart w:id="497" w:name="_Toc13867"/>
      <w:bookmarkStart w:id="498" w:name="_Toc18246"/>
      <w:bookmarkStart w:id="499" w:name="_Toc3634"/>
      <w:bookmarkStart w:id="500" w:name="_Toc26086"/>
      <w:r>
        <w:rPr>
          <w:rFonts w:hint="eastAsia" w:ascii="楷体_GB2312" w:hAnsi="楷体_GB2312" w:eastAsia="楷体_GB2312" w:cs="楷体_GB2312"/>
          <w:bCs/>
          <w:kern w:val="0"/>
          <w:sz w:val="32"/>
          <w:szCs w:val="32"/>
          <w:highlight w:val="none"/>
          <w:lang w:val="en-US" w:eastAsia="zh-CN"/>
        </w:rPr>
        <w:t xml:space="preserve">8.2 </w:t>
      </w:r>
      <w:bookmarkEnd w:id="488"/>
      <w:bookmarkEnd w:id="489"/>
      <w:bookmarkEnd w:id="490"/>
      <w:bookmarkEnd w:id="491"/>
      <w:bookmarkEnd w:id="492"/>
      <w:bookmarkEnd w:id="493"/>
      <w:bookmarkEnd w:id="494"/>
      <w:bookmarkEnd w:id="495"/>
      <w:bookmarkEnd w:id="496"/>
      <w:r>
        <w:rPr>
          <w:rFonts w:hint="eastAsia" w:ascii="楷体_GB2312" w:hAnsi="楷体_GB2312" w:eastAsia="楷体_GB2312" w:cs="楷体_GB2312"/>
          <w:bCs/>
          <w:kern w:val="0"/>
          <w:sz w:val="32"/>
          <w:szCs w:val="32"/>
          <w:highlight w:val="none"/>
          <w:lang w:val="en-US" w:eastAsia="zh-CN"/>
        </w:rPr>
        <w:t>预案说明</w:t>
      </w:r>
      <w:bookmarkEnd w:id="497"/>
      <w:bookmarkEnd w:id="498"/>
      <w:bookmarkEnd w:id="499"/>
      <w:bookmarkEnd w:id="500"/>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bookmarkStart w:id="501" w:name="_bookmark58"/>
      <w:bookmarkEnd w:id="501"/>
      <w:bookmarkStart w:id="502" w:name="_bookmark57"/>
      <w:bookmarkEnd w:id="502"/>
      <w:r>
        <w:rPr>
          <w:rFonts w:hint="eastAsia" w:ascii="仿宋_GB2312" w:hAnsi="仿宋_GB2312" w:eastAsia="仿宋_GB2312" w:cs="仿宋_GB2312"/>
          <w:b w:val="0"/>
          <w:bCs w:val="0"/>
          <w:snapToGrid w:val="0"/>
          <w:color w:val="000000"/>
          <w:sz w:val="32"/>
          <w:szCs w:val="32"/>
          <w:highlight w:val="none"/>
          <w:lang w:val="en-US" w:eastAsia="zh-CN" w:bidi="ar-SA"/>
        </w:rPr>
        <w:t>8.2.1 本预案由北京市大兴区人民政府负责制定，北京市大兴区生态环境局负责解释。</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8.2.2 本预案自印发之日起正式实施。原《北京市大兴区突发事件应急委员会关于印发〈北京市大兴区突发环境事件应急预案〉的通知》（京兴应急委发〔2016〕10号）同时废止。</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p>
    <w:p>
      <w:pPr>
        <w:topLinePunct/>
        <w:ind w:left="0" w:leftChars="0" w:firstLine="0" w:firstLineChars="0"/>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eastAsia="仿宋_GB2312" w:cs="仿宋_GB2312"/>
          <w:b w:val="0"/>
          <w:bCs w:val="0"/>
          <w:snapToGrid w:val="0"/>
          <w:color w:val="000000"/>
          <w:sz w:val="32"/>
          <w:szCs w:val="32"/>
          <w:highlight w:val="none"/>
          <w:lang w:val="en-US" w:eastAsia="zh-CN" w:bidi="ar-SA"/>
        </w:rPr>
        <w:t>附件：</w:t>
      </w:r>
      <w:bookmarkStart w:id="503" w:name="_Hlk98699040"/>
      <w:r>
        <w:rPr>
          <w:rFonts w:hint="eastAsia" w:ascii="仿宋_GB2312" w:hAnsi="仿宋_GB2312" w:eastAsia="仿宋_GB2312" w:cs="仿宋_GB2312"/>
          <w:b w:val="0"/>
          <w:bCs w:val="0"/>
          <w:snapToGrid w:val="0"/>
          <w:color w:val="000000"/>
          <w:sz w:val="32"/>
          <w:szCs w:val="32"/>
          <w:highlight w:val="none"/>
          <w:lang w:val="en-US" w:eastAsia="zh-CN" w:bidi="ar-SA"/>
        </w:rPr>
        <w:t>1.北京市突发环境事件分级标准</w:t>
      </w:r>
    </w:p>
    <w:bookmarkEnd w:id="503"/>
    <w:p>
      <w:pPr>
        <w:topLinePunct/>
        <w:ind w:firstLine="960" w:firstLineChars="300"/>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2.北京市大兴区突发环境事件应急预案体系名录</w:t>
      </w:r>
    </w:p>
    <w:p>
      <w:pPr>
        <w:topLinePunct/>
        <w:ind w:firstLine="960" w:firstLineChars="300"/>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3</w:t>
      </w:r>
      <w:r>
        <w:rPr>
          <w:rFonts w:hint="eastAsia" w:ascii="仿宋_GB2312" w:hAnsi="仿宋_GB2312" w:eastAsia="仿宋_GB2312" w:cs="仿宋_GB2312"/>
          <w:b w:val="0"/>
          <w:bCs w:val="0"/>
          <w:snapToGrid w:val="0"/>
          <w:color w:val="000000"/>
          <w:sz w:val="32"/>
          <w:szCs w:val="32"/>
          <w:highlight w:val="none"/>
          <w:lang w:val="en-US" w:eastAsia="zh-CN" w:bidi="ar-SA"/>
        </w:rPr>
        <w:t>.大兴区突发环境事件应急响应程序示意图</w:t>
      </w:r>
    </w:p>
    <w:p>
      <w:pPr>
        <w:topLinePunct/>
        <w:ind w:firstLine="960" w:firstLineChars="300"/>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4.</w:t>
      </w:r>
      <w:r>
        <w:rPr>
          <w:rFonts w:hint="eastAsia" w:ascii="仿宋_GB2312" w:hAnsi="仿宋_GB2312" w:eastAsia="仿宋_GB2312" w:cs="仿宋_GB2312"/>
          <w:b w:val="0"/>
          <w:bCs w:val="0"/>
          <w:snapToGrid w:val="0"/>
          <w:color w:val="000000"/>
          <w:sz w:val="32"/>
          <w:szCs w:val="32"/>
          <w:highlight w:val="none"/>
          <w:lang w:val="en-US" w:eastAsia="zh-CN" w:bidi="ar-SA"/>
        </w:rPr>
        <w:t>区环境应急协调小组成员单位通讯录</w:t>
      </w:r>
    </w:p>
    <w:p>
      <w:pPr>
        <w:topLinePunct/>
        <w:jc w:val="both"/>
        <w:rPr>
          <w:rFonts w:hint="eastAsia" w:ascii="仿宋_GB2312" w:hAnsi="仿宋_GB2312" w:eastAsia="仿宋_GB2312" w:cs="仿宋_GB2312"/>
          <w:b w:val="0"/>
          <w:bCs w:val="0"/>
          <w:snapToGrid w:val="0"/>
          <w:color w:val="000000"/>
          <w:sz w:val="32"/>
          <w:szCs w:val="32"/>
          <w:highlight w:val="none"/>
          <w:lang w:val="en-US" w:eastAsia="zh-CN" w:bidi="ar-SA"/>
        </w:rPr>
      </w:pPr>
      <w:r>
        <w:rPr>
          <w:rFonts w:hint="eastAsia" w:ascii="仿宋_GB2312" w:hAnsi="仿宋_GB2312" w:cs="仿宋_GB2312"/>
          <w:b w:val="0"/>
          <w:bCs w:val="0"/>
          <w:snapToGrid w:val="0"/>
          <w:color w:val="000000"/>
          <w:sz w:val="32"/>
          <w:szCs w:val="32"/>
          <w:highlight w:val="none"/>
          <w:lang w:val="en-US" w:eastAsia="zh-CN" w:bidi="ar-SA"/>
        </w:rPr>
        <w:t xml:space="preserve">      </w:t>
      </w:r>
    </w:p>
    <w:p>
      <w:pPr>
        <w:pStyle w:val="2"/>
        <w:rPr>
          <w:rFonts w:hint="eastAsia"/>
          <w:highlight w:val="none"/>
          <w:lang w:val="en-US" w:eastAsia="zh-CN"/>
        </w:rPr>
        <w:sectPr>
          <w:footerReference r:id="rId8" w:type="default"/>
          <w:pgSz w:w="11906" w:h="16838"/>
          <w:pgMar w:top="1440" w:right="1800" w:bottom="1440" w:left="1800" w:header="851" w:footer="992" w:gutter="0"/>
          <w:cols w:space="720" w:num="1"/>
          <w:docGrid w:type="lines" w:linePitch="312" w:charSpace="0"/>
        </w:sectPr>
      </w:pPr>
      <w:r>
        <w:rPr>
          <w:rFonts w:hint="eastAsia" w:ascii="仿宋_GB2312" w:hAnsi="仿宋_GB2312" w:cs="仿宋_GB2312"/>
          <w:b w:val="0"/>
          <w:bCs w:val="0"/>
          <w:snapToGrid w:val="0"/>
          <w:color w:val="000000"/>
          <w:sz w:val="32"/>
          <w:szCs w:val="32"/>
          <w:highlight w:val="none"/>
          <w:lang w:val="en-US" w:eastAsia="zh-CN" w:bidi="ar-SA"/>
        </w:rPr>
        <w:t xml:space="preserve">      </w:t>
      </w:r>
    </w:p>
    <w:p>
      <w:pPr>
        <w:pStyle w:val="4"/>
        <w:widowControl w:val="0"/>
        <w:topLinePunct/>
        <w:adjustRightInd/>
        <w:snapToGrid/>
        <w:spacing w:before="0"/>
        <w:ind w:firstLine="0" w:firstLineChars="0"/>
        <w:jc w:val="both"/>
        <w:textAlignment w:val="auto"/>
        <w:rPr>
          <w:rFonts w:hint="eastAsia" w:ascii="黑体" w:hAnsi="黑体" w:eastAsia="黑体" w:cs="黑体"/>
          <w:b/>
          <w:bCs/>
          <w:color w:val="auto"/>
          <w:sz w:val="32"/>
          <w:szCs w:val="44"/>
          <w:highlight w:val="none"/>
        </w:rPr>
      </w:pPr>
      <w:bookmarkStart w:id="504" w:name="_Toc17656"/>
      <w:bookmarkStart w:id="505" w:name="_Toc16105"/>
      <w:bookmarkStart w:id="506" w:name="_Toc1743"/>
      <w:bookmarkStart w:id="507" w:name="_Toc10991"/>
      <w:bookmarkStart w:id="508" w:name="_Toc14633"/>
      <w:bookmarkStart w:id="509" w:name="_Toc15900"/>
      <w:bookmarkStart w:id="510" w:name="_Toc13521"/>
      <w:bookmarkStart w:id="511" w:name="_Toc1361"/>
      <w:bookmarkStart w:id="512" w:name="_Toc22769"/>
      <w:r>
        <w:rPr>
          <w:rFonts w:hint="eastAsia" w:ascii="黑体" w:hAnsi="黑体" w:eastAsia="黑体" w:cs="黑体"/>
          <w:b/>
          <w:bCs/>
          <w:color w:val="auto"/>
          <w:sz w:val="32"/>
          <w:szCs w:val="44"/>
          <w:highlight w:val="none"/>
        </w:rPr>
        <w:t>附件1</w:t>
      </w:r>
      <w:bookmarkEnd w:id="504"/>
      <w:bookmarkEnd w:id="505"/>
      <w:bookmarkEnd w:id="506"/>
    </w:p>
    <w:p>
      <w:pPr>
        <w:rPr>
          <w:highlight w:val="none"/>
        </w:rPr>
      </w:pPr>
    </w:p>
    <w:bookmarkEnd w:id="507"/>
    <w:bookmarkEnd w:id="508"/>
    <w:bookmarkEnd w:id="509"/>
    <w:p>
      <w:pPr>
        <w:widowControl w:val="0"/>
        <w:wordWrap/>
        <w:adjustRightInd/>
        <w:snapToGrid/>
        <w:spacing w:after="157" w:afterLines="50" w:line="560" w:lineRule="exact"/>
        <w:ind w:left="0" w:leftChars="0" w:firstLine="0" w:firstLineChars="0"/>
        <w:jc w:val="center"/>
        <w:textAlignment w:val="auto"/>
        <w:outlineLvl w:val="1"/>
        <w:rPr>
          <w:rFonts w:hint="eastAsia" w:ascii="楷体_GB2312" w:hAnsi="楷体_GB2312" w:eastAsia="楷体_GB2312" w:cs="楷体_GB2312"/>
          <w:bCs/>
          <w:kern w:val="0"/>
          <w:sz w:val="32"/>
          <w:szCs w:val="32"/>
          <w:highlight w:val="none"/>
          <w:lang w:val="en-US" w:eastAsia="zh-CN"/>
        </w:rPr>
      </w:pPr>
      <w:bookmarkStart w:id="513" w:name="_Toc15712"/>
      <w:bookmarkStart w:id="514" w:name="_Toc22366"/>
      <w:bookmarkStart w:id="515" w:name="_Toc12339"/>
      <w:r>
        <w:rPr>
          <w:rFonts w:hint="eastAsia" w:ascii="楷体_GB2312" w:hAnsi="楷体_GB2312" w:eastAsia="楷体_GB2312" w:cs="楷体_GB2312"/>
          <w:bCs/>
          <w:kern w:val="0"/>
          <w:sz w:val="32"/>
          <w:szCs w:val="32"/>
          <w:highlight w:val="none"/>
          <w:lang w:val="en-US" w:eastAsia="zh-CN"/>
        </w:rPr>
        <w:t>北京市突发环境事件分级标准</w:t>
      </w:r>
      <w:bookmarkEnd w:id="510"/>
      <w:bookmarkEnd w:id="511"/>
      <w:bookmarkEnd w:id="512"/>
      <w:bookmarkEnd w:id="513"/>
      <w:bookmarkEnd w:id="514"/>
      <w:bookmarkEnd w:id="515"/>
    </w:p>
    <w:p>
      <w:pPr>
        <w:rPr>
          <w:rFonts w:ascii="仿宋_GB2312" w:hAnsi="仿宋_GB2312" w:cs="仿宋_GB2312"/>
          <w:highlight w:val="none"/>
        </w:rPr>
      </w:pPr>
    </w:p>
    <w:p>
      <w:pPr>
        <w:rPr>
          <w:rFonts w:ascii="仿宋_GB2312" w:hAnsi="仿宋_GB2312" w:cs="仿宋_GB2312"/>
          <w:highlight w:val="none"/>
        </w:rPr>
      </w:pPr>
      <w:r>
        <w:rPr>
          <w:rFonts w:hint="eastAsia" w:ascii="仿宋_GB2312" w:hAnsi="仿宋_GB2312" w:cs="仿宋_GB2312"/>
          <w:highlight w:val="none"/>
        </w:rPr>
        <w:t>一、特别重大突发环境事件</w:t>
      </w:r>
    </w:p>
    <w:p>
      <w:pPr>
        <w:rPr>
          <w:rFonts w:ascii="仿宋_GB2312" w:hAnsi="仿宋_GB2312" w:cs="仿宋_GB2312"/>
          <w:highlight w:val="none"/>
        </w:rPr>
      </w:pPr>
      <w:r>
        <w:rPr>
          <w:rFonts w:hint="eastAsia" w:ascii="仿宋_GB2312" w:hAnsi="仿宋_GB2312" w:cs="仿宋_GB2312"/>
          <w:highlight w:val="none"/>
        </w:rPr>
        <w:t>凡符合下列情形之一的，为特别重大突发环境事件：</w:t>
      </w:r>
    </w:p>
    <w:p>
      <w:pPr>
        <w:rPr>
          <w:rFonts w:ascii="仿宋_GB2312" w:hAnsi="仿宋_GB2312" w:cs="仿宋_GB2312"/>
          <w:highlight w:val="none"/>
        </w:rPr>
      </w:pPr>
      <w:r>
        <w:rPr>
          <w:rFonts w:hint="eastAsia" w:ascii="仿宋_GB2312" w:hAnsi="仿宋_GB2312" w:cs="仿宋_GB2312"/>
          <w:highlight w:val="none"/>
        </w:rPr>
        <w:t>1.因环境污染直接导致30人以上死亡或100人以上中毒或重伤的；</w:t>
      </w:r>
    </w:p>
    <w:p>
      <w:pPr>
        <w:rPr>
          <w:rFonts w:ascii="仿宋_GB2312" w:hAnsi="仿宋_GB2312" w:cs="仿宋_GB2312"/>
          <w:highlight w:val="none"/>
        </w:rPr>
      </w:pPr>
      <w:r>
        <w:rPr>
          <w:rFonts w:hint="eastAsia" w:ascii="仿宋_GB2312" w:hAnsi="仿宋_GB2312" w:cs="仿宋_GB2312"/>
          <w:highlight w:val="none"/>
        </w:rPr>
        <w:t>2.因环境污染疏散、转移5万人以上的；</w:t>
      </w:r>
    </w:p>
    <w:p>
      <w:pPr>
        <w:rPr>
          <w:rFonts w:ascii="仿宋_GB2312" w:hAnsi="仿宋_GB2312" w:cs="仿宋_GB2312"/>
          <w:highlight w:val="none"/>
        </w:rPr>
      </w:pPr>
      <w:r>
        <w:rPr>
          <w:rFonts w:hint="eastAsia" w:ascii="仿宋_GB2312" w:hAnsi="仿宋_GB2312" w:cs="仿宋_GB2312"/>
          <w:highlight w:val="none"/>
        </w:rPr>
        <w:t>3.因环境污染造成直接经济损失1亿元以上的；</w:t>
      </w:r>
    </w:p>
    <w:p>
      <w:pPr>
        <w:rPr>
          <w:rFonts w:ascii="仿宋_GB2312" w:hAnsi="仿宋_GB2312" w:cs="仿宋_GB2312"/>
          <w:highlight w:val="none"/>
        </w:rPr>
      </w:pPr>
      <w:r>
        <w:rPr>
          <w:rFonts w:hint="eastAsia" w:ascii="仿宋_GB2312" w:hAnsi="仿宋_GB2312" w:cs="仿宋_GB2312"/>
          <w:highlight w:val="none"/>
        </w:rPr>
        <w:t>4.因环境污染造成区域生态功能丧失或该区域国家重点保护物种灭绝的；</w:t>
      </w:r>
    </w:p>
    <w:p>
      <w:pPr>
        <w:rPr>
          <w:rFonts w:ascii="仿宋_GB2312" w:hAnsi="仿宋_GB2312" w:cs="仿宋_GB2312"/>
          <w:highlight w:val="none"/>
        </w:rPr>
      </w:pPr>
      <w:r>
        <w:rPr>
          <w:rFonts w:hint="eastAsia" w:ascii="仿宋_GB2312" w:hAnsi="仿宋_GB2312" w:cs="仿宋_GB2312"/>
          <w:highlight w:val="none"/>
        </w:rPr>
        <w:t>5.因环境污染造成本市市级城市集中式饮用水水源地取水中断的；</w:t>
      </w:r>
    </w:p>
    <w:p>
      <w:pPr>
        <w:rPr>
          <w:rFonts w:ascii="仿宋_GB2312" w:hAnsi="仿宋_GB2312" w:cs="仿宋_GB2312"/>
          <w:highlight w:val="none"/>
        </w:rPr>
      </w:pPr>
      <w:r>
        <w:rPr>
          <w:rFonts w:hint="eastAsia" w:ascii="仿宋_GB2312" w:hAnsi="仿宋_GB2312" w:cs="仿宋_GB2312"/>
          <w:highlight w:val="none"/>
        </w:rPr>
        <w:t>6.Ⅰ、Ⅱ类放射源丢失、被盗、失控并造成大范围严重辐射污染后果的；放射性同位素和射线装置失控导致3人以上急性死亡的；放射性物质泄漏，造成大范围辐射污染后果的。</w:t>
      </w:r>
    </w:p>
    <w:p>
      <w:pPr>
        <w:rPr>
          <w:rFonts w:ascii="仿宋_GB2312" w:hAnsi="仿宋_GB2312" w:cs="仿宋_GB2312"/>
          <w:highlight w:val="none"/>
        </w:rPr>
      </w:pPr>
      <w:r>
        <w:rPr>
          <w:rFonts w:hint="eastAsia" w:ascii="仿宋_GB2312" w:hAnsi="仿宋_GB2312" w:cs="仿宋_GB2312"/>
          <w:highlight w:val="none"/>
        </w:rPr>
        <w:t>二、重大突发环境事件</w:t>
      </w:r>
    </w:p>
    <w:p>
      <w:pPr>
        <w:rPr>
          <w:rFonts w:ascii="仿宋_GB2312" w:hAnsi="仿宋_GB2312" w:cs="仿宋_GB2312"/>
          <w:highlight w:val="none"/>
        </w:rPr>
      </w:pPr>
      <w:r>
        <w:rPr>
          <w:rFonts w:hint="eastAsia" w:ascii="仿宋_GB2312" w:hAnsi="仿宋_GB2312" w:cs="仿宋_GB2312"/>
          <w:highlight w:val="none"/>
        </w:rPr>
        <w:t>凡符合下列情形之一的，为重大突发环境事件：</w:t>
      </w:r>
    </w:p>
    <w:p>
      <w:pPr>
        <w:rPr>
          <w:rFonts w:ascii="仿宋_GB2312" w:hAnsi="仿宋_GB2312" w:cs="仿宋_GB2312"/>
          <w:highlight w:val="none"/>
        </w:rPr>
      </w:pPr>
      <w:r>
        <w:rPr>
          <w:rFonts w:hint="eastAsia" w:ascii="仿宋_GB2312" w:hAnsi="仿宋_GB2312" w:cs="仿宋_GB2312"/>
          <w:highlight w:val="none"/>
        </w:rPr>
        <w:t>1.因环境污染直接导致10人以上30人以下死亡或50人以上100人以下中毒或重伤的；</w:t>
      </w:r>
    </w:p>
    <w:p>
      <w:pPr>
        <w:rPr>
          <w:rFonts w:ascii="仿宋_GB2312" w:hAnsi="仿宋_GB2312" w:cs="仿宋_GB2312"/>
          <w:highlight w:val="none"/>
        </w:rPr>
      </w:pPr>
      <w:r>
        <w:rPr>
          <w:rFonts w:hint="eastAsia" w:ascii="仿宋_GB2312" w:hAnsi="仿宋_GB2312" w:cs="仿宋_GB2312"/>
          <w:highlight w:val="none"/>
        </w:rPr>
        <w:t>2.因环境污染疏散、转移1万人以上5万人以下的；</w:t>
      </w:r>
    </w:p>
    <w:p>
      <w:pPr>
        <w:rPr>
          <w:rFonts w:ascii="仿宋_GB2312" w:hAnsi="仿宋_GB2312" w:cs="仿宋_GB2312"/>
          <w:highlight w:val="none"/>
        </w:rPr>
      </w:pPr>
      <w:r>
        <w:rPr>
          <w:rFonts w:hint="eastAsia" w:ascii="仿宋_GB2312" w:hAnsi="仿宋_GB2312" w:cs="仿宋_GB2312"/>
          <w:highlight w:val="none"/>
        </w:rPr>
        <w:t>3.因环境污染造成直接经济损失2000万元以上1亿元以下的；</w:t>
      </w:r>
    </w:p>
    <w:p>
      <w:pPr>
        <w:rPr>
          <w:rFonts w:ascii="仿宋_GB2312" w:hAnsi="仿宋_GB2312" w:cs="仿宋_GB2312"/>
          <w:highlight w:val="none"/>
        </w:rPr>
      </w:pPr>
      <w:r>
        <w:rPr>
          <w:rFonts w:hint="eastAsia" w:ascii="仿宋_GB2312" w:hAnsi="仿宋_GB2312" w:cs="仿宋_GB2312"/>
          <w:highlight w:val="none"/>
        </w:rPr>
        <w:t>4.因环境污染造成区域生态功能部分丧失或该区域国家重点保护野生动植物种群大批死亡的；</w:t>
      </w:r>
    </w:p>
    <w:p>
      <w:pPr>
        <w:rPr>
          <w:rFonts w:ascii="仿宋_GB2312" w:hAnsi="仿宋_GB2312" w:cs="仿宋_GB2312"/>
          <w:highlight w:val="none"/>
        </w:rPr>
      </w:pPr>
      <w:r>
        <w:rPr>
          <w:rFonts w:hint="eastAsia" w:ascii="仿宋_GB2312" w:hAnsi="仿宋_GB2312" w:cs="仿宋_GB2312"/>
          <w:highlight w:val="none"/>
        </w:rPr>
        <w:t>5.因环境污染造成本市区级城市集中式饮用水水源地取水中断的；</w:t>
      </w:r>
    </w:p>
    <w:p>
      <w:pPr>
        <w:rPr>
          <w:rFonts w:ascii="仿宋_GB2312" w:hAnsi="仿宋_GB2312" w:cs="仿宋_GB2312"/>
          <w:highlight w:val="none"/>
        </w:rPr>
      </w:pPr>
      <w:r>
        <w:rPr>
          <w:rFonts w:hint="eastAsia" w:ascii="仿宋_GB2312" w:hAnsi="仿宋_GB2312" w:cs="仿宋_GB2312"/>
          <w:highlight w:val="none"/>
        </w:rPr>
        <w:t>6.Ⅰ、Ⅱ类放射源丢失、被盗的；放射性同位素和射线装置失控导致3人以下急性死亡或者10人以上急性重度放射病、局部器官残疾的；放射性物质泄漏，造成较大范围辐射污染后果的；</w:t>
      </w:r>
    </w:p>
    <w:p>
      <w:pPr>
        <w:rPr>
          <w:rFonts w:ascii="仿宋_GB2312" w:hAnsi="仿宋_GB2312" w:cs="仿宋_GB2312"/>
          <w:highlight w:val="none"/>
        </w:rPr>
      </w:pPr>
      <w:r>
        <w:rPr>
          <w:rFonts w:hint="eastAsia" w:ascii="仿宋_GB2312" w:hAnsi="仿宋_GB2312" w:cs="仿宋_GB2312"/>
          <w:highlight w:val="none"/>
        </w:rPr>
        <w:t>7.造成跨本市行政区域影响的突发环境事件。</w:t>
      </w:r>
    </w:p>
    <w:p>
      <w:pPr>
        <w:rPr>
          <w:rFonts w:ascii="仿宋_GB2312" w:hAnsi="仿宋_GB2312" w:cs="仿宋_GB2312"/>
          <w:highlight w:val="none"/>
        </w:rPr>
      </w:pPr>
      <w:r>
        <w:rPr>
          <w:rFonts w:hint="eastAsia" w:ascii="仿宋_GB2312" w:hAnsi="仿宋_GB2312" w:cs="仿宋_GB2312"/>
          <w:highlight w:val="none"/>
        </w:rPr>
        <w:t>三、较大突发环境事件</w:t>
      </w:r>
    </w:p>
    <w:p>
      <w:pPr>
        <w:rPr>
          <w:rFonts w:ascii="仿宋_GB2312" w:hAnsi="仿宋_GB2312" w:cs="仿宋_GB2312"/>
          <w:highlight w:val="none"/>
        </w:rPr>
      </w:pPr>
      <w:r>
        <w:rPr>
          <w:rFonts w:hint="eastAsia" w:ascii="仿宋_GB2312" w:hAnsi="仿宋_GB2312" w:cs="仿宋_GB2312"/>
          <w:highlight w:val="none"/>
        </w:rPr>
        <w:t>凡符合下列情形之一的，为较大突发环境事件：</w:t>
      </w:r>
    </w:p>
    <w:p>
      <w:pPr>
        <w:rPr>
          <w:rFonts w:ascii="仿宋_GB2312" w:hAnsi="仿宋_GB2312" w:cs="仿宋_GB2312"/>
          <w:highlight w:val="none"/>
        </w:rPr>
      </w:pPr>
      <w:r>
        <w:rPr>
          <w:rFonts w:hint="eastAsia" w:ascii="仿宋_GB2312" w:hAnsi="仿宋_GB2312" w:cs="仿宋_GB2312"/>
          <w:highlight w:val="none"/>
        </w:rPr>
        <w:t>1.因环境污染直接导致3人以上10人以下死亡或10人以上50人以下中毒或重伤的；</w:t>
      </w:r>
    </w:p>
    <w:p>
      <w:pPr>
        <w:rPr>
          <w:rFonts w:ascii="仿宋_GB2312" w:hAnsi="仿宋_GB2312" w:cs="仿宋_GB2312"/>
          <w:highlight w:val="none"/>
        </w:rPr>
      </w:pPr>
      <w:r>
        <w:rPr>
          <w:rFonts w:hint="eastAsia" w:ascii="仿宋_GB2312" w:hAnsi="仿宋_GB2312" w:cs="仿宋_GB2312"/>
          <w:highlight w:val="none"/>
        </w:rPr>
        <w:t>2.因环境污染疏散、转移5000人以上1万人以下的；</w:t>
      </w:r>
    </w:p>
    <w:p>
      <w:pPr>
        <w:rPr>
          <w:rFonts w:ascii="仿宋_GB2312" w:hAnsi="仿宋_GB2312" w:cs="仿宋_GB2312"/>
          <w:highlight w:val="none"/>
        </w:rPr>
      </w:pPr>
      <w:r>
        <w:rPr>
          <w:rFonts w:hint="eastAsia" w:ascii="仿宋_GB2312" w:hAnsi="仿宋_GB2312" w:cs="仿宋_GB2312"/>
          <w:highlight w:val="none"/>
        </w:rPr>
        <w:t>3.因环境污染造成直接经济损失500万元以上2000万元以下的；</w:t>
      </w:r>
    </w:p>
    <w:p>
      <w:pPr>
        <w:rPr>
          <w:rFonts w:ascii="仿宋_GB2312" w:hAnsi="仿宋_GB2312" w:cs="仿宋_GB2312"/>
          <w:highlight w:val="none"/>
        </w:rPr>
      </w:pPr>
      <w:r>
        <w:rPr>
          <w:rFonts w:hint="eastAsia" w:ascii="仿宋_GB2312" w:hAnsi="仿宋_GB2312" w:cs="仿宋_GB2312"/>
          <w:highlight w:val="none"/>
        </w:rPr>
        <w:t>4.因环境污染造成国家重点保护的动植物物种受到破坏的；</w:t>
      </w:r>
    </w:p>
    <w:p>
      <w:pPr>
        <w:rPr>
          <w:rFonts w:ascii="仿宋_GB2312" w:hAnsi="仿宋_GB2312" w:cs="仿宋_GB2312"/>
          <w:highlight w:val="none"/>
        </w:rPr>
      </w:pPr>
      <w:r>
        <w:rPr>
          <w:rFonts w:hint="eastAsia" w:ascii="仿宋_GB2312" w:hAnsi="仿宋_GB2312" w:cs="仿宋_GB2312"/>
          <w:highlight w:val="none"/>
        </w:rPr>
        <w:t>5.因环境污染造成本市乡镇集中式饮用水水源地取水中断的；</w:t>
      </w:r>
    </w:p>
    <w:p>
      <w:pPr>
        <w:rPr>
          <w:rFonts w:ascii="仿宋_GB2312" w:hAnsi="仿宋_GB2312" w:cs="仿宋_GB2312"/>
          <w:highlight w:val="none"/>
        </w:rPr>
      </w:pPr>
      <w:r>
        <w:rPr>
          <w:rFonts w:hint="eastAsia" w:ascii="仿宋_GB2312" w:hAnsi="仿宋_GB2312" w:cs="仿宋_GB2312"/>
          <w:highlight w:val="none"/>
        </w:rPr>
        <w:t>6.Ⅲ类放射源丢失、被盗的；放射性同位素和射线装置失控导致10人以下急性重度放射病、局部器官残疾的；放射性物质泄漏，造成小范围辐射污染后果的；</w:t>
      </w:r>
    </w:p>
    <w:p>
      <w:pPr>
        <w:rPr>
          <w:rFonts w:ascii="仿宋_GB2312" w:hAnsi="仿宋_GB2312" w:cs="仿宋_GB2312"/>
          <w:highlight w:val="none"/>
        </w:rPr>
      </w:pPr>
      <w:r>
        <w:rPr>
          <w:rFonts w:hint="eastAsia" w:ascii="仿宋_GB2312" w:hAnsi="仿宋_GB2312" w:cs="仿宋_GB2312"/>
          <w:highlight w:val="none"/>
        </w:rPr>
        <w:t>7.造成本市跨区级行政区域影响的突发环境事件。</w:t>
      </w:r>
    </w:p>
    <w:p>
      <w:pPr>
        <w:rPr>
          <w:rFonts w:ascii="仿宋_GB2312" w:hAnsi="仿宋_GB2312" w:cs="仿宋_GB2312"/>
          <w:highlight w:val="none"/>
        </w:rPr>
      </w:pPr>
      <w:r>
        <w:rPr>
          <w:rFonts w:hint="eastAsia" w:ascii="仿宋_GB2312" w:hAnsi="仿宋_GB2312" w:cs="仿宋_GB2312"/>
          <w:highlight w:val="none"/>
        </w:rPr>
        <w:t>四、一般突发环境事件</w:t>
      </w:r>
    </w:p>
    <w:p>
      <w:pPr>
        <w:rPr>
          <w:rFonts w:ascii="仿宋_GB2312" w:hAnsi="仿宋_GB2312" w:cs="仿宋_GB2312"/>
          <w:highlight w:val="none"/>
        </w:rPr>
      </w:pPr>
      <w:r>
        <w:rPr>
          <w:rFonts w:hint="eastAsia" w:ascii="仿宋_GB2312" w:hAnsi="仿宋_GB2312" w:cs="仿宋_GB2312"/>
          <w:highlight w:val="none"/>
        </w:rPr>
        <w:t>凡符合下列情形之一的，为一般突发环境事件：</w:t>
      </w:r>
    </w:p>
    <w:p>
      <w:pPr>
        <w:rPr>
          <w:rFonts w:ascii="仿宋_GB2312" w:hAnsi="仿宋_GB2312" w:cs="仿宋_GB2312"/>
          <w:highlight w:val="none"/>
        </w:rPr>
      </w:pPr>
      <w:r>
        <w:rPr>
          <w:rFonts w:hint="eastAsia" w:ascii="仿宋_GB2312" w:hAnsi="仿宋_GB2312" w:cs="仿宋_GB2312"/>
          <w:highlight w:val="none"/>
        </w:rPr>
        <w:t>1.因环境污染直接导致3人以下死亡或10人以下中毒或重伤的；</w:t>
      </w:r>
    </w:p>
    <w:p>
      <w:pPr>
        <w:rPr>
          <w:rFonts w:ascii="仿宋_GB2312" w:hAnsi="仿宋_GB2312" w:cs="仿宋_GB2312"/>
          <w:highlight w:val="none"/>
        </w:rPr>
      </w:pPr>
      <w:r>
        <w:rPr>
          <w:rFonts w:hint="eastAsia" w:ascii="仿宋_GB2312" w:hAnsi="仿宋_GB2312" w:cs="仿宋_GB2312"/>
          <w:highlight w:val="none"/>
        </w:rPr>
        <w:t>2.因环境污染疏散、转移5000人以下的；</w:t>
      </w:r>
    </w:p>
    <w:p>
      <w:pPr>
        <w:rPr>
          <w:rFonts w:ascii="仿宋_GB2312" w:hAnsi="仿宋_GB2312" w:cs="仿宋_GB2312"/>
          <w:highlight w:val="none"/>
        </w:rPr>
      </w:pPr>
      <w:r>
        <w:rPr>
          <w:rFonts w:hint="eastAsia" w:ascii="仿宋_GB2312" w:hAnsi="仿宋_GB2312" w:cs="仿宋_GB2312"/>
          <w:highlight w:val="none"/>
        </w:rPr>
        <w:t>3.因环境污染造成直接经济损失500万元以下的；</w:t>
      </w:r>
    </w:p>
    <w:p>
      <w:pPr>
        <w:rPr>
          <w:rFonts w:ascii="仿宋_GB2312" w:hAnsi="仿宋_GB2312" w:cs="仿宋_GB2312"/>
          <w:highlight w:val="none"/>
        </w:rPr>
      </w:pPr>
      <w:r>
        <w:rPr>
          <w:rFonts w:hint="eastAsia" w:ascii="仿宋_GB2312" w:hAnsi="仿宋_GB2312" w:cs="仿宋_GB2312"/>
          <w:highlight w:val="none"/>
        </w:rPr>
        <w:t>4.因环境污染造成跨乡镇级行政区域纠纷，引起一般性群体影响的；</w:t>
      </w:r>
    </w:p>
    <w:p>
      <w:pPr>
        <w:rPr>
          <w:rFonts w:ascii="仿宋_GB2312" w:hAnsi="仿宋_GB2312" w:cs="仿宋_GB2312"/>
          <w:highlight w:val="none"/>
        </w:rPr>
      </w:pPr>
      <w:r>
        <w:rPr>
          <w:rFonts w:hint="eastAsia" w:ascii="仿宋_GB2312" w:hAnsi="仿宋_GB2312" w:cs="仿宋_GB2312"/>
          <w:highlight w:val="none"/>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rPr>
          <w:rFonts w:ascii="仿宋_GB2312" w:hAnsi="仿宋_GB2312" w:cs="仿宋_GB2312"/>
          <w:highlight w:val="none"/>
        </w:rPr>
      </w:pPr>
      <w:r>
        <w:rPr>
          <w:rFonts w:hint="eastAsia" w:ascii="仿宋_GB2312" w:hAnsi="仿宋_GB2312" w:cs="仿宋_GB2312"/>
          <w:highlight w:val="none"/>
        </w:rPr>
        <w:t>6.对环境造成一定影响，尚未达到较大突发环境事件级别的。</w:t>
      </w:r>
    </w:p>
    <w:p>
      <w:pPr>
        <w:pStyle w:val="3"/>
        <w:ind w:left="0" w:leftChars="0"/>
        <w:rPr>
          <w:rFonts w:hint="eastAsia" w:ascii="仿宋_GB2312" w:hAnsi="仿宋_GB2312" w:cs="仿宋_GB2312"/>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cs="仿宋_GB2312"/>
          <w:highlight w:val="none"/>
        </w:rPr>
        <w:t>上述分级标准有关数量的表述中，“以上”含本数，“以下”不含本数。若《国家突发环境事件应急预案》中规定的事件分级发生调整，本预案从其规定。</w:t>
      </w:r>
    </w:p>
    <w:p>
      <w:pPr>
        <w:pStyle w:val="4"/>
        <w:widowControl w:val="0"/>
        <w:topLinePunct/>
        <w:adjustRightInd/>
        <w:snapToGrid/>
        <w:spacing w:before="0"/>
        <w:ind w:firstLine="0" w:firstLineChars="0"/>
        <w:jc w:val="both"/>
        <w:textAlignment w:val="auto"/>
        <w:rPr>
          <w:rFonts w:hint="default" w:ascii="黑体" w:hAnsi="黑体" w:eastAsia="黑体" w:cs="黑体"/>
          <w:b/>
          <w:bCs/>
          <w:color w:val="auto"/>
          <w:sz w:val="32"/>
          <w:szCs w:val="44"/>
          <w:highlight w:val="none"/>
          <w:lang w:val="en-US" w:eastAsia="zh-CN"/>
        </w:rPr>
      </w:pPr>
      <w:bookmarkStart w:id="516" w:name="_Toc296"/>
      <w:r>
        <w:rPr>
          <w:rFonts w:hint="eastAsia" w:ascii="黑体" w:hAnsi="黑体" w:eastAsia="黑体" w:cs="黑体"/>
          <w:b/>
          <w:bCs/>
          <w:color w:val="auto"/>
          <w:sz w:val="32"/>
          <w:szCs w:val="44"/>
          <w:highlight w:val="none"/>
          <w:lang w:val="en-US" w:eastAsia="zh-CN"/>
        </w:rPr>
        <w:t>附件</w:t>
      </w:r>
      <w:bookmarkEnd w:id="516"/>
      <w:r>
        <w:rPr>
          <w:rFonts w:hint="eastAsia" w:ascii="黑体" w:hAnsi="黑体" w:cs="黑体"/>
          <w:b/>
          <w:bCs/>
          <w:color w:val="auto"/>
          <w:sz w:val="32"/>
          <w:szCs w:val="44"/>
          <w:highlight w:val="none"/>
          <w:lang w:val="en-US" w:eastAsia="zh-CN"/>
        </w:rPr>
        <w:t>2</w:t>
      </w:r>
    </w:p>
    <w:p>
      <w:pPr>
        <w:widowControl w:val="0"/>
        <w:wordWrap/>
        <w:adjustRightInd/>
        <w:snapToGrid/>
        <w:spacing w:after="157" w:afterLines="50" w:line="560" w:lineRule="exact"/>
        <w:ind w:left="0" w:leftChars="0" w:firstLine="0" w:firstLineChars="0"/>
        <w:jc w:val="center"/>
        <w:textAlignment w:val="auto"/>
        <w:outlineLvl w:val="1"/>
        <w:rPr>
          <w:rFonts w:hint="eastAsia" w:ascii="楷体_GB2312" w:hAnsi="楷体_GB2312" w:eastAsia="楷体_GB2312" w:cs="楷体_GB2312"/>
          <w:bCs/>
          <w:kern w:val="0"/>
          <w:sz w:val="32"/>
          <w:szCs w:val="32"/>
          <w:highlight w:val="none"/>
          <w:lang w:val="en-US" w:eastAsia="zh-CN"/>
        </w:rPr>
      </w:pPr>
      <w:bookmarkStart w:id="517" w:name="_Toc7298"/>
      <w:r>
        <w:rPr>
          <w:rFonts w:hint="eastAsia" w:ascii="楷体_GB2312" w:hAnsi="楷体_GB2312" w:eastAsia="楷体_GB2312" w:cs="楷体_GB2312"/>
          <w:bCs/>
          <w:kern w:val="0"/>
          <w:sz w:val="32"/>
          <w:szCs w:val="32"/>
          <w:highlight w:val="none"/>
          <w:lang w:val="en-US" w:eastAsia="zh-CN"/>
        </w:rPr>
        <w:t>北京市大兴区突发环境事件应急预案体系名录</w:t>
      </w:r>
      <w:bookmarkEnd w:id="517"/>
    </w:p>
    <w:tbl>
      <w:tblPr>
        <w:tblStyle w:val="2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764"/>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9" w:type="dxa"/>
            <w:vAlign w:val="center"/>
          </w:tcPr>
          <w:p>
            <w:pPr>
              <w:spacing w:line="440" w:lineRule="exact"/>
              <w:ind w:left="0" w:leftChars="0" w:firstLine="0" w:firstLineChars="0"/>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4764" w:type="dxa"/>
            <w:vAlign w:val="center"/>
          </w:tcPr>
          <w:p>
            <w:pPr>
              <w:spacing w:line="440" w:lineRule="exact"/>
              <w:ind w:left="0" w:leftChars="0" w:firstLine="0" w:firstLineChars="0"/>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预案名称</w:t>
            </w:r>
          </w:p>
        </w:tc>
        <w:tc>
          <w:tcPr>
            <w:tcW w:w="2946" w:type="dxa"/>
            <w:vAlign w:val="center"/>
          </w:tcPr>
          <w:p>
            <w:pPr>
              <w:spacing w:line="440" w:lineRule="exact"/>
              <w:ind w:left="0" w:leftChars="0" w:firstLine="0" w:firstLineChars="0"/>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3"/>
            <w:vAlign w:val="center"/>
          </w:tcPr>
          <w:p>
            <w:pPr>
              <w:spacing w:line="440" w:lineRule="exact"/>
              <w:ind w:left="0" w:leftChars="0" w:firstLine="0" w:firstLineChars="0"/>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区</w:t>
            </w:r>
            <w:r>
              <w:rPr>
                <w:rFonts w:hint="eastAsia" w:ascii="黑体" w:hAnsi="黑体" w:eastAsia="黑体" w:cs="黑体"/>
                <w:b w:val="0"/>
                <w:bCs w:val="0"/>
                <w:sz w:val="28"/>
                <w:szCs w:val="28"/>
                <w:highlight w:val="none"/>
              </w:rPr>
              <w:t>级专项预案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ascii="仿宋_GB2312" w:hAnsi="Times New Roman" w:eastAsia="仿宋_GB2312"/>
                <w:sz w:val="28"/>
                <w:szCs w:val="28"/>
                <w:highlight w:val="none"/>
              </w:rPr>
            </w:pPr>
            <w:r>
              <w:rPr>
                <w:rFonts w:ascii="仿宋_GB2312" w:hAnsi="Times New Roman" w:eastAsia="仿宋_GB2312"/>
                <w:sz w:val="28"/>
                <w:szCs w:val="28"/>
                <w:highlight w:val="none"/>
              </w:rPr>
              <w:t>1</w:t>
            </w:r>
          </w:p>
        </w:tc>
        <w:tc>
          <w:tcPr>
            <w:tcW w:w="4764" w:type="dxa"/>
            <w:vAlign w:val="center"/>
          </w:tcPr>
          <w:p>
            <w:pPr>
              <w:spacing w:line="440" w:lineRule="exact"/>
              <w:ind w:left="0" w:leftChars="0" w:firstLine="0" w:firstLineChars="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北京市</w:t>
            </w:r>
            <w:r>
              <w:rPr>
                <w:rFonts w:hint="eastAsia" w:ascii="仿宋_GB2312"/>
                <w:sz w:val="28"/>
                <w:szCs w:val="28"/>
                <w:highlight w:val="none"/>
                <w:lang w:val="en-US" w:eastAsia="zh-CN"/>
              </w:rPr>
              <w:t>大兴区</w:t>
            </w:r>
            <w:r>
              <w:rPr>
                <w:rFonts w:hint="eastAsia" w:ascii="仿宋_GB2312" w:hAnsi="Times New Roman" w:eastAsia="仿宋_GB2312"/>
                <w:sz w:val="28"/>
                <w:szCs w:val="28"/>
                <w:highlight w:val="none"/>
              </w:rPr>
              <w:t>突发环境事件应急预案</w:t>
            </w:r>
          </w:p>
        </w:tc>
        <w:tc>
          <w:tcPr>
            <w:tcW w:w="2946" w:type="dxa"/>
            <w:vAlign w:val="top"/>
          </w:tcPr>
          <w:p>
            <w:pPr>
              <w:spacing w:line="440" w:lineRule="exact"/>
              <w:ind w:left="0" w:leftChars="0" w:firstLine="0" w:firstLineChars="0"/>
              <w:jc w:val="center"/>
              <w:rPr>
                <w:rFonts w:ascii="仿宋_GB2312" w:hAnsi="Times New Roman" w:eastAsia="仿宋_GB2312"/>
                <w:sz w:val="28"/>
                <w:szCs w:val="28"/>
                <w:highlight w:val="none"/>
              </w:rPr>
            </w:pPr>
            <w:r>
              <w:rPr>
                <w:rFonts w:hint="eastAsia" w:ascii="仿宋_GB2312"/>
                <w:sz w:val="28"/>
                <w:szCs w:val="28"/>
                <w:highlight w:val="none"/>
                <w:lang w:val="en-US" w:eastAsia="zh-CN"/>
              </w:rPr>
              <w:t>区</w:t>
            </w:r>
            <w:r>
              <w:rPr>
                <w:rFonts w:hint="eastAsia" w:ascii="仿宋_GB2312" w:hAnsi="Times New Roman" w:eastAsia="仿宋_GB2312"/>
                <w:sz w:val="28"/>
                <w:szCs w:val="28"/>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eastAsia" w:ascii="仿宋_GB2312" w:hAnsi="Times New Roman" w:eastAsia="仿宋_GB2312"/>
                <w:sz w:val="28"/>
                <w:szCs w:val="28"/>
                <w:highlight w:val="none"/>
                <w:lang w:val="en-US" w:eastAsia="zh-CN"/>
              </w:rPr>
            </w:pPr>
            <w:r>
              <w:rPr>
                <w:rFonts w:hint="eastAsia" w:ascii="仿宋_GB2312"/>
                <w:sz w:val="28"/>
                <w:szCs w:val="28"/>
                <w:highlight w:val="none"/>
                <w:lang w:val="en-US" w:eastAsia="zh-CN"/>
              </w:rPr>
              <w:t>2</w:t>
            </w:r>
          </w:p>
        </w:tc>
        <w:tc>
          <w:tcPr>
            <w:tcW w:w="4764" w:type="dxa"/>
            <w:vAlign w:val="center"/>
          </w:tcPr>
          <w:p>
            <w:pPr>
              <w:spacing w:line="440" w:lineRule="exact"/>
              <w:ind w:left="0" w:leftChars="0" w:firstLine="0" w:firstLineChars="0"/>
              <w:rPr>
                <w:rFonts w:hint="eastAsia" w:ascii="仿宋_GB2312" w:hAnsi="Times New Roman" w:eastAsia="仿宋_GB2312"/>
                <w:sz w:val="28"/>
                <w:szCs w:val="28"/>
                <w:highlight w:val="none"/>
              </w:rPr>
            </w:pPr>
            <w:r>
              <w:rPr>
                <w:rFonts w:hint="eastAsia" w:ascii="仿宋_GB2312"/>
                <w:sz w:val="28"/>
                <w:szCs w:val="28"/>
                <w:highlight w:val="none"/>
                <w:lang w:val="en-US" w:eastAsia="zh-CN"/>
              </w:rPr>
              <w:t>北京市</w:t>
            </w:r>
            <w:r>
              <w:rPr>
                <w:rFonts w:hint="eastAsia" w:ascii="仿宋_GB2312" w:hAnsi="Times New Roman" w:eastAsia="仿宋_GB2312"/>
                <w:sz w:val="28"/>
                <w:szCs w:val="28"/>
                <w:highlight w:val="none"/>
              </w:rPr>
              <w:t>大兴区辐射污染事件应急预案</w:t>
            </w:r>
          </w:p>
        </w:tc>
        <w:tc>
          <w:tcPr>
            <w:tcW w:w="2946" w:type="dxa"/>
            <w:vAlign w:val="top"/>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w:t>
            </w:r>
            <w:r>
              <w:rPr>
                <w:rFonts w:hint="eastAsia" w:ascii="仿宋_GB2312" w:hAnsi="Times New Roman" w:eastAsia="仿宋_GB2312"/>
                <w:sz w:val="28"/>
                <w:szCs w:val="28"/>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eastAsia" w:ascii="仿宋_GB2312" w:hAnsi="Times New Roman" w:eastAsia="仿宋_GB2312"/>
                <w:sz w:val="28"/>
                <w:szCs w:val="28"/>
                <w:highlight w:val="none"/>
                <w:lang w:val="en-US" w:eastAsia="zh-CN"/>
              </w:rPr>
            </w:pPr>
            <w:r>
              <w:rPr>
                <w:rFonts w:hint="eastAsia" w:ascii="仿宋_GB2312"/>
                <w:sz w:val="28"/>
                <w:szCs w:val="28"/>
                <w:highlight w:val="none"/>
                <w:lang w:val="en-US" w:eastAsia="zh-CN"/>
              </w:rPr>
              <w:t>3</w:t>
            </w:r>
          </w:p>
        </w:tc>
        <w:tc>
          <w:tcPr>
            <w:tcW w:w="4764" w:type="dxa"/>
            <w:vAlign w:val="center"/>
          </w:tcPr>
          <w:p>
            <w:pPr>
              <w:spacing w:line="440" w:lineRule="exact"/>
              <w:ind w:left="0" w:leftChars="0" w:firstLine="0" w:firstLineChars="0"/>
              <w:rPr>
                <w:rFonts w:hint="eastAsia" w:ascii="仿宋_GB2312" w:hAnsi="Times New Roman" w:eastAsia="仿宋_GB2312"/>
                <w:sz w:val="28"/>
                <w:szCs w:val="28"/>
                <w:highlight w:val="none"/>
              </w:rPr>
            </w:pPr>
            <w:r>
              <w:rPr>
                <w:rFonts w:hint="eastAsia" w:ascii="仿宋_GB2312"/>
                <w:sz w:val="28"/>
                <w:szCs w:val="28"/>
                <w:highlight w:val="none"/>
                <w:lang w:val="en-US" w:eastAsia="zh-CN"/>
              </w:rPr>
              <w:t>北京市</w:t>
            </w:r>
            <w:r>
              <w:rPr>
                <w:rFonts w:hint="eastAsia" w:ascii="仿宋_GB2312" w:hAnsi="Times New Roman" w:eastAsia="仿宋_GB2312"/>
                <w:sz w:val="28"/>
                <w:szCs w:val="28"/>
                <w:highlight w:val="none"/>
              </w:rPr>
              <w:t>大兴区空气重污染应急预案</w:t>
            </w:r>
          </w:p>
        </w:tc>
        <w:tc>
          <w:tcPr>
            <w:tcW w:w="2946" w:type="dxa"/>
            <w:vAlign w:val="top"/>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w:t>
            </w:r>
            <w:r>
              <w:rPr>
                <w:rFonts w:hint="eastAsia" w:ascii="仿宋_GB2312" w:hAnsi="Times New Roman" w:eastAsia="仿宋_GB2312"/>
                <w:sz w:val="28"/>
                <w:szCs w:val="28"/>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3"/>
            <w:vAlign w:val="center"/>
          </w:tcPr>
          <w:p>
            <w:pPr>
              <w:spacing w:line="44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区</w:t>
            </w:r>
            <w:r>
              <w:rPr>
                <w:rFonts w:hint="eastAsia" w:ascii="黑体" w:hAnsi="黑体" w:eastAsia="黑体" w:cs="黑体"/>
                <w:b w:val="0"/>
                <w:bCs w:val="0"/>
                <w:sz w:val="28"/>
                <w:szCs w:val="28"/>
                <w:highlight w:val="none"/>
              </w:rPr>
              <w:t>级部门预案</w:t>
            </w:r>
          </w:p>
          <w:p>
            <w:pPr>
              <w:pStyle w:val="2"/>
              <w:widowControl/>
              <w:kinsoku w:val="0"/>
              <w:wordWrap/>
              <w:autoSpaceDE w:val="0"/>
              <w:autoSpaceDN w:val="0"/>
              <w:adjustRightInd w:val="0"/>
              <w:snapToGrid w:val="0"/>
              <w:spacing w:line="240" w:lineRule="auto"/>
              <w:jc w:val="center"/>
              <w:textAlignment w:val="baseline"/>
              <w:rPr>
                <w:rFonts w:ascii="仿宋_GB2312" w:eastAsia="仿宋_GB2312"/>
                <w:sz w:val="28"/>
                <w:szCs w:val="28"/>
                <w:highlight w:val="none"/>
              </w:rPr>
            </w:pPr>
            <w:r>
              <w:rPr>
                <w:rFonts w:hint="eastAsia" w:ascii="仿宋_GB2312" w:eastAsia="仿宋_GB2312"/>
                <w:sz w:val="28"/>
                <w:szCs w:val="28"/>
                <w:highlight w:val="none"/>
              </w:rPr>
              <w:t>（各相关部门可根据实际编制突发环境事件应急预案或在其他应急预案中涵盖突发环境事件处置内容）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hAnsi="Times New Roman" w:eastAsia="仿宋_GB2312"/>
                <w:sz w:val="28"/>
                <w:szCs w:val="28"/>
                <w:highlight w:val="none"/>
                <w:lang w:val="en-US" w:eastAsia="zh-CN"/>
              </w:rPr>
            </w:pPr>
            <w:r>
              <w:rPr>
                <w:rFonts w:hint="eastAsia" w:ascii="仿宋_GB2312"/>
                <w:sz w:val="28"/>
                <w:szCs w:val="28"/>
                <w:highlight w:val="none"/>
                <w:lang w:val="en-US" w:eastAsia="zh-CN"/>
              </w:rPr>
              <w:t>1</w:t>
            </w:r>
          </w:p>
        </w:tc>
        <w:tc>
          <w:tcPr>
            <w:tcW w:w="4764" w:type="dxa"/>
            <w:vAlign w:val="center"/>
          </w:tcPr>
          <w:p>
            <w:pPr>
              <w:spacing w:line="440" w:lineRule="exact"/>
              <w:ind w:left="0" w:leftChars="0" w:firstLine="0" w:firstLineChars="0"/>
              <w:jc w:val="center"/>
              <w:rPr>
                <w:rFonts w:hint="default" w:ascii="仿宋_GB2312"/>
                <w:sz w:val="28"/>
                <w:szCs w:val="28"/>
                <w:highlight w:val="none"/>
                <w:lang w:val="en-US" w:eastAsia="zh-CN"/>
              </w:rPr>
            </w:pPr>
            <w:r>
              <w:rPr>
                <w:rFonts w:hint="eastAsia" w:ascii="仿宋_GB2312"/>
                <w:sz w:val="28"/>
                <w:szCs w:val="28"/>
                <w:highlight w:val="none"/>
                <w:lang w:val="en-US" w:eastAsia="zh-CN"/>
              </w:rPr>
              <w:t>大兴区生态环境局突发环境事件应急监测预案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w:t>
            </w:r>
            <w:r>
              <w:rPr>
                <w:rFonts w:hint="eastAsia" w:ascii="仿宋_GB2312" w:hAnsi="Times New Roman" w:eastAsia="仿宋_GB2312"/>
                <w:sz w:val="28"/>
                <w:szCs w:val="28"/>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eastAsia"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2</w:t>
            </w:r>
          </w:p>
        </w:tc>
        <w:tc>
          <w:tcPr>
            <w:tcW w:w="4764" w:type="dxa"/>
            <w:vAlign w:val="center"/>
          </w:tcPr>
          <w:p>
            <w:pPr>
              <w:spacing w:line="440" w:lineRule="exact"/>
              <w:ind w:left="0" w:leftChars="0" w:firstLine="0" w:firstLineChars="0"/>
              <w:jc w:val="center"/>
              <w:rPr>
                <w:rFonts w:hint="eastAsia"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区交通局处置突发环境事件应急预案</w:t>
            </w:r>
          </w:p>
        </w:tc>
        <w:tc>
          <w:tcPr>
            <w:tcW w:w="2946" w:type="dxa"/>
            <w:vAlign w:val="center"/>
          </w:tcPr>
          <w:p>
            <w:pPr>
              <w:spacing w:line="440" w:lineRule="exact"/>
              <w:ind w:left="0" w:leftChars="0" w:firstLine="0" w:firstLineChars="0"/>
              <w:jc w:val="center"/>
              <w:rPr>
                <w:rFonts w:hint="eastAsia"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3</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区水务局处置突发环境事件应急预案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4</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区应急管理局处置突发环境事件应急预案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5</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市公安局大兴分局处置突发环境事件应急预案</w:t>
            </w:r>
          </w:p>
        </w:tc>
        <w:tc>
          <w:tcPr>
            <w:tcW w:w="2946" w:type="dxa"/>
            <w:vAlign w:val="center"/>
          </w:tcPr>
          <w:p>
            <w:pPr>
              <w:spacing w:line="440" w:lineRule="exact"/>
              <w:ind w:left="0" w:leftChars="0" w:firstLine="0" w:firstLineChars="0"/>
              <w:jc w:val="center"/>
              <w:rPr>
                <w:rFonts w:hint="default" w:ascii="仿宋_GB2312"/>
                <w:sz w:val="28"/>
                <w:szCs w:val="28"/>
                <w:highlight w:val="none"/>
                <w:lang w:val="en-US" w:eastAsia="zh-CN"/>
              </w:rPr>
            </w:pPr>
            <w:r>
              <w:rPr>
                <w:rFonts w:hint="eastAsia" w:ascii="仿宋_GB2312"/>
                <w:sz w:val="28"/>
                <w:szCs w:val="28"/>
                <w:highlight w:val="none"/>
                <w:lang w:val="en-US" w:eastAsia="zh-CN"/>
              </w:rPr>
              <w:t>市公安局大兴分局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hAnsi="Times New Roman" w:eastAsia="仿宋_GB2312" w:cs="Arial"/>
                <w:snapToGrid w:val="0"/>
                <w:color w:val="000000"/>
                <w:sz w:val="28"/>
                <w:szCs w:val="28"/>
                <w:highlight w:val="none"/>
                <w:lang w:val="en-US" w:eastAsia="zh-CN" w:bidi="ar-SA"/>
              </w:rPr>
            </w:pPr>
            <w:r>
              <w:rPr>
                <w:rFonts w:hint="eastAsia" w:ascii="仿宋_GB2312"/>
                <w:sz w:val="28"/>
                <w:szCs w:val="28"/>
                <w:highlight w:val="none"/>
                <w:lang w:val="en-US" w:eastAsia="zh-CN"/>
              </w:rPr>
              <w:t>6</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区消防救援支队处置突发环境事件应急预案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hAnsi="Times New Roman" w:eastAsia="仿宋_GB2312"/>
                <w:sz w:val="28"/>
                <w:szCs w:val="28"/>
                <w:highlight w:val="none"/>
                <w:lang w:val="en-US" w:eastAsia="zh-CN"/>
              </w:rPr>
            </w:pPr>
            <w:r>
              <w:rPr>
                <w:rFonts w:hint="eastAsia" w:ascii="仿宋_GB2312"/>
                <w:sz w:val="28"/>
                <w:szCs w:val="28"/>
                <w:highlight w:val="none"/>
                <w:lang w:val="en-US" w:eastAsia="zh-CN"/>
              </w:rPr>
              <w:t>7</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其他相关部门处置突发环境事件应急预案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其他部门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highlight w:val="none"/>
                <w:lang w:val="en-US" w:eastAsia="zh-CN"/>
              </w:rPr>
            </w:pPr>
            <w:r>
              <w:rPr>
                <w:rFonts w:hint="eastAsia"/>
                <w:highlight w:val="none"/>
                <w:lang w:val="en-US" w:eastAsia="zh-CN"/>
              </w:rPr>
              <w:t>配套文件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default"/>
                <w:highlight w:val="none"/>
                <w:lang w:val="en-US" w:eastAsia="zh-CN"/>
              </w:rPr>
            </w:pPr>
            <w:r>
              <w:rPr>
                <w:rFonts w:hint="default"/>
                <w:highlight w:val="none"/>
                <w:lang w:val="en-US" w:eastAsia="zh-CN"/>
              </w:rPr>
              <w:t>（应急工作手册、事件应对行动方案）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hint="default" w:ascii="仿宋_GB2312"/>
                <w:sz w:val="28"/>
                <w:szCs w:val="28"/>
                <w:highlight w:val="none"/>
                <w:lang w:val="en-US" w:eastAsia="zh-CN"/>
              </w:rPr>
            </w:pPr>
            <w:r>
              <w:rPr>
                <w:rFonts w:hint="eastAsia" w:ascii="仿宋_GB2312"/>
                <w:sz w:val="28"/>
                <w:szCs w:val="28"/>
                <w:highlight w:val="none"/>
                <w:lang w:val="en-US" w:eastAsia="zh-CN"/>
              </w:rPr>
              <w:t>1</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北京市大兴区重点河流突发水污染事件环境应急响应方案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3"/>
            <w:vAlign w:val="center"/>
          </w:tcPr>
          <w:p>
            <w:pPr>
              <w:spacing w:line="44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镇政府（街道办事处、功能区管委会）</w:t>
            </w:r>
            <w:r>
              <w:rPr>
                <w:rFonts w:hint="eastAsia" w:ascii="黑体" w:hAnsi="黑体" w:eastAsia="黑体" w:cs="黑体"/>
                <w:b w:val="0"/>
                <w:bCs w:val="0"/>
                <w:sz w:val="28"/>
                <w:szCs w:val="28"/>
                <w:highlight w:val="none"/>
              </w:rPr>
              <w:t>预案</w:t>
            </w:r>
          </w:p>
          <w:p>
            <w:pPr>
              <w:pStyle w:val="2"/>
              <w:widowControl/>
              <w:kinsoku w:val="0"/>
              <w:wordWrap/>
              <w:autoSpaceDE w:val="0"/>
              <w:autoSpaceDN w:val="0"/>
              <w:adjustRightInd w:val="0"/>
              <w:snapToGrid w:val="0"/>
              <w:spacing w:line="240" w:lineRule="auto"/>
              <w:jc w:val="center"/>
              <w:textAlignment w:val="baseline"/>
              <w:rPr>
                <w:rFonts w:ascii="仿宋_GB2312" w:eastAsia="仿宋_GB2312"/>
                <w:sz w:val="28"/>
                <w:szCs w:val="28"/>
                <w:highlight w:val="none"/>
              </w:rPr>
            </w:pPr>
            <w:r>
              <w:rPr>
                <w:rFonts w:hint="eastAsia" w:ascii="仿宋_GB2312" w:eastAsia="仿宋_GB2312"/>
                <w:sz w:val="28"/>
                <w:szCs w:val="28"/>
                <w:highlight w:val="none"/>
              </w:rPr>
              <w:t>（可制定本辖区突发环境事件应急预案，或与其他种类突发事件应急预案合并编制）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ascii="仿宋_GB2312" w:hAnsi="Times New Roman" w:eastAsia="仿宋_GB2312"/>
                <w:sz w:val="28"/>
                <w:szCs w:val="28"/>
                <w:highlight w:val="none"/>
              </w:rPr>
            </w:pPr>
            <w:r>
              <w:rPr>
                <w:rFonts w:ascii="仿宋_GB2312" w:hAnsi="Times New Roman" w:eastAsia="仿宋_GB2312"/>
                <w:sz w:val="28"/>
                <w:szCs w:val="28"/>
                <w:highlight w:val="none"/>
              </w:rPr>
              <w:t>1</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镇政府（街道办事处、功能区管委会）突发环境事件应急预案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各镇政府、街道办事处、功能区管委会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3"/>
            <w:vAlign w:val="center"/>
          </w:tcPr>
          <w:p>
            <w:pPr>
              <w:spacing w:line="440" w:lineRule="exact"/>
              <w:jc w:val="center"/>
              <w:rPr>
                <w:rFonts w:ascii="仿宋_GB2312" w:hAnsi="Times New Roman" w:eastAsia="仿宋_GB2312"/>
                <w:b/>
                <w:bCs/>
                <w:sz w:val="28"/>
                <w:szCs w:val="28"/>
                <w:highlight w:val="none"/>
              </w:rPr>
            </w:pPr>
            <w:r>
              <w:rPr>
                <w:rFonts w:hint="eastAsia" w:ascii="黑体" w:hAnsi="黑体" w:eastAsia="黑体" w:cs="黑体"/>
                <w:b w:val="0"/>
                <w:bCs w:val="0"/>
                <w:sz w:val="28"/>
                <w:szCs w:val="28"/>
                <w:highlight w:val="none"/>
              </w:rPr>
              <w:t>企事业单位预案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spacing w:line="440" w:lineRule="exact"/>
              <w:ind w:left="0" w:leftChars="0" w:firstLine="0" w:firstLineChars="0"/>
              <w:jc w:val="center"/>
              <w:rPr>
                <w:rFonts w:ascii="仿宋_GB2312" w:hAnsi="Times New Roman" w:eastAsia="仿宋_GB2312"/>
                <w:sz w:val="28"/>
                <w:szCs w:val="28"/>
                <w:highlight w:val="none"/>
              </w:rPr>
            </w:pPr>
            <w:r>
              <w:rPr>
                <w:rFonts w:ascii="仿宋_GB2312" w:hAnsi="Times New Roman" w:eastAsia="仿宋_GB2312"/>
                <w:sz w:val="28"/>
                <w:szCs w:val="28"/>
                <w:highlight w:val="none"/>
              </w:rPr>
              <w:t>1</w:t>
            </w:r>
          </w:p>
        </w:tc>
        <w:tc>
          <w:tcPr>
            <w:tcW w:w="4764"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企事业单位突发环境事件应急预案</w:t>
            </w:r>
          </w:p>
        </w:tc>
        <w:tc>
          <w:tcPr>
            <w:tcW w:w="2946" w:type="dxa"/>
            <w:vAlign w:val="center"/>
          </w:tcPr>
          <w:p>
            <w:pPr>
              <w:spacing w:line="440" w:lineRule="exact"/>
              <w:ind w:left="0" w:leftChars="0" w:firstLine="0" w:firstLineChars="0"/>
              <w:jc w:val="center"/>
              <w:rPr>
                <w:rFonts w:hint="eastAsia" w:ascii="仿宋_GB2312"/>
                <w:sz w:val="28"/>
                <w:szCs w:val="28"/>
                <w:highlight w:val="none"/>
                <w:lang w:val="en-US" w:eastAsia="zh-CN"/>
              </w:rPr>
            </w:pPr>
            <w:r>
              <w:rPr>
                <w:rFonts w:hint="eastAsia" w:ascii="仿宋_GB2312"/>
                <w:sz w:val="28"/>
                <w:szCs w:val="28"/>
                <w:highlight w:val="none"/>
                <w:lang w:val="en-US" w:eastAsia="zh-CN"/>
              </w:rPr>
              <w:t>相关企事业单位</w:t>
            </w:r>
          </w:p>
        </w:tc>
      </w:tr>
    </w:tbl>
    <w:p>
      <w:pPr>
        <w:rPr>
          <w:highlight w:val="none"/>
        </w:rPr>
        <w:sectPr>
          <w:pgSz w:w="11906" w:h="16838"/>
          <w:pgMar w:top="1440" w:right="1800" w:bottom="1440" w:left="1800" w:header="851" w:footer="992" w:gutter="0"/>
          <w:cols w:space="720" w:num="1"/>
          <w:docGrid w:type="lines" w:linePitch="312" w:charSpace="0"/>
        </w:sectPr>
      </w:pPr>
    </w:p>
    <w:p>
      <w:pPr>
        <w:pStyle w:val="4"/>
        <w:widowControl w:val="0"/>
        <w:topLinePunct/>
        <w:adjustRightInd/>
        <w:snapToGrid/>
        <w:spacing w:before="0"/>
        <w:ind w:firstLine="0" w:firstLineChars="0"/>
        <w:jc w:val="both"/>
        <w:textAlignment w:val="auto"/>
        <w:rPr>
          <w:rFonts w:hint="eastAsia" w:ascii="黑体" w:hAnsi="黑体" w:eastAsia="黑体" w:cs="黑体"/>
          <w:b/>
          <w:bCs/>
          <w:color w:val="auto"/>
          <w:sz w:val="32"/>
          <w:szCs w:val="44"/>
          <w:highlight w:val="none"/>
        </w:rPr>
      </w:pPr>
      <w:bookmarkStart w:id="518" w:name="_Toc32465"/>
      <w:bookmarkStart w:id="519" w:name="_Toc7425"/>
      <w:bookmarkStart w:id="520" w:name="_Toc3409"/>
      <w:bookmarkStart w:id="521" w:name="_Toc28630"/>
      <w:bookmarkStart w:id="522" w:name="_Toc482690344"/>
      <w:bookmarkStart w:id="523" w:name="_Toc2144653880"/>
      <w:bookmarkStart w:id="524" w:name="_Toc26378"/>
      <w:bookmarkStart w:id="525" w:name="_Toc12124"/>
      <w:bookmarkStart w:id="526" w:name="_Toc694433959"/>
      <w:bookmarkStart w:id="527" w:name="_Toc24782"/>
      <w:bookmarkStart w:id="528" w:name="_Toc11213"/>
      <w:bookmarkStart w:id="529" w:name="_Toc2269"/>
      <w:bookmarkStart w:id="530" w:name="_Toc10541"/>
      <w:bookmarkStart w:id="531" w:name="_Toc32647"/>
      <w:bookmarkStart w:id="532" w:name="_Toc28613"/>
      <w:r>
        <w:rPr>
          <w:rFonts w:hint="eastAsia" w:ascii="黑体" w:hAnsi="黑体" w:eastAsia="黑体" w:cs="黑体"/>
          <w:b/>
          <w:bCs/>
          <w:color w:val="auto"/>
          <w:sz w:val="32"/>
          <w:szCs w:val="44"/>
          <w:highlight w:val="none"/>
        </w:rPr>
        <w:t>附件</w:t>
      </w:r>
      <w:bookmarkEnd w:id="518"/>
      <w:bookmarkEnd w:id="519"/>
      <w:bookmarkEnd w:id="520"/>
      <w:r>
        <w:rPr>
          <w:rFonts w:hint="eastAsia" w:ascii="黑体" w:hAnsi="黑体" w:cs="黑体"/>
          <w:b/>
          <w:bCs/>
          <w:color w:val="auto"/>
          <w:sz w:val="32"/>
          <w:szCs w:val="44"/>
          <w:highlight w:val="none"/>
          <w:lang w:val="en-US" w:eastAsia="zh-CN"/>
        </w:rPr>
        <w:t>3</w:t>
      </w:r>
      <w:r>
        <w:rPr>
          <w:rFonts w:hint="eastAsia" w:ascii="黑体" w:hAnsi="黑体" w:eastAsia="黑体" w:cs="黑体"/>
          <w:b/>
          <w:bCs/>
          <w:color w:val="auto"/>
          <w:sz w:val="32"/>
          <w:szCs w:val="44"/>
          <w:highlight w:val="none"/>
        </w:rPr>
        <w:t xml:space="preserve"> </w:t>
      </w:r>
      <w:bookmarkEnd w:id="521"/>
      <w:bookmarkEnd w:id="522"/>
      <w:bookmarkEnd w:id="523"/>
      <w:bookmarkEnd w:id="524"/>
      <w:bookmarkEnd w:id="525"/>
      <w:bookmarkEnd w:id="526"/>
    </w:p>
    <w:p>
      <w:pPr>
        <w:widowControl w:val="0"/>
        <w:wordWrap/>
        <w:adjustRightInd/>
        <w:snapToGrid/>
        <w:spacing w:after="157" w:afterLines="50" w:line="560" w:lineRule="exact"/>
        <w:ind w:left="0" w:leftChars="0" w:firstLine="0" w:firstLineChars="0"/>
        <w:jc w:val="center"/>
        <w:textAlignment w:val="auto"/>
        <w:outlineLvl w:val="1"/>
        <w:rPr>
          <w:rFonts w:hint="eastAsia" w:ascii="楷体_GB2312" w:hAnsi="楷体_GB2312" w:eastAsia="楷体_GB2312" w:cs="楷体_GB2312"/>
          <w:bCs/>
          <w:kern w:val="0"/>
          <w:sz w:val="32"/>
          <w:szCs w:val="32"/>
          <w:highlight w:val="none"/>
          <w:lang w:val="en-US" w:eastAsia="zh-CN"/>
        </w:rPr>
      </w:pPr>
      <w:bookmarkStart w:id="533" w:name="_Toc1985"/>
      <w:bookmarkStart w:id="534" w:name="_Toc19838"/>
      <w:bookmarkStart w:id="535" w:name="_Toc9160"/>
      <w:r>
        <w:rPr>
          <w:rFonts w:hint="eastAsia" w:ascii="楷体_GB2312" w:hAnsi="楷体_GB2312" w:eastAsia="楷体_GB2312" w:cs="楷体_GB2312"/>
          <w:bCs/>
          <w:kern w:val="0"/>
          <w:sz w:val="32"/>
          <w:szCs w:val="32"/>
          <w:highlight w:val="none"/>
          <w:lang w:val="en-US" w:eastAsia="zh-CN"/>
        </w:rPr>
        <w:t>大兴区突发环境事件应急响应程序示意图</w:t>
      </w:r>
      <w:bookmarkEnd w:id="527"/>
      <w:bookmarkEnd w:id="528"/>
      <w:bookmarkEnd w:id="529"/>
      <w:bookmarkEnd w:id="530"/>
      <w:bookmarkEnd w:id="531"/>
      <w:bookmarkEnd w:id="532"/>
      <w:bookmarkEnd w:id="533"/>
      <w:bookmarkEnd w:id="534"/>
      <w:bookmarkEnd w:id="535"/>
    </w:p>
    <w:p>
      <w:pPr>
        <w:spacing w:before="205" w:beforeLines="50"/>
        <w:ind w:firstLine="0" w:firstLineChars="0"/>
        <w:rPr>
          <w:highlight w:val="none"/>
        </w:rPr>
      </w:pPr>
    </w:p>
    <w:p>
      <w:pPr>
        <w:pStyle w:val="10"/>
        <w:ind w:left="0" w:leftChars="0" w:firstLine="0" w:firstLineChars="0"/>
        <w:rPr>
          <w:highlight w:val="none"/>
        </w:rPr>
      </w:pPr>
      <w:r>
        <w:rPr>
          <w:highlight w:val="none"/>
        </w:rPr>
        <w:drawing>
          <wp:inline distT="0" distB="0" distL="114300" distR="114300">
            <wp:extent cx="8862695" cy="1981200"/>
            <wp:effectExtent l="0" t="0" r="190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0"/>
                    <a:stretch>
                      <a:fillRect/>
                    </a:stretch>
                  </pic:blipFill>
                  <pic:spPr>
                    <a:xfrm>
                      <a:off x="0" y="0"/>
                      <a:ext cx="8862695" cy="1981200"/>
                    </a:xfrm>
                    <a:prstGeom prst="rect">
                      <a:avLst/>
                    </a:prstGeom>
                    <a:noFill/>
                    <a:ln>
                      <a:noFill/>
                    </a:ln>
                  </pic:spPr>
                </pic:pic>
              </a:graphicData>
            </a:graphic>
          </wp:inline>
        </w:drawing>
      </w:r>
    </w:p>
    <w:p>
      <w:pPr>
        <w:pStyle w:val="11"/>
        <w:ind w:firstLine="640"/>
        <w:rPr>
          <w:highlight w:val="none"/>
        </w:rPr>
      </w:pPr>
    </w:p>
    <w:p>
      <w:pPr>
        <w:pStyle w:val="11"/>
        <w:ind w:left="0" w:leftChars="0" w:firstLine="0" w:firstLineChars="0"/>
        <w:jc w:val="center"/>
        <w:rPr>
          <w:highlight w:val="none"/>
        </w:rPr>
        <w:sectPr>
          <w:pgSz w:w="16838" w:h="11905" w:orient="landscape"/>
          <w:pgMar w:top="1803" w:right="1440" w:bottom="1803" w:left="1440" w:header="851" w:footer="992" w:gutter="0"/>
          <w:cols w:space="720" w:num="1"/>
          <w:docGrid w:type="lines" w:linePitch="411" w:charSpace="0"/>
        </w:sectPr>
      </w:pPr>
    </w:p>
    <w:p>
      <w:pPr>
        <w:pStyle w:val="4"/>
        <w:widowControl w:val="0"/>
        <w:topLinePunct/>
        <w:adjustRightInd/>
        <w:snapToGrid/>
        <w:spacing w:before="0"/>
        <w:ind w:firstLine="0" w:firstLineChars="0"/>
        <w:jc w:val="both"/>
        <w:textAlignment w:val="auto"/>
        <w:rPr>
          <w:rFonts w:hint="eastAsia" w:ascii="黑体" w:hAnsi="黑体" w:eastAsia="黑体" w:cs="黑体"/>
          <w:b/>
          <w:bCs/>
          <w:color w:val="auto"/>
          <w:sz w:val="32"/>
          <w:szCs w:val="44"/>
          <w:highlight w:val="none"/>
          <w:lang w:eastAsia="zh-CN"/>
        </w:rPr>
      </w:pPr>
      <w:bookmarkStart w:id="536" w:name="_Toc925"/>
      <w:bookmarkStart w:id="537" w:name="_Toc28386"/>
      <w:bookmarkStart w:id="538" w:name="_Toc6775"/>
      <w:bookmarkStart w:id="539" w:name="_Toc18786"/>
      <w:bookmarkStart w:id="540" w:name="_Toc6965"/>
      <w:bookmarkStart w:id="541" w:name="_Toc8804"/>
      <w:bookmarkStart w:id="542" w:name="_Toc7051"/>
      <w:bookmarkStart w:id="543" w:name="_Toc1571"/>
      <w:bookmarkStart w:id="544" w:name="_Toc13943"/>
      <w:r>
        <w:rPr>
          <w:rFonts w:hint="eastAsia" w:ascii="黑体" w:hAnsi="黑体" w:eastAsia="黑体" w:cs="黑体"/>
          <w:b/>
          <w:bCs/>
          <w:color w:val="auto"/>
          <w:sz w:val="32"/>
          <w:szCs w:val="44"/>
          <w:highlight w:val="none"/>
        </w:rPr>
        <w:t>附件</w:t>
      </w:r>
      <w:bookmarkEnd w:id="536"/>
      <w:bookmarkEnd w:id="537"/>
      <w:bookmarkEnd w:id="538"/>
      <w:r>
        <w:rPr>
          <w:rFonts w:hint="eastAsia" w:ascii="黑体" w:hAnsi="黑体" w:cs="黑体"/>
          <w:b/>
          <w:bCs/>
          <w:color w:val="auto"/>
          <w:sz w:val="32"/>
          <w:szCs w:val="44"/>
          <w:highlight w:val="none"/>
          <w:lang w:val="en-US" w:eastAsia="zh-CN"/>
        </w:rPr>
        <w:t>4</w:t>
      </w:r>
    </w:p>
    <w:p>
      <w:pPr>
        <w:widowControl w:val="0"/>
        <w:wordWrap/>
        <w:adjustRightInd/>
        <w:snapToGrid/>
        <w:spacing w:after="157" w:afterLines="50" w:line="560" w:lineRule="exact"/>
        <w:ind w:left="0" w:leftChars="0" w:firstLine="0" w:firstLineChars="0"/>
        <w:jc w:val="center"/>
        <w:textAlignment w:val="auto"/>
        <w:outlineLvl w:val="1"/>
        <w:rPr>
          <w:rFonts w:hint="eastAsia" w:ascii="楷体_GB2312" w:hAnsi="楷体_GB2312" w:eastAsia="楷体_GB2312" w:cs="楷体_GB2312"/>
          <w:bCs/>
          <w:kern w:val="0"/>
          <w:sz w:val="32"/>
          <w:szCs w:val="32"/>
          <w:highlight w:val="none"/>
          <w:lang w:val="en-US" w:eastAsia="zh-CN"/>
        </w:rPr>
      </w:pPr>
      <w:bookmarkStart w:id="545" w:name="_Toc6051"/>
      <w:bookmarkStart w:id="546" w:name="_Toc12799"/>
      <w:bookmarkStart w:id="547" w:name="_Toc23109"/>
      <w:r>
        <w:rPr>
          <w:rFonts w:hint="eastAsia" w:ascii="楷体_GB2312" w:hAnsi="楷体_GB2312" w:eastAsia="楷体_GB2312" w:cs="楷体_GB2312"/>
          <w:bCs/>
          <w:kern w:val="0"/>
          <w:sz w:val="32"/>
          <w:szCs w:val="32"/>
          <w:highlight w:val="none"/>
          <w:lang w:val="en-US" w:eastAsia="zh-CN"/>
        </w:rPr>
        <w:t>大兴区环境应急协调小组成员单位通讯录</w:t>
      </w:r>
      <w:bookmarkEnd w:id="539"/>
      <w:bookmarkEnd w:id="540"/>
      <w:bookmarkEnd w:id="541"/>
      <w:bookmarkEnd w:id="542"/>
      <w:bookmarkEnd w:id="543"/>
      <w:bookmarkEnd w:id="544"/>
      <w:bookmarkEnd w:id="545"/>
      <w:bookmarkEnd w:id="546"/>
      <w:bookmarkEnd w:id="547"/>
    </w:p>
    <w:tbl>
      <w:tblPr>
        <w:tblStyle w:val="2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1979"/>
        <w:gridCol w:w="197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6" w:type="dxa"/>
            <w:vAlign w:val="center"/>
          </w:tcPr>
          <w:p>
            <w:pPr>
              <w:spacing w:line="240" w:lineRule="auto"/>
              <w:ind w:firstLine="0" w:firstLineChars="0"/>
              <w:jc w:val="center"/>
              <w:rPr>
                <w:rFonts w:hint="eastAsia" w:ascii="黑体" w:hAnsi="黑体" w:eastAsia="黑体" w:cs="黑体"/>
                <w:b/>
                <w:bCs/>
                <w:snapToGrid w:val="0"/>
                <w:color w:val="000000"/>
                <w:sz w:val="28"/>
                <w:szCs w:val="28"/>
                <w:highlight w:val="none"/>
                <w:lang w:val="en-US" w:eastAsia="zh-CN" w:bidi="ar-SA"/>
              </w:rPr>
            </w:pPr>
            <w:r>
              <w:rPr>
                <w:rFonts w:hint="eastAsia" w:ascii="黑体" w:hAnsi="黑体" w:eastAsia="黑体" w:cs="黑体"/>
                <w:b/>
                <w:bCs/>
                <w:snapToGrid w:val="0"/>
                <w:color w:val="000000"/>
                <w:sz w:val="28"/>
                <w:szCs w:val="28"/>
                <w:highlight w:val="none"/>
                <w:lang w:val="en-US" w:eastAsia="zh-CN" w:bidi="ar-SA"/>
              </w:rPr>
              <w:t>成员单位</w:t>
            </w:r>
          </w:p>
        </w:tc>
        <w:tc>
          <w:tcPr>
            <w:tcW w:w="1979" w:type="dxa"/>
            <w:vAlign w:val="center"/>
          </w:tcPr>
          <w:p>
            <w:pPr>
              <w:spacing w:line="400" w:lineRule="exact"/>
              <w:ind w:firstLine="0" w:firstLineChars="0"/>
              <w:jc w:val="center"/>
              <w:rPr>
                <w:rFonts w:hint="eastAsia" w:ascii="黑体" w:hAnsi="黑体" w:eastAsia="黑体" w:cs="黑体"/>
                <w:b/>
                <w:bCs/>
                <w:snapToGrid w:val="0"/>
                <w:color w:val="000000"/>
                <w:sz w:val="28"/>
                <w:szCs w:val="28"/>
                <w:highlight w:val="none"/>
                <w:lang w:val="en-US" w:eastAsia="zh-CN" w:bidi="ar-SA"/>
              </w:rPr>
            </w:pPr>
            <w:r>
              <w:rPr>
                <w:rFonts w:hint="eastAsia" w:ascii="黑体" w:hAnsi="黑体" w:eastAsia="黑体" w:cs="黑体"/>
                <w:b/>
                <w:bCs/>
                <w:snapToGrid w:val="0"/>
                <w:color w:val="000000"/>
                <w:sz w:val="28"/>
                <w:szCs w:val="28"/>
                <w:highlight w:val="none"/>
                <w:lang w:val="en-US" w:eastAsia="zh-CN" w:bidi="ar-SA"/>
              </w:rPr>
              <w:t>办公电话</w:t>
            </w:r>
          </w:p>
        </w:tc>
        <w:tc>
          <w:tcPr>
            <w:tcW w:w="1979" w:type="dxa"/>
            <w:vAlign w:val="center"/>
          </w:tcPr>
          <w:p>
            <w:pPr>
              <w:spacing w:line="400" w:lineRule="exact"/>
              <w:ind w:firstLine="0" w:firstLineChars="0"/>
              <w:jc w:val="center"/>
              <w:rPr>
                <w:rFonts w:hint="eastAsia" w:ascii="黑体" w:hAnsi="黑体" w:eastAsia="黑体" w:cs="黑体"/>
                <w:b/>
                <w:bCs/>
                <w:snapToGrid w:val="0"/>
                <w:color w:val="000000"/>
                <w:sz w:val="28"/>
                <w:szCs w:val="28"/>
                <w:highlight w:val="none"/>
                <w:lang w:val="en-US" w:eastAsia="zh-CN" w:bidi="ar-SA"/>
              </w:rPr>
            </w:pPr>
            <w:r>
              <w:rPr>
                <w:rFonts w:hint="eastAsia" w:ascii="黑体" w:hAnsi="黑体" w:eastAsia="黑体" w:cs="黑体"/>
                <w:b/>
                <w:bCs/>
                <w:snapToGrid w:val="0"/>
                <w:color w:val="000000"/>
                <w:sz w:val="28"/>
                <w:szCs w:val="28"/>
                <w:highlight w:val="none"/>
                <w:lang w:val="en-US" w:eastAsia="zh-CN" w:bidi="ar-SA"/>
              </w:rPr>
              <w:t>值班电话</w:t>
            </w:r>
          </w:p>
        </w:tc>
        <w:tc>
          <w:tcPr>
            <w:tcW w:w="1980" w:type="dxa"/>
            <w:vAlign w:val="center"/>
          </w:tcPr>
          <w:p>
            <w:pPr>
              <w:spacing w:line="400" w:lineRule="exact"/>
              <w:ind w:firstLine="0" w:firstLineChars="0"/>
              <w:jc w:val="center"/>
              <w:rPr>
                <w:rFonts w:hint="eastAsia" w:ascii="黑体" w:hAnsi="黑体" w:eastAsia="黑体" w:cs="黑体"/>
                <w:b/>
                <w:bCs/>
                <w:snapToGrid w:val="0"/>
                <w:color w:val="000000"/>
                <w:sz w:val="28"/>
                <w:szCs w:val="28"/>
                <w:highlight w:val="none"/>
                <w:lang w:val="en-US" w:eastAsia="zh-CN" w:bidi="ar-SA"/>
              </w:rPr>
            </w:pPr>
            <w:r>
              <w:rPr>
                <w:rFonts w:hint="eastAsia" w:ascii="黑体" w:hAnsi="黑体" w:eastAsia="黑体" w:cs="黑体"/>
                <w:b/>
                <w:bCs/>
                <w:snapToGrid w:val="0"/>
                <w:color w:val="000000"/>
                <w:sz w:val="28"/>
                <w:szCs w:val="28"/>
                <w:highlight w:val="none"/>
                <w:lang w:val="en-US" w:eastAsia="zh-CN" w:bidi="ar-S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区政府值班电话</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61298500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61298500</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区生态环境局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69243360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69243360</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69292494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区委宣传部</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61298639</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69255826</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61298639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区委网信办</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81299612</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81299612</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zh-CN" w:eastAsia="zh-CN" w:bidi="ar-SA"/>
              </w:rPr>
              <w:t>区发展改革委</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81296287</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81296296</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区教委</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81296384</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69243338</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区经济和信息化局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89295030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69243537</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69243537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市公安局大兴分局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69242301</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69242301</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区司法局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69293146</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69293146</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69293146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区财政局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69243237</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69269988</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市规划和自然资源委大兴分局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69261720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69261029</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区住房城乡建设委</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69261330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69243727</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69253165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区城市管理委</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81296430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69241977</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区交通局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default" w:ascii="仿宋_GB2312" w:hAnsi="仿宋_GB2312" w:eastAsia="仿宋_GB2312" w:cs="仿宋_GB2312"/>
                <w:snapToGrid w:val="0"/>
                <w:color w:val="000000"/>
                <w:sz w:val="28"/>
                <w:szCs w:val="21"/>
                <w:highlight w:val="none"/>
                <w:lang w:val="en-US" w:eastAsia="zh-CN" w:bidi="ar-SA"/>
              </w:rPr>
              <w:t>69295698</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default" w:ascii="仿宋_GB2312" w:hAnsi="仿宋_GB2312" w:eastAsia="仿宋_GB2312" w:cs="仿宋_GB2312"/>
                <w:snapToGrid w:val="0"/>
                <w:color w:val="000000"/>
                <w:sz w:val="28"/>
                <w:szCs w:val="21"/>
                <w:highlight w:val="none"/>
                <w:lang w:val="en-US" w:eastAsia="zh-CN" w:bidi="ar-SA"/>
              </w:rPr>
              <w:t>69298188</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default" w:ascii="仿宋_GB2312" w:hAnsi="仿宋_GB2312" w:eastAsia="仿宋_GB2312" w:cs="仿宋_GB2312"/>
                <w:snapToGrid w:val="0"/>
                <w:color w:val="000000"/>
                <w:sz w:val="28"/>
                <w:szCs w:val="21"/>
                <w:highlight w:val="none"/>
                <w:lang w:val="en-US" w:eastAsia="zh-CN" w:bidi="ar-SA"/>
              </w:rPr>
              <w:t>69298188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区水务局</w:t>
            </w:r>
          </w:p>
        </w:tc>
        <w:tc>
          <w:tcPr>
            <w:tcW w:w="1979" w:type="dxa"/>
            <w:vAlign w:val="center"/>
          </w:tcPr>
          <w:p>
            <w:pPr>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cs="仿宋_GB2312"/>
                <w:snapToGrid w:val="0"/>
                <w:color w:val="000000"/>
                <w:sz w:val="28"/>
                <w:szCs w:val="21"/>
                <w:highlight w:val="none"/>
                <w:lang w:val="en-US" w:eastAsia="zh-CN" w:bidi="ar-SA"/>
              </w:rPr>
              <w:t>81298180</w:t>
            </w:r>
          </w:p>
        </w:tc>
        <w:tc>
          <w:tcPr>
            <w:tcW w:w="1979" w:type="dxa"/>
            <w:vAlign w:val="center"/>
          </w:tcPr>
          <w:p>
            <w:pPr>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cs="仿宋_GB2312"/>
                <w:snapToGrid w:val="0"/>
                <w:color w:val="000000"/>
                <w:sz w:val="28"/>
                <w:szCs w:val="21"/>
                <w:highlight w:val="none"/>
                <w:lang w:val="en-US" w:eastAsia="zh-CN" w:bidi="ar-SA"/>
              </w:rPr>
              <w:t>81298190</w:t>
            </w:r>
          </w:p>
        </w:tc>
        <w:tc>
          <w:tcPr>
            <w:tcW w:w="1980" w:type="dxa"/>
            <w:vAlign w:val="center"/>
          </w:tcPr>
          <w:p>
            <w:pPr>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cs="仿宋_GB2312"/>
                <w:snapToGrid w:val="0"/>
                <w:color w:val="000000"/>
                <w:sz w:val="28"/>
                <w:szCs w:val="21"/>
                <w:highlight w:val="none"/>
                <w:lang w:val="en-US" w:eastAsia="zh-CN" w:bidi="ar-SA"/>
              </w:rPr>
              <w:t>81298177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区农业农村局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81298539</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81298560</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区商务局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81298261</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81298265</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区卫生健康委</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60283980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69244335</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60283980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区应急管理局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69207142</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69207142</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69207400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区市场监管局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69253790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69253790</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69253790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区国资委</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81296250</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81296224</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bidi="ar-SA"/>
              </w:rPr>
              <w:t>区园林绿化局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81298894</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69243349</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81298042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区交通支队</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69272047</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69242047</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区消防救援支队</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69262119</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69262119</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区气象局</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69298613</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61241548</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61247850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pPr>
              <w:topLinePunct/>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bidi="ar-SA"/>
              </w:rPr>
            </w:pPr>
            <w:r>
              <w:rPr>
                <w:rFonts w:hint="eastAsia" w:ascii="仿宋_GB2312" w:hAnsi="仿宋_GB2312" w:eastAsia="仿宋_GB2312" w:cs="仿宋_GB2312"/>
                <w:snapToGrid w:val="0"/>
                <w:color w:val="000000"/>
                <w:sz w:val="28"/>
                <w:szCs w:val="21"/>
                <w:highlight w:val="none"/>
                <w:lang w:val="en-US" w:eastAsia="zh-CN" w:bidi="ar-SA"/>
              </w:rPr>
              <w:t>区融媒体中心</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69204416</w:t>
            </w:r>
          </w:p>
        </w:tc>
        <w:tc>
          <w:tcPr>
            <w:tcW w:w="1979"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69242221</w:t>
            </w:r>
          </w:p>
        </w:tc>
        <w:tc>
          <w:tcPr>
            <w:tcW w:w="1980" w:type="dxa"/>
            <w:vAlign w:val="center"/>
          </w:tcPr>
          <w:p>
            <w:pPr>
              <w:pStyle w:val="11"/>
              <w:spacing w:line="240" w:lineRule="auto"/>
              <w:ind w:firstLine="0" w:firstLineChars="0"/>
              <w:jc w:val="center"/>
              <w:rPr>
                <w:rFonts w:hint="eastAsia" w:ascii="仿宋_GB2312" w:hAnsi="仿宋_GB2312" w:eastAsia="仿宋_GB2312" w:cs="仿宋_GB2312"/>
                <w:snapToGrid w:val="0"/>
                <w:color w:val="000000"/>
                <w:sz w:val="28"/>
                <w:szCs w:val="21"/>
                <w:highlight w:val="none"/>
                <w:lang w:val="en-US" w:eastAsia="zh-CN" w:bidi="ar-SA"/>
              </w:rPr>
            </w:pPr>
            <w:r>
              <w:rPr>
                <w:rFonts w:hint="eastAsia" w:ascii="仿宋_GB2312" w:hAnsi="仿宋_GB2312" w:eastAsia="仿宋_GB2312" w:cs="仿宋_GB2312"/>
                <w:snapToGrid w:val="0"/>
                <w:color w:val="000000"/>
                <w:sz w:val="28"/>
                <w:szCs w:val="21"/>
                <w:highlight w:val="none"/>
                <w:lang w:val="en-US" w:eastAsia="zh-CN" w:bidi="ar-SA"/>
              </w:rPr>
              <w:t>69244977</w:t>
            </w:r>
          </w:p>
        </w:tc>
      </w:tr>
    </w:tbl>
    <w:p>
      <w:pPr>
        <w:pStyle w:val="11"/>
        <w:ind w:left="0" w:leftChars="0" w:firstLine="0" w:firstLineChars="0"/>
        <w:rPr>
          <w:rFonts w:hint="default" w:eastAsia="楷体_GB2312"/>
          <w:highlight w:val="none"/>
          <w:lang w:val="en-US" w:eastAsia="zh-CN"/>
        </w:rPr>
      </w:pPr>
    </w:p>
    <w:sectPr>
      <w:pgSz w:w="11905" w:h="16838"/>
      <w:pgMar w:top="1440" w:right="1803" w:bottom="1440" w:left="1803" w:header="851" w:footer="992" w:gutter="0"/>
      <w:cols w:space="720" w:num="1"/>
      <w:docGrid w:type="lines" w:linePitch="4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文星标宋">
    <w:altName w:val="微软雅黑"/>
    <w:panose1 w:val="02010609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rFonts w:ascii="Times New Roman" w:hAnsi="Times New Roman" w:eastAsia="仿宋_GB2312" w:cs="Arial"/>
        <w:snapToGrid w:val="0"/>
        <w:color w:val="000000"/>
        <w:sz w:val="18"/>
        <w:szCs w:val="21"/>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II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rFonts w:ascii="Times New Roman" w:hAnsi="Times New Roman" w:eastAsia="仿宋_GB2312" w:cs="Arial"/>
        <w:snapToGrid w:val="0"/>
        <w:color w:val="000000"/>
        <w:sz w:val="18"/>
        <w:szCs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YoMzEAQAAjw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JYoMzEAQAAjwMAAA4AAAAAAAAAAQAgAAAAHwEAAGRycy9lMm9Eb2MueG1s&#10;UEsFBgAAAAAGAAYAWQEAAFU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360"/>
      <w:rPr>
        <w:rFonts w:ascii="Calibri" w:hAnsi="Calibri" w:eastAsia="Calibri" w:cs="Calibri"/>
        <w:sz w:val="18"/>
        <w:szCs w:val="18"/>
      </w:rPr>
    </w:pPr>
    <w:r>
      <w:rPr>
        <w:rFonts w:ascii="Times New Roman" w:hAnsi="Times New Roman" w:eastAsia="仿宋_GB2312" w:cs="Arial"/>
        <w:snapToGrid w:val="0"/>
        <w:color w:val="000000"/>
        <w:sz w:val="18"/>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568A2"/>
    <w:multiLevelType w:val="singleLevel"/>
    <w:tmpl w:val="8F556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0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NTllYmE5MjQxNTYzM2VkOWRiZjZlZTczMThhNDIifQ=="/>
  </w:docVars>
  <w:rsids>
    <w:rsidRoot w:val="00172A27"/>
    <w:rsid w:val="000058E0"/>
    <w:rsid w:val="000135BF"/>
    <w:rsid w:val="00123F15"/>
    <w:rsid w:val="00172A27"/>
    <w:rsid w:val="001C4FC1"/>
    <w:rsid w:val="001F75AE"/>
    <w:rsid w:val="002517CA"/>
    <w:rsid w:val="00256D59"/>
    <w:rsid w:val="003114A0"/>
    <w:rsid w:val="00351A39"/>
    <w:rsid w:val="003926F2"/>
    <w:rsid w:val="003A02C0"/>
    <w:rsid w:val="00456D6E"/>
    <w:rsid w:val="0046442B"/>
    <w:rsid w:val="004F1387"/>
    <w:rsid w:val="0051157E"/>
    <w:rsid w:val="005418DE"/>
    <w:rsid w:val="005E3759"/>
    <w:rsid w:val="006C2C0E"/>
    <w:rsid w:val="00722540"/>
    <w:rsid w:val="008436D4"/>
    <w:rsid w:val="008532AD"/>
    <w:rsid w:val="008A5047"/>
    <w:rsid w:val="00A065C3"/>
    <w:rsid w:val="00A831E8"/>
    <w:rsid w:val="00A83D83"/>
    <w:rsid w:val="00B1256E"/>
    <w:rsid w:val="00B56675"/>
    <w:rsid w:val="00B624A8"/>
    <w:rsid w:val="00B96BB7"/>
    <w:rsid w:val="00CA1C8B"/>
    <w:rsid w:val="00CA3A5E"/>
    <w:rsid w:val="00CB4701"/>
    <w:rsid w:val="00D43159"/>
    <w:rsid w:val="00DA19DE"/>
    <w:rsid w:val="00DF09B2"/>
    <w:rsid w:val="00E417C7"/>
    <w:rsid w:val="00E507D1"/>
    <w:rsid w:val="00EE444D"/>
    <w:rsid w:val="00F11FE6"/>
    <w:rsid w:val="00F32D44"/>
    <w:rsid w:val="010664FB"/>
    <w:rsid w:val="01487256"/>
    <w:rsid w:val="015770BC"/>
    <w:rsid w:val="01B67B96"/>
    <w:rsid w:val="01FB40D3"/>
    <w:rsid w:val="020C6D6D"/>
    <w:rsid w:val="020F7C1F"/>
    <w:rsid w:val="022A458F"/>
    <w:rsid w:val="023B0076"/>
    <w:rsid w:val="02517E99"/>
    <w:rsid w:val="027053E6"/>
    <w:rsid w:val="02784B76"/>
    <w:rsid w:val="02DE36DC"/>
    <w:rsid w:val="02E767ED"/>
    <w:rsid w:val="0331105F"/>
    <w:rsid w:val="033C0E47"/>
    <w:rsid w:val="036A0A45"/>
    <w:rsid w:val="037D086E"/>
    <w:rsid w:val="03A10821"/>
    <w:rsid w:val="03AE7CE5"/>
    <w:rsid w:val="03DC7E3F"/>
    <w:rsid w:val="03E027AB"/>
    <w:rsid w:val="03F4702C"/>
    <w:rsid w:val="03F6694C"/>
    <w:rsid w:val="040A67B1"/>
    <w:rsid w:val="04164933"/>
    <w:rsid w:val="04266A07"/>
    <w:rsid w:val="04354B38"/>
    <w:rsid w:val="049F52DD"/>
    <w:rsid w:val="04B627AB"/>
    <w:rsid w:val="05190A51"/>
    <w:rsid w:val="051C5408"/>
    <w:rsid w:val="0543480D"/>
    <w:rsid w:val="05504736"/>
    <w:rsid w:val="05641788"/>
    <w:rsid w:val="056964A8"/>
    <w:rsid w:val="057F7F0D"/>
    <w:rsid w:val="05B56049"/>
    <w:rsid w:val="05D6061E"/>
    <w:rsid w:val="05E274B2"/>
    <w:rsid w:val="060F3573"/>
    <w:rsid w:val="061439B5"/>
    <w:rsid w:val="061B4D44"/>
    <w:rsid w:val="06451DC1"/>
    <w:rsid w:val="066F3CB0"/>
    <w:rsid w:val="068419D6"/>
    <w:rsid w:val="06E074A5"/>
    <w:rsid w:val="06F04422"/>
    <w:rsid w:val="071D689A"/>
    <w:rsid w:val="07230CCD"/>
    <w:rsid w:val="076B1CFB"/>
    <w:rsid w:val="07B70A9C"/>
    <w:rsid w:val="07C173D3"/>
    <w:rsid w:val="07DE73FE"/>
    <w:rsid w:val="07E95DA4"/>
    <w:rsid w:val="0809289D"/>
    <w:rsid w:val="080D300D"/>
    <w:rsid w:val="08316AA1"/>
    <w:rsid w:val="085E2A6E"/>
    <w:rsid w:val="08672810"/>
    <w:rsid w:val="087B220D"/>
    <w:rsid w:val="08832F20"/>
    <w:rsid w:val="08D12032"/>
    <w:rsid w:val="08D359AD"/>
    <w:rsid w:val="08D413C2"/>
    <w:rsid w:val="09012917"/>
    <w:rsid w:val="091068FD"/>
    <w:rsid w:val="092D2419"/>
    <w:rsid w:val="092F63B2"/>
    <w:rsid w:val="09460264"/>
    <w:rsid w:val="094A6D04"/>
    <w:rsid w:val="094D790A"/>
    <w:rsid w:val="094F396E"/>
    <w:rsid w:val="0952552C"/>
    <w:rsid w:val="09683614"/>
    <w:rsid w:val="09764EF6"/>
    <w:rsid w:val="097736D5"/>
    <w:rsid w:val="097F3798"/>
    <w:rsid w:val="09811362"/>
    <w:rsid w:val="09872A66"/>
    <w:rsid w:val="09A80FE4"/>
    <w:rsid w:val="09A97611"/>
    <w:rsid w:val="09CE5ADC"/>
    <w:rsid w:val="09DC5427"/>
    <w:rsid w:val="09DE5007"/>
    <w:rsid w:val="09E417DC"/>
    <w:rsid w:val="0A0250B2"/>
    <w:rsid w:val="0A075D0B"/>
    <w:rsid w:val="0A0A4155"/>
    <w:rsid w:val="0A0C1573"/>
    <w:rsid w:val="0A2F40D5"/>
    <w:rsid w:val="0A4277A6"/>
    <w:rsid w:val="0A5847B8"/>
    <w:rsid w:val="0A774AFC"/>
    <w:rsid w:val="0A926F89"/>
    <w:rsid w:val="0AEB79C7"/>
    <w:rsid w:val="0B062139"/>
    <w:rsid w:val="0B2C56BA"/>
    <w:rsid w:val="0B495EAF"/>
    <w:rsid w:val="0B6A7300"/>
    <w:rsid w:val="0B71410B"/>
    <w:rsid w:val="0BB93035"/>
    <w:rsid w:val="0BD4283E"/>
    <w:rsid w:val="0BD57A1F"/>
    <w:rsid w:val="0BDD7C8A"/>
    <w:rsid w:val="0BEA313C"/>
    <w:rsid w:val="0C0569C6"/>
    <w:rsid w:val="0C143969"/>
    <w:rsid w:val="0C2D56C2"/>
    <w:rsid w:val="0C48317F"/>
    <w:rsid w:val="0C4E3D23"/>
    <w:rsid w:val="0C547201"/>
    <w:rsid w:val="0C59254A"/>
    <w:rsid w:val="0C5965C6"/>
    <w:rsid w:val="0C796C68"/>
    <w:rsid w:val="0C8B3C1E"/>
    <w:rsid w:val="0C96338F"/>
    <w:rsid w:val="0CC31C91"/>
    <w:rsid w:val="0D3F1719"/>
    <w:rsid w:val="0D6470A7"/>
    <w:rsid w:val="0D7C2CD9"/>
    <w:rsid w:val="0DB9300E"/>
    <w:rsid w:val="0DC3031C"/>
    <w:rsid w:val="0DCD1761"/>
    <w:rsid w:val="0DE01542"/>
    <w:rsid w:val="0DF219DC"/>
    <w:rsid w:val="0DF447F8"/>
    <w:rsid w:val="0E2B792F"/>
    <w:rsid w:val="0E653000"/>
    <w:rsid w:val="0E784785"/>
    <w:rsid w:val="0E937374"/>
    <w:rsid w:val="0EA1346E"/>
    <w:rsid w:val="0EC07807"/>
    <w:rsid w:val="0EC65EEA"/>
    <w:rsid w:val="0ED37CED"/>
    <w:rsid w:val="0EE41D10"/>
    <w:rsid w:val="0EEE737E"/>
    <w:rsid w:val="0F227143"/>
    <w:rsid w:val="0F2729AB"/>
    <w:rsid w:val="0F533D1F"/>
    <w:rsid w:val="0F97086E"/>
    <w:rsid w:val="0FAE04B3"/>
    <w:rsid w:val="10007E89"/>
    <w:rsid w:val="101B6F95"/>
    <w:rsid w:val="102F0038"/>
    <w:rsid w:val="10973B61"/>
    <w:rsid w:val="10A56D0B"/>
    <w:rsid w:val="10A93D64"/>
    <w:rsid w:val="10BC6B6C"/>
    <w:rsid w:val="10F51AB3"/>
    <w:rsid w:val="111E17A6"/>
    <w:rsid w:val="1133356E"/>
    <w:rsid w:val="11B10722"/>
    <w:rsid w:val="11E50B53"/>
    <w:rsid w:val="11F83793"/>
    <w:rsid w:val="11FA7F03"/>
    <w:rsid w:val="11FB56CD"/>
    <w:rsid w:val="121D49CA"/>
    <w:rsid w:val="122F11BA"/>
    <w:rsid w:val="123B5C75"/>
    <w:rsid w:val="12477EB9"/>
    <w:rsid w:val="12670B43"/>
    <w:rsid w:val="1286241A"/>
    <w:rsid w:val="128D0D77"/>
    <w:rsid w:val="12E117BE"/>
    <w:rsid w:val="12E30655"/>
    <w:rsid w:val="12F80B39"/>
    <w:rsid w:val="13185C15"/>
    <w:rsid w:val="13236371"/>
    <w:rsid w:val="1339624C"/>
    <w:rsid w:val="133F0FB7"/>
    <w:rsid w:val="135309DF"/>
    <w:rsid w:val="13561AB1"/>
    <w:rsid w:val="1377691A"/>
    <w:rsid w:val="13CC37B1"/>
    <w:rsid w:val="13D056F9"/>
    <w:rsid w:val="13EF1EDE"/>
    <w:rsid w:val="13FF61C6"/>
    <w:rsid w:val="141A2573"/>
    <w:rsid w:val="142C45C0"/>
    <w:rsid w:val="14521232"/>
    <w:rsid w:val="14770F0A"/>
    <w:rsid w:val="14826499"/>
    <w:rsid w:val="14A76710"/>
    <w:rsid w:val="14C20197"/>
    <w:rsid w:val="14EE6F0E"/>
    <w:rsid w:val="14F42397"/>
    <w:rsid w:val="15043D5A"/>
    <w:rsid w:val="150D2110"/>
    <w:rsid w:val="15353963"/>
    <w:rsid w:val="1540264F"/>
    <w:rsid w:val="154716B1"/>
    <w:rsid w:val="155D7AD4"/>
    <w:rsid w:val="157B135B"/>
    <w:rsid w:val="15A7A467"/>
    <w:rsid w:val="15AD5DAA"/>
    <w:rsid w:val="15D3209E"/>
    <w:rsid w:val="15E17D08"/>
    <w:rsid w:val="15F72055"/>
    <w:rsid w:val="16196205"/>
    <w:rsid w:val="1636753F"/>
    <w:rsid w:val="166A3D9C"/>
    <w:rsid w:val="169D2A45"/>
    <w:rsid w:val="16AD0506"/>
    <w:rsid w:val="16C15E40"/>
    <w:rsid w:val="172D705F"/>
    <w:rsid w:val="17367C2F"/>
    <w:rsid w:val="173C3B90"/>
    <w:rsid w:val="174336F0"/>
    <w:rsid w:val="174B2B0E"/>
    <w:rsid w:val="1764388A"/>
    <w:rsid w:val="17A85D7C"/>
    <w:rsid w:val="17D23A25"/>
    <w:rsid w:val="17DE5C72"/>
    <w:rsid w:val="17EB72BA"/>
    <w:rsid w:val="17F12F10"/>
    <w:rsid w:val="18022D5B"/>
    <w:rsid w:val="18490804"/>
    <w:rsid w:val="189F35B2"/>
    <w:rsid w:val="18E441A1"/>
    <w:rsid w:val="18E965BC"/>
    <w:rsid w:val="18EE3DC8"/>
    <w:rsid w:val="18F953B8"/>
    <w:rsid w:val="19067AED"/>
    <w:rsid w:val="195E07D5"/>
    <w:rsid w:val="196F0A56"/>
    <w:rsid w:val="19841E03"/>
    <w:rsid w:val="199724DC"/>
    <w:rsid w:val="19AF3AE6"/>
    <w:rsid w:val="19AF7825"/>
    <w:rsid w:val="19E66CFD"/>
    <w:rsid w:val="19F811CC"/>
    <w:rsid w:val="1A0B2535"/>
    <w:rsid w:val="1A1136B3"/>
    <w:rsid w:val="1A224575"/>
    <w:rsid w:val="1A27399D"/>
    <w:rsid w:val="1A622AE9"/>
    <w:rsid w:val="1AAD3782"/>
    <w:rsid w:val="1AB433B3"/>
    <w:rsid w:val="1AE84C54"/>
    <w:rsid w:val="1AED1B66"/>
    <w:rsid w:val="1B0522BE"/>
    <w:rsid w:val="1B4632A3"/>
    <w:rsid w:val="1B4E677F"/>
    <w:rsid w:val="1B572F6A"/>
    <w:rsid w:val="1BB17591"/>
    <w:rsid w:val="1BB5396A"/>
    <w:rsid w:val="1BB57F38"/>
    <w:rsid w:val="1BE064C7"/>
    <w:rsid w:val="1C120AA9"/>
    <w:rsid w:val="1C3919DF"/>
    <w:rsid w:val="1C607BAF"/>
    <w:rsid w:val="1C8E5E18"/>
    <w:rsid w:val="1CCA0BA3"/>
    <w:rsid w:val="1CD43FC7"/>
    <w:rsid w:val="1CF53912"/>
    <w:rsid w:val="1D174F16"/>
    <w:rsid w:val="1D256942"/>
    <w:rsid w:val="1D2D236D"/>
    <w:rsid w:val="1D631052"/>
    <w:rsid w:val="1D664AC2"/>
    <w:rsid w:val="1D6B4F28"/>
    <w:rsid w:val="1D921938"/>
    <w:rsid w:val="1D9619FB"/>
    <w:rsid w:val="1DA0099F"/>
    <w:rsid w:val="1DC00253"/>
    <w:rsid w:val="1DDD257C"/>
    <w:rsid w:val="1DF60CD6"/>
    <w:rsid w:val="1E0E1162"/>
    <w:rsid w:val="1E1B305A"/>
    <w:rsid w:val="1E341D54"/>
    <w:rsid w:val="1E45337F"/>
    <w:rsid w:val="1E5B2B48"/>
    <w:rsid w:val="1E792EF6"/>
    <w:rsid w:val="1EBF7FB0"/>
    <w:rsid w:val="1EC53A66"/>
    <w:rsid w:val="1EE53AB7"/>
    <w:rsid w:val="1F031B0F"/>
    <w:rsid w:val="1F0A3F2F"/>
    <w:rsid w:val="1F1C08E1"/>
    <w:rsid w:val="1F31295A"/>
    <w:rsid w:val="1F316F2E"/>
    <w:rsid w:val="1F5B7E91"/>
    <w:rsid w:val="1F625134"/>
    <w:rsid w:val="1F673B51"/>
    <w:rsid w:val="1F880941"/>
    <w:rsid w:val="1F8E74F3"/>
    <w:rsid w:val="1FC97030"/>
    <w:rsid w:val="1FD552B3"/>
    <w:rsid w:val="1FD92CDE"/>
    <w:rsid w:val="1FDE70B6"/>
    <w:rsid w:val="1FEFC8CD"/>
    <w:rsid w:val="1FF3262A"/>
    <w:rsid w:val="203A6D77"/>
    <w:rsid w:val="20607E09"/>
    <w:rsid w:val="206F111C"/>
    <w:rsid w:val="207C43F8"/>
    <w:rsid w:val="20C21CF6"/>
    <w:rsid w:val="20C51417"/>
    <w:rsid w:val="20C75D9C"/>
    <w:rsid w:val="20EA2AED"/>
    <w:rsid w:val="20EC29C2"/>
    <w:rsid w:val="21275ADC"/>
    <w:rsid w:val="214D63B6"/>
    <w:rsid w:val="214E5B76"/>
    <w:rsid w:val="216435EB"/>
    <w:rsid w:val="2182656E"/>
    <w:rsid w:val="21CA22A2"/>
    <w:rsid w:val="21D05EC6"/>
    <w:rsid w:val="21D56297"/>
    <w:rsid w:val="21D73DBD"/>
    <w:rsid w:val="21F6713D"/>
    <w:rsid w:val="2206209B"/>
    <w:rsid w:val="221801BF"/>
    <w:rsid w:val="22317971"/>
    <w:rsid w:val="223C6BD4"/>
    <w:rsid w:val="227B6E3E"/>
    <w:rsid w:val="2288155B"/>
    <w:rsid w:val="22977A3D"/>
    <w:rsid w:val="229B3E5C"/>
    <w:rsid w:val="22B06C3A"/>
    <w:rsid w:val="22CB7FA9"/>
    <w:rsid w:val="22D64075"/>
    <w:rsid w:val="22FF1184"/>
    <w:rsid w:val="231F5A1C"/>
    <w:rsid w:val="23274A15"/>
    <w:rsid w:val="23506392"/>
    <w:rsid w:val="235A6CAA"/>
    <w:rsid w:val="237165FF"/>
    <w:rsid w:val="23770C55"/>
    <w:rsid w:val="23786BBE"/>
    <w:rsid w:val="238815C6"/>
    <w:rsid w:val="23BD773B"/>
    <w:rsid w:val="23CC025A"/>
    <w:rsid w:val="240348D3"/>
    <w:rsid w:val="241F5BFC"/>
    <w:rsid w:val="24564CE1"/>
    <w:rsid w:val="249146F7"/>
    <w:rsid w:val="24CF521F"/>
    <w:rsid w:val="24D83ECE"/>
    <w:rsid w:val="24E702DC"/>
    <w:rsid w:val="24E87743"/>
    <w:rsid w:val="24EB73C3"/>
    <w:rsid w:val="25001476"/>
    <w:rsid w:val="250B5AC7"/>
    <w:rsid w:val="25165837"/>
    <w:rsid w:val="25176635"/>
    <w:rsid w:val="251E669C"/>
    <w:rsid w:val="251F7F55"/>
    <w:rsid w:val="25642C6B"/>
    <w:rsid w:val="25877235"/>
    <w:rsid w:val="259D250F"/>
    <w:rsid w:val="259F0DDB"/>
    <w:rsid w:val="26007681"/>
    <w:rsid w:val="26483E76"/>
    <w:rsid w:val="2684434D"/>
    <w:rsid w:val="268D2E7B"/>
    <w:rsid w:val="26B8385C"/>
    <w:rsid w:val="26D33589"/>
    <w:rsid w:val="26E97F59"/>
    <w:rsid w:val="26F4289B"/>
    <w:rsid w:val="271E7498"/>
    <w:rsid w:val="272D52B9"/>
    <w:rsid w:val="273B094A"/>
    <w:rsid w:val="273C2970"/>
    <w:rsid w:val="27602494"/>
    <w:rsid w:val="276170A1"/>
    <w:rsid w:val="277968A0"/>
    <w:rsid w:val="27816AAD"/>
    <w:rsid w:val="27940FAC"/>
    <w:rsid w:val="27DF2DC7"/>
    <w:rsid w:val="27EA380C"/>
    <w:rsid w:val="27F3D41A"/>
    <w:rsid w:val="27F47E39"/>
    <w:rsid w:val="27FC396E"/>
    <w:rsid w:val="28140F20"/>
    <w:rsid w:val="284B0782"/>
    <w:rsid w:val="287D7963"/>
    <w:rsid w:val="288D2936"/>
    <w:rsid w:val="28984C7A"/>
    <w:rsid w:val="28B0085E"/>
    <w:rsid w:val="28EF1F1D"/>
    <w:rsid w:val="28F94556"/>
    <w:rsid w:val="290C7449"/>
    <w:rsid w:val="2933713D"/>
    <w:rsid w:val="296E3259"/>
    <w:rsid w:val="29763EBB"/>
    <w:rsid w:val="298D1FAA"/>
    <w:rsid w:val="29934A6D"/>
    <w:rsid w:val="29E44A3E"/>
    <w:rsid w:val="29E54A4B"/>
    <w:rsid w:val="29FD5B8C"/>
    <w:rsid w:val="2A2739A1"/>
    <w:rsid w:val="2A297180"/>
    <w:rsid w:val="2A60528C"/>
    <w:rsid w:val="2A875C1F"/>
    <w:rsid w:val="2AA93164"/>
    <w:rsid w:val="2AAE469E"/>
    <w:rsid w:val="2AB31E07"/>
    <w:rsid w:val="2AB87E81"/>
    <w:rsid w:val="2ACA6621"/>
    <w:rsid w:val="2B004385"/>
    <w:rsid w:val="2B1D085E"/>
    <w:rsid w:val="2B5E745C"/>
    <w:rsid w:val="2B742BAB"/>
    <w:rsid w:val="2B980D20"/>
    <w:rsid w:val="2BE84B87"/>
    <w:rsid w:val="2BFF702F"/>
    <w:rsid w:val="2C0A0D35"/>
    <w:rsid w:val="2C3E07F5"/>
    <w:rsid w:val="2C5D4207"/>
    <w:rsid w:val="2C6564B2"/>
    <w:rsid w:val="2C987895"/>
    <w:rsid w:val="2CA50ADA"/>
    <w:rsid w:val="2CB423E6"/>
    <w:rsid w:val="2CE21C29"/>
    <w:rsid w:val="2CF33A75"/>
    <w:rsid w:val="2CFB4DE2"/>
    <w:rsid w:val="2D1E05C1"/>
    <w:rsid w:val="2D442DE3"/>
    <w:rsid w:val="2D49136E"/>
    <w:rsid w:val="2D6A1E4E"/>
    <w:rsid w:val="2D77634C"/>
    <w:rsid w:val="2D846C9A"/>
    <w:rsid w:val="2D8F4889"/>
    <w:rsid w:val="2D931C11"/>
    <w:rsid w:val="2DAF5BEE"/>
    <w:rsid w:val="2DB25456"/>
    <w:rsid w:val="2DC338C6"/>
    <w:rsid w:val="2DD72387"/>
    <w:rsid w:val="2DFFBFA9"/>
    <w:rsid w:val="2E02291E"/>
    <w:rsid w:val="2E2E3D51"/>
    <w:rsid w:val="2E514979"/>
    <w:rsid w:val="2E693A7F"/>
    <w:rsid w:val="2E786DB1"/>
    <w:rsid w:val="2E8331A7"/>
    <w:rsid w:val="2EB536D8"/>
    <w:rsid w:val="2EF574C2"/>
    <w:rsid w:val="2F24C3C6"/>
    <w:rsid w:val="2F2C4C16"/>
    <w:rsid w:val="2F6649D2"/>
    <w:rsid w:val="2F6D2AA2"/>
    <w:rsid w:val="2F95041E"/>
    <w:rsid w:val="2F967065"/>
    <w:rsid w:val="2FA20410"/>
    <w:rsid w:val="2FAE78EC"/>
    <w:rsid w:val="300B1B2D"/>
    <w:rsid w:val="302B6474"/>
    <w:rsid w:val="303F594F"/>
    <w:rsid w:val="30A145D5"/>
    <w:rsid w:val="30BA6D84"/>
    <w:rsid w:val="30C379CC"/>
    <w:rsid w:val="30E06E08"/>
    <w:rsid w:val="30F1626C"/>
    <w:rsid w:val="30F22F8B"/>
    <w:rsid w:val="31177182"/>
    <w:rsid w:val="312223EE"/>
    <w:rsid w:val="31285AC6"/>
    <w:rsid w:val="313E38FF"/>
    <w:rsid w:val="314E3989"/>
    <w:rsid w:val="31681250"/>
    <w:rsid w:val="31804F37"/>
    <w:rsid w:val="31E00868"/>
    <w:rsid w:val="3220355E"/>
    <w:rsid w:val="322841C1"/>
    <w:rsid w:val="32440FE0"/>
    <w:rsid w:val="326F125E"/>
    <w:rsid w:val="32752BB7"/>
    <w:rsid w:val="32AB107A"/>
    <w:rsid w:val="32C15905"/>
    <w:rsid w:val="32FD5F9F"/>
    <w:rsid w:val="333D5271"/>
    <w:rsid w:val="334007FB"/>
    <w:rsid w:val="335534AC"/>
    <w:rsid w:val="3371549C"/>
    <w:rsid w:val="33764335"/>
    <w:rsid w:val="337E1556"/>
    <w:rsid w:val="338549AE"/>
    <w:rsid w:val="33854D7F"/>
    <w:rsid w:val="338B34D9"/>
    <w:rsid w:val="33AF2763"/>
    <w:rsid w:val="33B14BF3"/>
    <w:rsid w:val="33D903B5"/>
    <w:rsid w:val="33EBF0D5"/>
    <w:rsid w:val="347D1306"/>
    <w:rsid w:val="348F2F25"/>
    <w:rsid w:val="35281680"/>
    <w:rsid w:val="3533663A"/>
    <w:rsid w:val="353B3AD7"/>
    <w:rsid w:val="35564A6A"/>
    <w:rsid w:val="35827AD6"/>
    <w:rsid w:val="35B16A60"/>
    <w:rsid w:val="35D02767"/>
    <w:rsid w:val="35EB67D0"/>
    <w:rsid w:val="36226989"/>
    <w:rsid w:val="364A0259"/>
    <w:rsid w:val="366F428B"/>
    <w:rsid w:val="367E2601"/>
    <w:rsid w:val="367F30C5"/>
    <w:rsid w:val="36837F88"/>
    <w:rsid w:val="36DC74B6"/>
    <w:rsid w:val="37103936"/>
    <w:rsid w:val="3718265D"/>
    <w:rsid w:val="37184804"/>
    <w:rsid w:val="37193956"/>
    <w:rsid w:val="371A5222"/>
    <w:rsid w:val="37405D23"/>
    <w:rsid w:val="37411FAD"/>
    <w:rsid w:val="376F3526"/>
    <w:rsid w:val="37B54749"/>
    <w:rsid w:val="37BEFB15"/>
    <w:rsid w:val="37D71BD1"/>
    <w:rsid w:val="37DA36E1"/>
    <w:rsid w:val="382E071F"/>
    <w:rsid w:val="38312FB4"/>
    <w:rsid w:val="384937B2"/>
    <w:rsid w:val="387C63D7"/>
    <w:rsid w:val="38D343F8"/>
    <w:rsid w:val="38E5105E"/>
    <w:rsid w:val="39010303"/>
    <w:rsid w:val="393A417B"/>
    <w:rsid w:val="3945284A"/>
    <w:rsid w:val="39457DA1"/>
    <w:rsid w:val="395B6F86"/>
    <w:rsid w:val="396B0A9C"/>
    <w:rsid w:val="3972790E"/>
    <w:rsid w:val="39745E96"/>
    <w:rsid w:val="39AA367B"/>
    <w:rsid w:val="39B27192"/>
    <w:rsid w:val="39BF14FE"/>
    <w:rsid w:val="39DF785B"/>
    <w:rsid w:val="39EC3D26"/>
    <w:rsid w:val="3A371445"/>
    <w:rsid w:val="3A394029"/>
    <w:rsid w:val="3A655743"/>
    <w:rsid w:val="3A69E9F6"/>
    <w:rsid w:val="3A8E50C7"/>
    <w:rsid w:val="3B443483"/>
    <w:rsid w:val="3B654562"/>
    <w:rsid w:val="3B9B1090"/>
    <w:rsid w:val="3BBA1A04"/>
    <w:rsid w:val="3BE455FD"/>
    <w:rsid w:val="3BED123F"/>
    <w:rsid w:val="3C4334ED"/>
    <w:rsid w:val="3C574ACE"/>
    <w:rsid w:val="3CA74E4B"/>
    <w:rsid w:val="3CBB51FA"/>
    <w:rsid w:val="3CC94695"/>
    <w:rsid w:val="3CF10E30"/>
    <w:rsid w:val="3D4669C5"/>
    <w:rsid w:val="3D485717"/>
    <w:rsid w:val="3DAA0B3F"/>
    <w:rsid w:val="3DBF2F1A"/>
    <w:rsid w:val="3DFDD4B3"/>
    <w:rsid w:val="3E292AC9"/>
    <w:rsid w:val="3E4039E1"/>
    <w:rsid w:val="3E48746D"/>
    <w:rsid w:val="3E4F1555"/>
    <w:rsid w:val="3E561DC7"/>
    <w:rsid w:val="3E5B5D22"/>
    <w:rsid w:val="3E934FC8"/>
    <w:rsid w:val="3EA51C99"/>
    <w:rsid w:val="3EA86982"/>
    <w:rsid w:val="3EE16B73"/>
    <w:rsid w:val="3EF304A5"/>
    <w:rsid w:val="3F8752D5"/>
    <w:rsid w:val="3F8C5169"/>
    <w:rsid w:val="3F9C22EC"/>
    <w:rsid w:val="3FC26A84"/>
    <w:rsid w:val="3FC30C10"/>
    <w:rsid w:val="3FF70B95"/>
    <w:rsid w:val="3FFEAFCE"/>
    <w:rsid w:val="404611B4"/>
    <w:rsid w:val="405934CF"/>
    <w:rsid w:val="4066144B"/>
    <w:rsid w:val="40704578"/>
    <w:rsid w:val="40B9636E"/>
    <w:rsid w:val="40BF2194"/>
    <w:rsid w:val="40C510CF"/>
    <w:rsid w:val="40E767D3"/>
    <w:rsid w:val="40F43DA1"/>
    <w:rsid w:val="41055600"/>
    <w:rsid w:val="41155A0E"/>
    <w:rsid w:val="415D5C35"/>
    <w:rsid w:val="417817ED"/>
    <w:rsid w:val="41782A6F"/>
    <w:rsid w:val="417A2A4B"/>
    <w:rsid w:val="41AF3FB7"/>
    <w:rsid w:val="41B15F1E"/>
    <w:rsid w:val="41BE6160"/>
    <w:rsid w:val="41CA7043"/>
    <w:rsid w:val="42002A4F"/>
    <w:rsid w:val="4211569E"/>
    <w:rsid w:val="42767338"/>
    <w:rsid w:val="429401D9"/>
    <w:rsid w:val="42BE5DA2"/>
    <w:rsid w:val="42DB051D"/>
    <w:rsid w:val="433C7E44"/>
    <w:rsid w:val="434D53D1"/>
    <w:rsid w:val="4359511F"/>
    <w:rsid w:val="436F39FE"/>
    <w:rsid w:val="437512C8"/>
    <w:rsid w:val="43B70A87"/>
    <w:rsid w:val="43B753A5"/>
    <w:rsid w:val="43CA3003"/>
    <w:rsid w:val="43DE0D2F"/>
    <w:rsid w:val="43DF474F"/>
    <w:rsid w:val="4416656F"/>
    <w:rsid w:val="446D7929"/>
    <w:rsid w:val="449561F9"/>
    <w:rsid w:val="44C03E03"/>
    <w:rsid w:val="44D621CD"/>
    <w:rsid w:val="44F40EA8"/>
    <w:rsid w:val="44FF0DB1"/>
    <w:rsid w:val="45244CBC"/>
    <w:rsid w:val="459A48E4"/>
    <w:rsid w:val="45E00B98"/>
    <w:rsid w:val="460213CC"/>
    <w:rsid w:val="464B69A4"/>
    <w:rsid w:val="46563D5B"/>
    <w:rsid w:val="46963997"/>
    <w:rsid w:val="46A60AFA"/>
    <w:rsid w:val="471274C2"/>
    <w:rsid w:val="4724568F"/>
    <w:rsid w:val="476C019A"/>
    <w:rsid w:val="477737C9"/>
    <w:rsid w:val="47956439"/>
    <w:rsid w:val="47EE3813"/>
    <w:rsid w:val="47F6064A"/>
    <w:rsid w:val="480367DD"/>
    <w:rsid w:val="48254FD3"/>
    <w:rsid w:val="485057CD"/>
    <w:rsid w:val="48A35A14"/>
    <w:rsid w:val="48A70C6A"/>
    <w:rsid w:val="4922216E"/>
    <w:rsid w:val="4928201E"/>
    <w:rsid w:val="493A41BD"/>
    <w:rsid w:val="49693D6A"/>
    <w:rsid w:val="496C5B15"/>
    <w:rsid w:val="497F9529"/>
    <w:rsid w:val="49AD71C5"/>
    <w:rsid w:val="49B506D8"/>
    <w:rsid w:val="49CF51F6"/>
    <w:rsid w:val="49D428DE"/>
    <w:rsid w:val="4A05562D"/>
    <w:rsid w:val="4A0964BF"/>
    <w:rsid w:val="4A6022F2"/>
    <w:rsid w:val="4A6670B3"/>
    <w:rsid w:val="4A74151F"/>
    <w:rsid w:val="4A7E7D2A"/>
    <w:rsid w:val="4AB26EBC"/>
    <w:rsid w:val="4AB65788"/>
    <w:rsid w:val="4B06733D"/>
    <w:rsid w:val="4B0B37CB"/>
    <w:rsid w:val="4B157C30"/>
    <w:rsid w:val="4B1D01E3"/>
    <w:rsid w:val="4B2E4FD6"/>
    <w:rsid w:val="4B3D3706"/>
    <w:rsid w:val="4B3F5729"/>
    <w:rsid w:val="4B630930"/>
    <w:rsid w:val="4B6834EC"/>
    <w:rsid w:val="4B9C25B4"/>
    <w:rsid w:val="4BF2578A"/>
    <w:rsid w:val="4C16550A"/>
    <w:rsid w:val="4C2A56B2"/>
    <w:rsid w:val="4C4874E2"/>
    <w:rsid w:val="4C4E6F5C"/>
    <w:rsid w:val="4C540290"/>
    <w:rsid w:val="4C607846"/>
    <w:rsid w:val="4CB66996"/>
    <w:rsid w:val="4CC101CD"/>
    <w:rsid w:val="4CF75580"/>
    <w:rsid w:val="4D4F27EF"/>
    <w:rsid w:val="4D64034B"/>
    <w:rsid w:val="4DA3773E"/>
    <w:rsid w:val="4DB24788"/>
    <w:rsid w:val="4DE669FA"/>
    <w:rsid w:val="4DF1C01A"/>
    <w:rsid w:val="4E2633B6"/>
    <w:rsid w:val="4E3A242B"/>
    <w:rsid w:val="4E593C28"/>
    <w:rsid w:val="4E634DE0"/>
    <w:rsid w:val="4EB11255"/>
    <w:rsid w:val="4EB52EAD"/>
    <w:rsid w:val="4EE871CB"/>
    <w:rsid w:val="4F0B7EB2"/>
    <w:rsid w:val="4F2019D3"/>
    <w:rsid w:val="4F3B332E"/>
    <w:rsid w:val="4F905428"/>
    <w:rsid w:val="4FF10A66"/>
    <w:rsid w:val="4FFC3AC8"/>
    <w:rsid w:val="5000092C"/>
    <w:rsid w:val="50374BAE"/>
    <w:rsid w:val="50585AC0"/>
    <w:rsid w:val="5059509E"/>
    <w:rsid w:val="50F4488D"/>
    <w:rsid w:val="50F51F60"/>
    <w:rsid w:val="50F92AB6"/>
    <w:rsid w:val="51015159"/>
    <w:rsid w:val="51204589"/>
    <w:rsid w:val="513C6315"/>
    <w:rsid w:val="51A03FDE"/>
    <w:rsid w:val="51BD002A"/>
    <w:rsid w:val="51CB5940"/>
    <w:rsid w:val="51E258F1"/>
    <w:rsid w:val="51E965C3"/>
    <w:rsid w:val="5201085F"/>
    <w:rsid w:val="5223292F"/>
    <w:rsid w:val="52650DED"/>
    <w:rsid w:val="52B07B8F"/>
    <w:rsid w:val="52BD6CE2"/>
    <w:rsid w:val="52CB2FBE"/>
    <w:rsid w:val="52E592BD"/>
    <w:rsid w:val="53074F08"/>
    <w:rsid w:val="53230677"/>
    <w:rsid w:val="53265AB3"/>
    <w:rsid w:val="535B2AE3"/>
    <w:rsid w:val="53A218D6"/>
    <w:rsid w:val="53D457EE"/>
    <w:rsid w:val="53F6513C"/>
    <w:rsid w:val="540A5398"/>
    <w:rsid w:val="541512C7"/>
    <w:rsid w:val="542675A8"/>
    <w:rsid w:val="544508EC"/>
    <w:rsid w:val="5471697D"/>
    <w:rsid w:val="5479799A"/>
    <w:rsid w:val="547B05FB"/>
    <w:rsid w:val="549A6528"/>
    <w:rsid w:val="54AF45A2"/>
    <w:rsid w:val="54D112B5"/>
    <w:rsid w:val="54F77CF7"/>
    <w:rsid w:val="54FD0482"/>
    <w:rsid w:val="55326F81"/>
    <w:rsid w:val="5538504E"/>
    <w:rsid w:val="554D3E65"/>
    <w:rsid w:val="558A46C7"/>
    <w:rsid w:val="5593286C"/>
    <w:rsid w:val="55A25DBA"/>
    <w:rsid w:val="55B315E8"/>
    <w:rsid w:val="55F011B7"/>
    <w:rsid w:val="55F3226C"/>
    <w:rsid w:val="56002B1B"/>
    <w:rsid w:val="5619144C"/>
    <w:rsid w:val="561B4143"/>
    <w:rsid w:val="563308DD"/>
    <w:rsid w:val="564C72A2"/>
    <w:rsid w:val="567B4B42"/>
    <w:rsid w:val="56DE5B99"/>
    <w:rsid w:val="56E07F4D"/>
    <w:rsid w:val="56E821F6"/>
    <w:rsid w:val="56FC109E"/>
    <w:rsid w:val="56FC4564"/>
    <w:rsid w:val="5728331D"/>
    <w:rsid w:val="572A741E"/>
    <w:rsid w:val="57790E97"/>
    <w:rsid w:val="57EB6386"/>
    <w:rsid w:val="580D1B0F"/>
    <w:rsid w:val="5813665C"/>
    <w:rsid w:val="58187F7E"/>
    <w:rsid w:val="582B0A22"/>
    <w:rsid w:val="583863E3"/>
    <w:rsid w:val="584B1899"/>
    <w:rsid w:val="58823CD0"/>
    <w:rsid w:val="58852E3A"/>
    <w:rsid w:val="588819E6"/>
    <w:rsid w:val="58AB4B4C"/>
    <w:rsid w:val="59070579"/>
    <w:rsid w:val="593E2B6E"/>
    <w:rsid w:val="59407EBE"/>
    <w:rsid w:val="594E7731"/>
    <w:rsid w:val="598452D7"/>
    <w:rsid w:val="59B83EF9"/>
    <w:rsid w:val="59DD5217"/>
    <w:rsid w:val="59E20049"/>
    <w:rsid w:val="5A694187"/>
    <w:rsid w:val="5A7177D3"/>
    <w:rsid w:val="5A803D2D"/>
    <w:rsid w:val="5A8C102A"/>
    <w:rsid w:val="5AA84CAB"/>
    <w:rsid w:val="5ABE0900"/>
    <w:rsid w:val="5AC833C4"/>
    <w:rsid w:val="5AE575AD"/>
    <w:rsid w:val="5AE647F3"/>
    <w:rsid w:val="5B041D86"/>
    <w:rsid w:val="5B49175B"/>
    <w:rsid w:val="5B4B0622"/>
    <w:rsid w:val="5B655CB7"/>
    <w:rsid w:val="5B6B0AF7"/>
    <w:rsid w:val="5B87286E"/>
    <w:rsid w:val="5B8E1B37"/>
    <w:rsid w:val="5BA75298"/>
    <w:rsid w:val="5BAC0229"/>
    <w:rsid w:val="5BBDA632"/>
    <w:rsid w:val="5BCD047F"/>
    <w:rsid w:val="5BDC7B58"/>
    <w:rsid w:val="5BF1AF2F"/>
    <w:rsid w:val="5BF36DE1"/>
    <w:rsid w:val="5C2260AB"/>
    <w:rsid w:val="5C485468"/>
    <w:rsid w:val="5C8C6E1C"/>
    <w:rsid w:val="5CCD4F8F"/>
    <w:rsid w:val="5CEB4C0A"/>
    <w:rsid w:val="5D053ECD"/>
    <w:rsid w:val="5D255365"/>
    <w:rsid w:val="5D7ECC0F"/>
    <w:rsid w:val="5D910046"/>
    <w:rsid w:val="5DCE2F0E"/>
    <w:rsid w:val="5DDD41A8"/>
    <w:rsid w:val="5DFC5B7A"/>
    <w:rsid w:val="5E0A4000"/>
    <w:rsid w:val="5E15400B"/>
    <w:rsid w:val="5E345B18"/>
    <w:rsid w:val="5E7415F9"/>
    <w:rsid w:val="5E8F7F00"/>
    <w:rsid w:val="5E9B69F3"/>
    <w:rsid w:val="5EC357F6"/>
    <w:rsid w:val="5ECB647C"/>
    <w:rsid w:val="5EF8B8F3"/>
    <w:rsid w:val="5F0D4623"/>
    <w:rsid w:val="5F325F7B"/>
    <w:rsid w:val="5F327135"/>
    <w:rsid w:val="5F3F5E9F"/>
    <w:rsid w:val="5F660B5D"/>
    <w:rsid w:val="5F8F0873"/>
    <w:rsid w:val="5FC36AE3"/>
    <w:rsid w:val="5FED41D0"/>
    <w:rsid w:val="5FF800AF"/>
    <w:rsid w:val="5FFE8F36"/>
    <w:rsid w:val="606306D7"/>
    <w:rsid w:val="606F3B6D"/>
    <w:rsid w:val="60794396"/>
    <w:rsid w:val="608233EE"/>
    <w:rsid w:val="608A7AB6"/>
    <w:rsid w:val="60A76D83"/>
    <w:rsid w:val="60D45D9B"/>
    <w:rsid w:val="61171EEB"/>
    <w:rsid w:val="61430950"/>
    <w:rsid w:val="61472727"/>
    <w:rsid w:val="61472EAE"/>
    <w:rsid w:val="625A73BB"/>
    <w:rsid w:val="626A2338"/>
    <w:rsid w:val="62AF175E"/>
    <w:rsid w:val="62BB1F75"/>
    <w:rsid w:val="62D460A8"/>
    <w:rsid w:val="62FF5390"/>
    <w:rsid w:val="634703C3"/>
    <w:rsid w:val="635B4D7D"/>
    <w:rsid w:val="636D4E46"/>
    <w:rsid w:val="63C617F3"/>
    <w:rsid w:val="63F024E1"/>
    <w:rsid w:val="63F573CB"/>
    <w:rsid w:val="640339F6"/>
    <w:rsid w:val="6435110A"/>
    <w:rsid w:val="64373C6C"/>
    <w:rsid w:val="645D4678"/>
    <w:rsid w:val="646C2AA2"/>
    <w:rsid w:val="646E5B16"/>
    <w:rsid w:val="647E0283"/>
    <w:rsid w:val="6493730F"/>
    <w:rsid w:val="64942E6C"/>
    <w:rsid w:val="64DD5C7F"/>
    <w:rsid w:val="64F110BD"/>
    <w:rsid w:val="651950E9"/>
    <w:rsid w:val="653714B8"/>
    <w:rsid w:val="65692627"/>
    <w:rsid w:val="65991C52"/>
    <w:rsid w:val="65C44329"/>
    <w:rsid w:val="65E21ABD"/>
    <w:rsid w:val="65F91B21"/>
    <w:rsid w:val="660A7FB5"/>
    <w:rsid w:val="66650F64"/>
    <w:rsid w:val="668AB1B7"/>
    <w:rsid w:val="669D295A"/>
    <w:rsid w:val="66BE12AB"/>
    <w:rsid w:val="66C51059"/>
    <w:rsid w:val="66D55EF8"/>
    <w:rsid w:val="66F12E96"/>
    <w:rsid w:val="670C5C89"/>
    <w:rsid w:val="672D1422"/>
    <w:rsid w:val="673E2EE1"/>
    <w:rsid w:val="67400843"/>
    <w:rsid w:val="67512BAA"/>
    <w:rsid w:val="677B47B7"/>
    <w:rsid w:val="6795521A"/>
    <w:rsid w:val="67971D7C"/>
    <w:rsid w:val="67A44481"/>
    <w:rsid w:val="67AB0BF9"/>
    <w:rsid w:val="67BC2D52"/>
    <w:rsid w:val="67EF0AB2"/>
    <w:rsid w:val="68445716"/>
    <w:rsid w:val="684D67CF"/>
    <w:rsid w:val="68752887"/>
    <w:rsid w:val="687A791F"/>
    <w:rsid w:val="688B219F"/>
    <w:rsid w:val="688E025A"/>
    <w:rsid w:val="68900536"/>
    <w:rsid w:val="689437C8"/>
    <w:rsid w:val="689D42A2"/>
    <w:rsid w:val="68A8252E"/>
    <w:rsid w:val="68AF140A"/>
    <w:rsid w:val="68AF1602"/>
    <w:rsid w:val="68EF4B15"/>
    <w:rsid w:val="690337BF"/>
    <w:rsid w:val="691552B2"/>
    <w:rsid w:val="69541875"/>
    <w:rsid w:val="69652C31"/>
    <w:rsid w:val="696B2299"/>
    <w:rsid w:val="69840C2A"/>
    <w:rsid w:val="69E77C48"/>
    <w:rsid w:val="69F24F19"/>
    <w:rsid w:val="6A096B38"/>
    <w:rsid w:val="6A0C4C44"/>
    <w:rsid w:val="6A5B4708"/>
    <w:rsid w:val="6A95793E"/>
    <w:rsid w:val="6A97634E"/>
    <w:rsid w:val="6AB574AA"/>
    <w:rsid w:val="6AFC14A6"/>
    <w:rsid w:val="6AFF2164"/>
    <w:rsid w:val="6B305F69"/>
    <w:rsid w:val="6B3F4D89"/>
    <w:rsid w:val="6B61512D"/>
    <w:rsid w:val="6B6C20DC"/>
    <w:rsid w:val="6B890D5A"/>
    <w:rsid w:val="6BA92E6D"/>
    <w:rsid w:val="6BAC21C7"/>
    <w:rsid w:val="6BAE62FA"/>
    <w:rsid w:val="6BC55C2A"/>
    <w:rsid w:val="6BDF612F"/>
    <w:rsid w:val="6C010E05"/>
    <w:rsid w:val="6C1958B7"/>
    <w:rsid w:val="6C2703D2"/>
    <w:rsid w:val="6C30132D"/>
    <w:rsid w:val="6C487C6E"/>
    <w:rsid w:val="6C535DD2"/>
    <w:rsid w:val="6C61545D"/>
    <w:rsid w:val="6C6A6C61"/>
    <w:rsid w:val="6CB42573"/>
    <w:rsid w:val="6CB904E6"/>
    <w:rsid w:val="6CD9011C"/>
    <w:rsid w:val="6CE72E7C"/>
    <w:rsid w:val="6CEF38E5"/>
    <w:rsid w:val="6CF706DB"/>
    <w:rsid w:val="6D0D2AB6"/>
    <w:rsid w:val="6D1503C2"/>
    <w:rsid w:val="6D3A657B"/>
    <w:rsid w:val="6D3C0FAE"/>
    <w:rsid w:val="6D55133C"/>
    <w:rsid w:val="6D5E5FA9"/>
    <w:rsid w:val="6D8331C7"/>
    <w:rsid w:val="6D923CE5"/>
    <w:rsid w:val="6DAD0EE1"/>
    <w:rsid w:val="6DAF4C2A"/>
    <w:rsid w:val="6DC51D44"/>
    <w:rsid w:val="6DC624CB"/>
    <w:rsid w:val="6DD03B65"/>
    <w:rsid w:val="6DD15131"/>
    <w:rsid w:val="6DD45816"/>
    <w:rsid w:val="6DF31230"/>
    <w:rsid w:val="6E125713"/>
    <w:rsid w:val="6E1606EB"/>
    <w:rsid w:val="6E4A646C"/>
    <w:rsid w:val="6E5042A8"/>
    <w:rsid w:val="6E6265D1"/>
    <w:rsid w:val="6E6958AA"/>
    <w:rsid w:val="6E786CC5"/>
    <w:rsid w:val="6E8B7A90"/>
    <w:rsid w:val="6E9028F6"/>
    <w:rsid w:val="6EAE36E3"/>
    <w:rsid w:val="6EB10C80"/>
    <w:rsid w:val="6EDC3D8E"/>
    <w:rsid w:val="6EF974E1"/>
    <w:rsid w:val="6F186EEB"/>
    <w:rsid w:val="6F1A0BD2"/>
    <w:rsid w:val="6F1B2B08"/>
    <w:rsid w:val="6F2933BD"/>
    <w:rsid w:val="6F3F504C"/>
    <w:rsid w:val="6F467459"/>
    <w:rsid w:val="6F500BE8"/>
    <w:rsid w:val="6F5A2F04"/>
    <w:rsid w:val="6F671A5E"/>
    <w:rsid w:val="6F6DBBDC"/>
    <w:rsid w:val="6F7337DA"/>
    <w:rsid w:val="6F8A0D51"/>
    <w:rsid w:val="6FA677C1"/>
    <w:rsid w:val="6FCE3E86"/>
    <w:rsid w:val="6FE5137E"/>
    <w:rsid w:val="6FEE216B"/>
    <w:rsid w:val="6FFF5CBA"/>
    <w:rsid w:val="700B5438"/>
    <w:rsid w:val="70405CA9"/>
    <w:rsid w:val="704B62FB"/>
    <w:rsid w:val="708B3197"/>
    <w:rsid w:val="70943FC3"/>
    <w:rsid w:val="70AF70C1"/>
    <w:rsid w:val="70CC2F56"/>
    <w:rsid w:val="70D95A33"/>
    <w:rsid w:val="70E84C6C"/>
    <w:rsid w:val="714B4EEA"/>
    <w:rsid w:val="716170C9"/>
    <w:rsid w:val="716B13F9"/>
    <w:rsid w:val="71763BD4"/>
    <w:rsid w:val="71933157"/>
    <w:rsid w:val="71B40FF2"/>
    <w:rsid w:val="71D90720"/>
    <w:rsid w:val="72072163"/>
    <w:rsid w:val="72227D09"/>
    <w:rsid w:val="722F3AB1"/>
    <w:rsid w:val="72580686"/>
    <w:rsid w:val="725A1182"/>
    <w:rsid w:val="72662FF9"/>
    <w:rsid w:val="729D55E2"/>
    <w:rsid w:val="72AB5F51"/>
    <w:rsid w:val="72AD0C7C"/>
    <w:rsid w:val="731247C7"/>
    <w:rsid w:val="73322F2A"/>
    <w:rsid w:val="733B7AF8"/>
    <w:rsid w:val="733D0B73"/>
    <w:rsid w:val="73491360"/>
    <w:rsid w:val="735C1153"/>
    <w:rsid w:val="737F7848"/>
    <w:rsid w:val="738629AD"/>
    <w:rsid w:val="73B74479"/>
    <w:rsid w:val="73BE4993"/>
    <w:rsid w:val="73C3551C"/>
    <w:rsid w:val="73D9610C"/>
    <w:rsid w:val="73F13E8D"/>
    <w:rsid w:val="73FB4EDC"/>
    <w:rsid w:val="741C69DA"/>
    <w:rsid w:val="742A4B33"/>
    <w:rsid w:val="742C5BE3"/>
    <w:rsid w:val="743462F1"/>
    <w:rsid w:val="745D747D"/>
    <w:rsid w:val="7476258E"/>
    <w:rsid w:val="74EE21E4"/>
    <w:rsid w:val="74FE6916"/>
    <w:rsid w:val="750556C0"/>
    <w:rsid w:val="75066682"/>
    <w:rsid w:val="751966F5"/>
    <w:rsid w:val="7544443B"/>
    <w:rsid w:val="755C79D6"/>
    <w:rsid w:val="75A6570B"/>
    <w:rsid w:val="75E1692E"/>
    <w:rsid w:val="75FB1E11"/>
    <w:rsid w:val="76044872"/>
    <w:rsid w:val="76370D8C"/>
    <w:rsid w:val="76492C7C"/>
    <w:rsid w:val="76935E17"/>
    <w:rsid w:val="76CF7ECD"/>
    <w:rsid w:val="76E23C12"/>
    <w:rsid w:val="76EF03D6"/>
    <w:rsid w:val="770D3B14"/>
    <w:rsid w:val="773E634E"/>
    <w:rsid w:val="7741750C"/>
    <w:rsid w:val="77583C2E"/>
    <w:rsid w:val="775E6ACC"/>
    <w:rsid w:val="778C3E77"/>
    <w:rsid w:val="779318C4"/>
    <w:rsid w:val="779C055E"/>
    <w:rsid w:val="77BD1FC0"/>
    <w:rsid w:val="77BF7B05"/>
    <w:rsid w:val="77E12415"/>
    <w:rsid w:val="77F81D11"/>
    <w:rsid w:val="77FC05BB"/>
    <w:rsid w:val="77FC3D17"/>
    <w:rsid w:val="77FF278F"/>
    <w:rsid w:val="78074D72"/>
    <w:rsid w:val="78107BDB"/>
    <w:rsid w:val="781956AF"/>
    <w:rsid w:val="782467B1"/>
    <w:rsid w:val="7828313B"/>
    <w:rsid w:val="78393FFF"/>
    <w:rsid w:val="78573556"/>
    <w:rsid w:val="78583F34"/>
    <w:rsid w:val="789C3CC6"/>
    <w:rsid w:val="78A85774"/>
    <w:rsid w:val="78AC7DE6"/>
    <w:rsid w:val="78E4677B"/>
    <w:rsid w:val="78EE7FCD"/>
    <w:rsid w:val="78FA027F"/>
    <w:rsid w:val="797BAAB4"/>
    <w:rsid w:val="79A61BF6"/>
    <w:rsid w:val="79A86213"/>
    <w:rsid w:val="79C95E13"/>
    <w:rsid w:val="79CD0DC8"/>
    <w:rsid w:val="7A020420"/>
    <w:rsid w:val="7A664E53"/>
    <w:rsid w:val="7A6D7A0B"/>
    <w:rsid w:val="7AA51085"/>
    <w:rsid w:val="7AF3655F"/>
    <w:rsid w:val="7AFB6968"/>
    <w:rsid w:val="7B292A0C"/>
    <w:rsid w:val="7B295D78"/>
    <w:rsid w:val="7B3A781A"/>
    <w:rsid w:val="7B3C2327"/>
    <w:rsid w:val="7B4E432A"/>
    <w:rsid w:val="7BDD5582"/>
    <w:rsid w:val="7BE91168"/>
    <w:rsid w:val="7BFE6830"/>
    <w:rsid w:val="7BFF7A76"/>
    <w:rsid w:val="7C4116D4"/>
    <w:rsid w:val="7C74133B"/>
    <w:rsid w:val="7CCA74FC"/>
    <w:rsid w:val="7CCAA3C7"/>
    <w:rsid w:val="7CD262A7"/>
    <w:rsid w:val="7CD3142B"/>
    <w:rsid w:val="7CD40F68"/>
    <w:rsid w:val="7CF36E72"/>
    <w:rsid w:val="7CFB138F"/>
    <w:rsid w:val="7D273A1F"/>
    <w:rsid w:val="7D473B0C"/>
    <w:rsid w:val="7D6FD3DF"/>
    <w:rsid w:val="7D733B0F"/>
    <w:rsid w:val="7D844E18"/>
    <w:rsid w:val="7DBA7990"/>
    <w:rsid w:val="7DF13801"/>
    <w:rsid w:val="7DFC206D"/>
    <w:rsid w:val="7E024C0B"/>
    <w:rsid w:val="7E0F0411"/>
    <w:rsid w:val="7E1971A8"/>
    <w:rsid w:val="7E3C6266"/>
    <w:rsid w:val="7E3C7AF9"/>
    <w:rsid w:val="7E696752"/>
    <w:rsid w:val="7EB937A4"/>
    <w:rsid w:val="7EDE2946"/>
    <w:rsid w:val="7EDF5542"/>
    <w:rsid w:val="7EEF7208"/>
    <w:rsid w:val="7EF61E75"/>
    <w:rsid w:val="7EF95360"/>
    <w:rsid w:val="7F1B07AD"/>
    <w:rsid w:val="7F3D0FB4"/>
    <w:rsid w:val="7F521642"/>
    <w:rsid w:val="7F6E36F9"/>
    <w:rsid w:val="7F7FD28B"/>
    <w:rsid w:val="7F7FEF38"/>
    <w:rsid w:val="7FA91A6A"/>
    <w:rsid w:val="7FAC421E"/>
    <w:rsid w:val="7FBEA582"/>
    <w:rsid w:val="7FCB7F71"/>
    <w:rsid w:val="7FDB7A66"/>
    <w:rsid w:val="7FE3A0F9"/>
    <w:rsid w:val="7FEB7E80"/>
    <w:rsid w:val="7FFB1A9B"/>
    <w:rsid w:val="837A76C5"/>
    <w:rsid w:val="83D7E72B"/>
    <w:rsid w:val="8BFF210F"/>
    <w:rsid w:val="9FFB5CBC"/>
    <w:rsid w:val="A0BF9D1A"/>
    <w:rsid w:val="AEF8A666"/>
    <w:rsid w:val="AF7FBABC"/>
    <w:rsid w:val="AFBE536B"/>
    <w:rsid w:val="AFDCC8F7"/>
    <w:rsid w:val="B7BD2BBD"/>
    <w:rsid w:val="BA7B23C6"/>
    <w:rsid w:val="BB6F6E5D"/>
    <w:rsid w:val="BDA48AAA"/>
    <w:rsid w:val="BE767935"/>
    <w:rsid w:val="BFEC07B1"/>
    <w:rsid w:val="BFFF8F62"/>
    <w:rsid w:val="C7E5D2C2"/>
    <w:rsid w:val="CCA13CB8"/>
    <w:rsid w:val="CF3D8DB2"/>
    <w:rsid w:val="CF677BE9"/>
    <w:rsid w:val="CF7FBC4A"/>
    <w:rsid w:val="CFD3F4B6"/>
    <w:rsid w:val="D37CEA4E"/>
    <w:rsid w:val="D3B735AB"/>
    <w:rsid w:val="D3DDE258"/>
    <w:rsid w:val="DA581125"/>
    <w:rsid w:val="DD27AA84"/>
    <w:rsid w:val="DFBFDCF8"/>
    <w:rsid w:val="DFF7FA4F"/>
    <w:rsid w:val="E6EF2A8B"/>
    <w:rsid w:val="E7FDF792"/>
    <w:rsid w:val="EBF5948D"/>
    <w:rsid w:val="ECBFD4E4"/>
    <w:rsid w:val="EFBF8F2F"/>
    <w:rsid w:val="F37F7196"/>
    <w:rsid w:val="F5FEF682"/>
    <w:rsid w:val="F8DD31D1"/>
    <w:rsid w:val="F9EE0563"/>
    <w:rsid w:val="FADF8F31"/>
    <w:rsid w:val="FAF6DF5F"/>
    <w:rsid w:val="FAFF26EC"/>
    <w:rsid w:val="FB27B8D4"/>
    <w:rsid w:val="FB3FD3EE"/>
    <w:rsid w:val="FBDF26F7"/>
    <w:rsid w:val="FE5D6815"/>
    <w:rsid w:val="FE734873"/>
    <w:rsid w:val="FE77923F"/>
    <w:rsid w:val="FEBD58D7"/>
    <w:rsid w:val="FFB7BD4C"/>
    <w:rsid w:val="FFBCF940"/>
    <w:rsid w:val="FFEFA670"/>
    <w:rsid w:val="FFF70264"/>
    <w:rsid w:val="FFF7A0BC"/>
    <w:rsid w:val="FFFA52A5"/>
    <w:rsid w:val="FFFF9AE4"/>
    <w:rsid w:val="FFFFC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560" w:firstLineChars="200"/>
      <w:textAlignment w:val="baseline"/>
    </w:pPr>
    <w:rPr>
      <w:rFonts w:ascii="Times New Roman" w:hAnsi="Times New Roman" w:eastAsia="仿宋_GB2312" w:cs="Arial"/>
      <w:snapToGrid w:val="0"/>
      <w:color w:val="000000"/>
      <w:sz w:val="28"/>
      <w:szCs w:val="21"/>
      <w:lang w:val="en-US" w:eastAsia="zh-CN" w:bidi="ar-SA"/>
    </w:rPr>
  </w:style>
  <w:style w:type="paragraph" w:styleId="4">
    <w:name w:val="heading 1"/>
    <w:basedOn w:val="1"/>
    <w:next w:val="1"/>
    <w:qFormat/>
    <w:uiPriority w:val="0"/>
    <w:pPr>
      <w:keepNext/>
      <w:keepLines/>
      <w:spacing w:before="156"/>
      <w:ind w:firstLine="544"/>
      <w:outlineLvl w:val="0"/>
    </w:pPr>
    <w:rPr>
      <w:rFonts w:eastAsia="黑体"/>
      <w:kern w:val="44"/>
    </w:rPr>
  </w:style>
  <w:style w:type="paragraph" w:styleId="5">
    <w:name w:val="heading 2"/>
    <w:basedOn w:val="1"/>
    <w:next w:val="1"/>
    <w:unhideWhenUsed/>
    <w:qFormat/>
    <w:uiPriority w:val="9"/>
    <w:pPr>
      <w:keepNext/>
      <w:keepLines/>
      <w:spacing w:before="100"/>
      <w:ind w:firstLine="480"/>
      <w:outlineLvl w:val="1"/>
    </w:pPr>
    <w:rPr>
      <w:rFonts w:cs="黑体"/>
      <w:b/>
      <w:bCs/>
      <w:szCs w:val="32"/>
    </w:rPr>
  </w:style>
  <w:style w:type="paragraph" w:styleId="6">
    <w:name w:val="heading 3"/>
    <w:basedOn w:val="1"/>
    <w:next w:val="1"/>
    <w:unhideWhenUsed/>
    <w:qFormat/>
    <w:uiPriority w:val="9"/>
    <w:pPr>
      <w:keepNext/>
      <w:keepLines/>
      <w:spacing w:before="60"/>
      <w:ind w:firstLine="0" w:firstLineChars="0"/>
      <w:outlineLvl w:val="2"/>
    </w:pPr>
    <w:rPr>
      <w:b/>
      <w:bCs/>
      <w:szCs w:val="32"/>
    </w:rPr>
  </w:style>
  <w:style w:type="paragraph" w:styleId="7">
    <w:name w:val="heading 4"/>
    <w:basedOn w:val="1"/>
    <w:next w:val="1"/>
    <w:unhideWhenUsed/>
    <w:qFormat/>
    <w:uiPriority w:val="9"/>
    <w:pPr>
      <w:keepNext/>
      <w:keepLines/>
      <w:outlineLvl w:val="3"/>
    </w:pPr>
    <w:rPr>
      <w:rFonts w:cs="Times New Roman"/>
      <w:b/>
      <w:bCs/>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hAnsi="Courier New"/>
    </w:rPr>
  </w:style>
  <w:style w:type="paragraph" w:styleId="3">
    <w:name w:val="toc 2"/>
    <w:basedOn w:val="1"/>
    <w:next w:val="1"/>
    <w:qFormat/>
    <w:uiPriority w:val="0"/>
    <w:pPr>
      <w:ind w:left="420" w:leftChars="200"/>
    </w:pPr>
  </w:style>
  <w:style w:type="paragraph" w:styleId="8">
    <w:name w:val="Normal Indent"/>
    <w:basedOn w:val="1"/>
    <w:next w:val="7"/>
    <w:qFormat/>
    <w:uiPriority w:val="0"/>
    <w:pPr>
      <w:ind w:firstLine="420"/>
    </w:pPr>
    <w:rPr>
      <w:sz w:val="24"/>
      <w:szCs w:val="20"/>
    </w:rPr>
  </w:style>
  <w:style w:type="paragraph" w:styleId="9">
    <w:name w:val="annotation text"/>
    <w:basedOn w:val="1"/>
    <w:link w:val="41"/>
    <w:qFormat/>
    <w:uiPriority w:val="0"/>
  </w:style>
  <w:style w:type="paragraph" w:styleId="10">
    <w:name w:val="Body Text"/>
    <w:basedOn w:val="1"/>
    <w:next w:val="11"/>
    <w:link w:val="39"/>
    <w:qFormat/>
    <w:uiPriority w:val="0"/>
    <w:pPr>
      <w:spacing w:after="120"/>
    </w:pPr>
  </w:style>
  <w:style w:type="paragraph" w:styleId="11">
    <w:name w:val="Body Text 2"/>
    <w:basedOn w:val="1"/>
    <w:qFormat/>
    <w:uiPriority w:val="99"/>
    <w:pPr>
      <w:ind w:firstLine="200"/>
    </w:pPr>
    <w:rPr>
      <w:rFonts w:eastAsia="楷体_GB2312"/>
      <w:sz w:val="32"/>
      <w:szCs w:val="32"/>
    </w:rPr>
  </w:style>
  <w:style w:type="paragraph" w:styleId="12">
    <w:name w:val="Block Text"/>
    <w:basedOn w:val="1"/>
    <w:qFormat/>
    <w:uiPriority w:val="0"/>
    <w:pPr>
      <w:spacing w:after="120"/>
      <w:ind w:left="1440" w:leftChars="700" w:right="1440" w:rightChars="700"/>
    </w:pPr>
  </w:style>
  <w:style w:type="paragraph" w:styleId="13">
    <w:name w:val="toc 3"/>
    <w:basedOn w:val="1"/>
    <w:next w:val="1"/>
    <w:qFormat/>
    <w:uiPriority w:val="0"/>
    <w:pPr>
      <w:ind w:left="840" w:leftChars="400"/>
    </w:pPr>
  </w:style>
  <w:style w:type="paragraph" w:styleId="14">
    <w:name w:val="Balloon Text"/>
    <w:basedOn w:val="1"/>
    <w:link w:val="40"/>
    <w:qFormat/>
    <w:uiPriority w:val="0"/>
    <w:pPr>
      <w:spacing w:line="240" w:lineRule="auto"/>
    </w:pPr>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7">
    <w:name w:val="toc 1"/>
    <w:basedOn w:val="1"/>
    <w:next w:val="1"/>
    <w:qFormat/>
    <w:uiPriority w:val="0"/>
  </w:style>
  <w:style w:type="paragraph" w:styleId="18">
    <w:name w:val="Body Text Indent 3"/>
    <w:basedOn w:val="1"/>
    <w:qFormat/>
    <w:uiPriority w:val="0"/>
    <w:pPr>
      <w:spacing w:after="120"/>
      <w:ind w:left="420" w:leftChars="200"/>
    </w:pPr>
    <w:rPr>
      <w:sz w:val="16"/>
      <w:szCs w:val="16"/>
    </w:rPr>
  </w:style>
  <w:style w:type="paragraph" w:styleId="19">
    <w:name w:val="index 9"/>
    <w:basedOn w:val="1"/>
    <w:next w:val="1"/>
    <w:qFormat/>
    <w:uiPriority w:val="0"/>
    <w:pPr>
      <w:spacing w:line="580" w:lineRule="exact"/>
      <w:ind w:left="5120" w:firstLine="800" w:firstLineChars="250"/>
    </w:pPr>
    <w:rPr>
      <w:sz w:val="32"/>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Times New Roman"/>
      <w:szCs w:val="24"/>
    </w:rPr>
  </w:style>
  <w:style w:type="paragraph" w:styleId="21">
    <w:name w:val="Normal (Web)"/>
    <w:basedOn w:val="1"/>
    <w:qFormat/>
    <w:uiPriority w:val="0"/>
    <w:pPr>
      <w:spacing w:beforeAutospacing="1" w:afterAutospacing="1"/>
    </w:pPr>
    <w:rPr>
      <w:rFonts w:cs="Times New Roman"/>
      <w:sz w:val="24"/>
    </w:rPr>
  </w:style>
  <w:style w:type="paragraph" w:styleId="22">
    <w:name w:val="annotation subject"/>
    <w:basedOn w:val="9"/>
    <w:next w:val="9"/>
    <w:link w:val="42"/>
    <w:qFormat/>
    <w:uiPriority w:val="0"/>
    <w:rPr>
      <w:b/>
      <w:bCs/>
    </w:rPr>
  </w:style>
  <w:style w:type="paragraph" w:styleId="23">
    <w:name w:val="Body Text First Indent"/>
    <w:basedOn w:val="10"/>
    <w:next w:val="24"/>
    <w:qFormat/>
    <w:uiPriority w:val="0"/>
    <w:pPr>
      <w:ind w:firstLine="420"/>
    </w:pPr>
    <w:rPr>
      <w:rFonts w:ascii="Calibri" w:hAnsi="Calibri" w:eastAsia="楷体_GB2312" w:cs="Times New Roman"/>
      <w:sz w:val="32"/>
      <w:szCs w:val="22"/>
    </w:rPr>
  </w:style>
  <w:style w:type="paragraph" w:styleId="24">
    <w:name w:val="Body Text First Indent 2"/>
    <w:basedOn w:val="1"/>
    <w:next w:val="1"/>
    <w:qFormat/>
    <w:uiPriority w:val="0"/>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1">
    <w:name w:val="列表段落1"/>
    <w:basedOn w:val="1"/>
    <w:qFormat/>
    <w:uiPriority w:val="34"/>
    <w:pPr>
      <w:ind w:firstLine="420"/>
    </w:pPr>
  </w:style>
  <w:style w:type="paragraph" w:customStyle="1" w:styleId="32">
    <w:name w:val="正文01"/>
    <w:basedOn w:val="1"/>
    <w:qFormat/>
    <w:uiPriority w:val="0"/>
    <w:pPr>
      <w:spacing w:before="60" w:line="460" w:lineRule="exact"/>
      <w:ind w:firstLine="200"/>
    </w:pPr>
    <w:rPr>
      <w:rFonts w:ascii="Calibri" w:hAnsi="Calibri" w:eastAsia="宋体" w:cs="黑体"/>
      <w:sz w:val="24"/>
      <w:szCs w:val="24"/>
    </w:rPr>
  </w:style>
  <w:style w:type="paragraph" w:customStyle="1" w:styleId="33">
    <w:name w:val="Body text|1"/>
    <w:basedOn w:val="1"/>
    <w:qFormat/>
    <w:uiPriority w:val="0"/>
    <w:pPr>
      <w:widowControl w:val="0"/>
      <w:spacing w:line="408" w:lineRule="auto"/>
      <w:ind w:firstLine="400"/>
    </w:pPr>
    <w:rPr>
      <w:rFonts w:ascii="宋体" w:hAnsi="宋体" w:eastAsia="宋体" w:cs="宋体"/>
      <w:lang w:val="zh-TW" w:eastAsia="zh-TW" w:bidi="zh-TW"/>
    </w:rPr>
  </w:style>
  <w:style w:type="paragraph" w:customStyle="1" w:styleId="34">
    <w:name w:val="表内文字"/>
    <w:basedOn w:val="35"/>
    <w:qFormat/>
    <w:uiPriority w:val="0"/>
    <w:pPr>
      <w:overflowPunct w:val="0"/>
      <w:jc w:val="center"/>
    </w:pPr>
    <w:rPr>
      <w:rFonts w:eastAsia="仿宋" w:cs="宋体"/>
      <w:bCs/>
    </w:rPr>
  </w:style>
  <w:style w:type="paragraph" w:customStyle="1" w:styleId="35">
    <w:name w:val="Table Paragraph"/>
    <w:basedOn w:val="1"/>
    <w:qFormat/>
    <w:uiPriority w:val="1"/>
    <w:rPr>
      <w:rFonts w:eastAsia="宋体"/>
      <w:sz w:val="24"/>
      <w:szCs w:val="24"/>
    </w:rPr>
  </w:style>
  <w:style w:type="paragraph" w:customStyle="1" w:styleId="36">
    <w:name w:val="表头"/>
    <w:basedOn w:val="1"/>
    <w:qFormat/>
    <w:uiPriority w:val="0"/>
    <w:pPr>
      <w:overflowPunct w:val="0"/>
      <w:jc w:val="center"/>
    </w:pPr>
    <w:rPr>
      <w:b/>
      <w:sz w:val="24"/>
      <w:szCs w:val="28"/>
    </w:rPr>
  </w:style>
  <w:style w:type="paragraph" w:customStyle="1" w:styleId="37">
    <w:name w:val="修订1"/>
    <w:hidden/>
    <w:semiHidden/>
    <w:qFormat/>
    <w:uiPriority w:val="99"/>
    <w:rPr>
      <w:rFonts w:ascii="Times New Roman" w:hAnsi="Times New Roman" w:eastAsia="仿宋_GB2312" w:cs="Arial"/>
      <w:snapToGrid w:val="0"/>
      <w:color w:val="000000"/>
      <w:sz w:val="28"/>
      <w:szCs w:val="21"/>
      <w:lang w:val="en-US" w:eastAsia="zh-CN" w:bidi="ar-SA"/>
    </w:rPr>
  </w:style>
  <w:style w:type="character" w:customStyle="1" w:styleId="38">
    <w:name w:val="font31"/>
    <w:basedOn w:val="27"/>
    <w:qFormat/>
    <w:uiPriority w:val="0"/>
    <w:rPr>
      <w:rFonts w:hint="eastAsia" w:ascii="宋体" w:hAnsi="宋体" w:eastAsia="宋体" w:cs="宋体"/>
      <w:color w:val="000000"/>
      <w:sz w:val="21"/>
      <w:szCs w:val="21"/>
      <w:u w:val="none"/>
    </w:rPr>
  </w:style>
  <w:style w:type="character" w:customStyle="1" w:styleId="39">
    <w:name w:val="正文文本 Char"/>
    <w:basedOn w:val="27"/>
    <w:link w:val="10"/>
    <w:qFormat/>
    <w:uiPriority w:val="0"/>
    <w:rPr>
      <w:rFonts w:eastAsia="仿宋_GB2312" w:cs="Arial"/>
      <w:snapToGrid w:val="0"/>
      <w:color w:val="000000"/>
      <w:sz w:val="28"/>
      <w:szCs w:val="21"/>
    </w:rPr>
  </w:style>
  <w:style w:type="character" w:customStyle="1" w:styleId="40">
    <w:name w:val="批注框文本 Char"/>
    <w:basedOn w:val="27"/>
    <w:link w:val="14"/>
    <w:qFormat/>
    <w:uiPriority w:val="0"/>
    <w:rPr>
      <w:rFonts w:eastAsia="仿宋_GB2312" w:cs="Arial"/>
      <w:snapToGrid w:val="0"/>
      <w:color w:val="000000"/>
      <w:sz w:val="18"/>
      <w:szCs w:val="18"/>
    </w:rPr>
  </w:style>
  <w:style w:type="character" w:customStyle="1" w:styleId="41">
    <w:name w:val="批注文字 Char"/>
    <w:basedOn w:val="27"/>
    <w:link w:val="9"/>
    <w:qFormat/>
    <w:uiPriority w:val="0"/>
    <w:rPr>
      <w:rFonts w:eastAsia="仿宋_GB2312" w:cs="Arial"/>
      <w:snapToGrid w:val="0"/>
      <w:color w:val="000000"/>
      <w:sz w:val="28"/>
      <w:szCs w:val="21"/>
    </w:rPr>
  </w:style>
  <w:style w:type="character" w:customStyle="1" w:styleId="42">
    <w:name w:val="批注主题 Char"/>
    <w:basedOn w:val="41"/>
    <w:link w:val="22"/>
    <w:qFormat/>
    <w:uiPriority w:val="0"/>
    <w:rPr>
      <w:rFonts w:eastAsia="仿宋_GB2312" w:cs="Arial"/>
      <w:b/>
      <w:bCs/>
      <w:snapToGrid w:val="0"/>
      <w:color w:val="000000"/>
      <w:sz w:val="2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20899</Words>
  <Characters>21850</Characters>
  <Lines>143</Lines>
  <Paragraphs>40</Paragraphs>
  <TotalTime>14</TotalTime>
  <ScaleCrop>false</ScaleCrop>
  <LinksUpToDate>false</LinksUpToDate>
  <CharactersWithSpaces>21994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2021-09-17T01:47:00Z</dcterms:created>
  <dc:creator>--</dc:creator>
  <cp:lastModifiedBy>袁硕</cp:lastModifiedBy>
  <cp:lastPrinted>2022-12-04T00:34:00Z</cp:lastPrinted>
  <dcterms:modified xsi:type="dcterms:W3CDTF">2023-11-13T09:41:22Z</dcterms:modified>
  <dc:title>北京市大兴区突发环境事件应急预案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95296530494C4CC8B15B11C10D5C8F92_13</vt:lpwstr>
  </property>
</Properties>
</file>