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大兴区医防融合培训方案（</w:t>
      </w:r>
      <w:r>
        <w:rPr>
          <w:rFonts w:hint="eastAsia" w:ascii="方正小标宋简体" w:hAnsi="方正小标宋简体" w:eastAsia="方正小标宋简体" w:cs="方正小标宋简体"/>
          <w:sz w:val="44"/>
          <w:szCs w:val="44"/>
          <w:lang w:val="en-US" w:eastAsia="zh-CN"/>
        </w:rPr>
        <w:t>2020-2022年</w:t>
      </w:r>
      <w:r>
        <w:rPr>
          <w:rFonts w:hint="eastAsia" w:ascii="方正小标宋简体" w:hAnsi="方正小标宋简体" w:eastAsia="方正小标宋简体" w:cs="方正小标宋简体"/>
          <w:sz w:val="44"/>
          <w:szCs w:val="44"/>
          <w:lang w:eastAsia="zh-CN"/>
        </w:rPr>
        <w:t>）</w:t>
      </w:r>
    </w:p>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（征求意见稿）</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按照《大兴区</w:t>
      </w:r>
      <w:r>
        <w:rPr>
          <w:rFonts w:hint="eastAsia" w:ascii="仿宋_GB2312" w:hAnsi="仿宋_GB2312" w:eastAsia="仿宋_GB2312" w:cs="仿宋_GB2312"/>
          <w:bCs/>
          <w:sz w:val="32"/>
          <w:szCs w:val="32"/>
          <w:highlight w:val="none"/>
          <w:lang w:val="zh-TW" w:eastAsia="zh-TW"/>
        </w:rPr>
        <w:t>公共卫生</w:t>
      </w:r>
      <w:r>
        <w:rPr>
          <w:rFonts w:hint="eastAsia" w:ascii="仿宋_GB2312" w:hAnsi="仿宋_GB2312" w:eastAsia="仿宋_GB2312" w:cs="仿宋_GB2312"/>
          <w:bCs/>
          <w:sz w:val="32"/>
          <w:szCs w:val="32"/>
          <w:highlight w:val="none"/>
          <w:lang w:val="zh-TW" w:eastAsia="zh-CN"/>
        </w:rPr>
        <w:t>应急管理</w:t>
      </w:r>
      <w:r>
        <w:rPr>
          <w:rFonts w:hint="eastAsia" w:ascii="仿宋_GB2312" w:hAnsi="仿宋_GB2312" w:eastAsia="仿宋_GB2312" w:cs="仿宋_GB2312"/>
          <w:bCs/>
          <w:sz w:val="32"/>
          <w:szCs w:val="32"/>
          <w:highlight w:val="none"/>
          <w:lang w:val="zh-TW" w:eastAsia="zh-TW"/>
        </w:rPr>
        <w:t>体</w:t>
      </w:r>
      <w:r>
        <w:rPr>
          <w:rFonts w:hint="eastAsia" w:ascii="仿宋_GB2312" w:hAnsi="仿宋_GB2312" w:eastAsia="仿宋_GB2312" w:cs="仿宋_GB2312"/>
          <w:bCs/>
          <w:sz w:val="32"/>
          <w:szCs w:val="32"/>
          <w:highlight w:val="none"/>
          <w:lang w:val="zh-TW" w:eastAsia="zh-CN"/>
        </w:rPr>
        <w:t>系建设</w:t>
      </w:r>
      <w:r>
        <w:rPr>
          <w:rFonts w:hint="eastAsia" w:ascii="仿宋_GB2312" w:hAnsi="仿宋_GB2312" w:eastAsia="仿宋_GB2312" w:cs="仿宋_GB2312"/>
          <w:bCs/>
          <w:sz w:val="32"/>
          <w:szCs w:val="32"/>
          <w:highlight w:val="none"/>
          <w:lang w:val="zh-TW" w:eastAsia="zh-TW"/>
        </w:rPr>
        <w:t>三年行动计划（</w:t>
      </w:r>
      <w:r>
        <w:rPr>
          <w:rFonts w:hint="eastAsia" w:ascii="仿宋_GB2312" w:hAnsi="仿宋_GB2312" w:eastAsia="仿宋_GB2312" w:cs="仿宋_GB2312"/>
          <w:bCs/>
          <w:sz w:val="32"/>
          <w:szCs w:val="32"/>
          <w:highlight w:val="none"/>
          <w:lang w:eastAsia="zh-CN"/>
        </w:rPr>
        <w:t>2020-2022年</w:t>
      </w:r>
      <w:r>
        <w:rPr>
          <w:rFonts w:hint="eastAsia" w:ascii="仿宋_GB2312" w:hAnsi="仿宋_GB2312" w:eastAsia="仿宋_GB2312" w:cs="仿宋_GB2312"/>
          <w:bCs/>
          <w:sz w:val="32"/>
          <w:szCs w:val="32"/>
          <w:highlight w:val="none"/>
          <w:lang w:val="zh-TW" w:eastAsia="zh-TW"/>
        </w:rPr>
        <w:t>）</w:t>
      </w:r>
      <w:r>
        <w:rPr>
          <w:rFonts w:hint="eastAsia" w:ascii="仿宋_GB2312" w:hAnsi="仿宋_GB2312" w:eastAsia="仿宋_GB2312" w:cs="仿宋_GB2312"/>
          <w:bCs/>
          <w:sz w:val="32"/>
          <w:szCs w:val="32"/>
          <w:highlight w:val="none"/>
          <w:lang w:val="zh-TW" w:eastAsia="zh-CN"/>
        </w:rPr>
        <w:t>》总体部署，</w:t>
      </w:r>
      <w:r>
        <w:rPr>
          <w:rFonts w:hint="eastAsia" w:ascii="仿宋_GB2312" w:hAnsi="仿宋_GB2312" w:eastAsia="仿宋_GB2312" w:cs="仿宋_GB2312"/>
          <w:bCs/>
          <w:sz w:val="32"/>
          <w:szCs w:val="32"/>
          <w:highlight w:val="none"/>
          <w:lang w:val="en-US" w:eastAsia="zh-CN"/>
        </w:rPr>
        <w:t>为有效落实我区公共卫生机构和二、三级医疗机构医防</w:t>
      </w:r>
      <w:bookmarkStart w:id="0" w:name="_GoBack"/>
      <w:bookmarkEnd w:id="0"/>
      <w:r>
        <w:rPr>
          <w:rFonts w:hint="eastAsia" w:ascii="仿宋_GB2312" w:hAnsi="仿宋_GB2312" w:eastAsia="仿宋_GB2312" w:cs="仿宋_GB2312"/>
          <w:bCs/>
          <w:sz w:val="32"/>
          <w:szCs w:val="32"/>
          <w:highlight w:val="none"/>
          <w:lang w:val="en-US" w:eastAsia="zh-CN"/>
        </w:rPr>
        <w:t>融合交叉培养计划，</w:t>
      </w:r>
      <w:r>
        <w:rPr>
          <w:rFonts w:hint="eastAsia" w:ascii="仿宋_GB2312" w:hAnsi="仿宋_GB2312" w:eastAsia="仿宋_GB2312" w:cs="仿宋_GB2312"/>
          <w:bCs/>
          <w:sz w:val="32"/>
          <w:szCs w:val="32"/>
          <w:highlight w:val="none"/>
        </w:rPr>
        <w:t>加强公共卫生体系建设，结合</w:t>
      </w:r>
      <w:r>
        <w:rPr>
          <w:rFonts w:hint="eastAsia" w:ascii="仿宋_GB2312" w:hAnsi="仿宋_GB2312" w:eastAsia="仿宋_GB2312" w:cs="仿宋_GB2312"/>
          <w:bCs/>
          <w:sz w:val="32"/>
          <w:szCs w:val="32"/>
          <w:highlight w:val="none"/>
          <w:lang w:eastAsia="zh-CN"/>
        </w:rPr>
        <w:t>我区</w:t>
      </w:r>
      <w:r>
        <w:rPr>
          <w:rFonts w:hint="eastAsia" w:ascii="仿宋_GB2312" w:hAnsi="仿宋_GB2312" w:eastAsia="仿宋_GB2312" w:cs="仿宋_GB2312"/>
          <w:bCs/>
          <w:sz w:val="32"/>
          <w:szCs w:val="32"/>
          <w:highlight w:val="none"/>
        </w:rPr>
        <w:t>实际，制定本方案。</w:t>
      </w:r>
    </w:p>
    <w:p>
      <w:pPr>
        <w:pStyle w:val="4"/>
        <w:pageBreakBefore w:val="0"/>
        <w:kinsoku/>
        <w:wordWrap/>
        <w:overflowPunct/>
        <w:topLinePunct w:val="0"/>
        <w:autoSpaceDE/>
        <w:autoSpaceDN/>
        <w:bidi w:val="0"/>
        <w:adjustRightInd w:val="0"/>
        <w:snapToGrid w:val="0"/>
        <w:spacing w:before="0" w:after="0" w:line="560" w:lineRule="exact"/>
        <w:ind w:firstLine="640" w:firstLineChars="200"/>
        <w:jc w:val="left"/>
        <w:textAlignment w:val="auto"/>
        <w:rPr>
          <w:rFonts w:hint="eastAsia" w:ascii="黑体" w:hAnsi="黑体" w:eastAsia="黑体" w:cs="黑体"/>
          <w:b w:val="0"/>
          <w:highlight w:val="none"/>
        </w:rPr>
      </w:pPr>
      <w:r>
        <w:rPr>
          <w:rFonts w:hint="eastAsia" w:ascii="黑体" w:hAnsi="黑体" w:eastAsia="黑体" w:cs="黑体"/>
          <w:b w:val="0"/>
          <w:highlight w:val="none"/>
        </w:rPr>
        <w:t>一、指导思想</w:t>
      </w:r>
    </w:p>
    <w:p>
      <w:pPr>
        <w:pStyle w:val="8"/>
        <w:pageBreakBefore w:val="0"/>
        <w:kinsoku/>
        <w:wordWrap/>
        <w:overflowPunct/>
        <w:topLinePunct w:val="0"/>
        <w:autoSpaceDE/>
        <w:autoSpaceDN/>
        <w:bidi w:val="0"/>
        <w:adjustRightInd w:val="0"/>
        <w:snapToGrid w:val="0"/>
        <w:spacing w:beforeLines="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依托</w:t>
      </w:r>
      <w:r>
        <w:rPr>
          <w:rFonts w:hint="eastAsia" w:ascii="仿宋_GB2312" w:hAnsi="仿宋_GB2312" w:eastAsia="仿宋_GB2312" w:cs="仿宋_GB2312"/>
          <w:b w:val="0"/>
          <w:bCs/>
          <w:color w:val="auto"/>
          <w:sz w:val="32"/>
          <w:szCs w:val="32"/>
          <w:highlight w:val="none"/>
        </w:rPr>
        <w:t>医防融合</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交叉</w:t>
      </w:r>
      <w:r>
        <w:rPr>
          <w:rFonts w:hint="eastAsia" w:ascii="仿宋_GB2312" w:hAnsi="仿宋_GB2312" w:eastAsia="仿宋_GB2312" w:cs="仿宋_GB2312"/>
          <w:b w:val="0"/>
          <w:bCs/>
          <w:color w:val="auto"/>
          <w:sz w:val="32"/>
          <w:szCs w:val="32"/>
          <w:highlight w:val="none"/>
          <w:lang w:eastAsia="zh-CN"/>
        </w:rPr>
        <w:t>培养的</w:t>
      </w:r>
      <w:r>
        <w:rPr>
          <w:rFonts w:hint="eastAsia" w:ascii="仿宋_GB2312" w:hAnsi="仿宋_GB2312" w:eastAsia="仿宋_GB2312" w:cs="仿宋_GB2312"/>
          <w:b w:val="0"/>
          <w:bCs/>
          <w:color w:val="auto"/>
          <w:sz w:val="32"/>
          <w:szCs w:val="32"/>
          <w:highlight w:val="none"/>
        </w:rPr>
        <w:t>培训体系</w:t>
      </w:r>
      <w:r>
        <w:rPr>
          <w:rFonts w:hint="eastAsia" w:ascii="仿宋_GB2312" w:hAnsi="仿宋_GB2312" w:eastAsia="仿宋_GB2312" w:cs="仿宋_GB2312"/>
          <w:b w:val="0"/>
          <w:bCs/>
          <w:color w:val="auto"/>
          <w:sz w:val="32"/>
          <w:szCs w:val="32"/>
          <w:highlight w:val="none"/>
          <w:lang w:eastAsia="zh-CN"/>
        </w:rPr>
        <w:t>，打造</w:t>
      </w:r>
      <w:r>
        <w:rPr>
          <w:rFonts w:hint="eastAsia" w:ascii="仿宋_GB2312" w:hAnsi="仿宋_GB2312" w:eastAsia="仿宋_GB2312" w:cs="仿宋_GB2312"/>
          <w:b w:val="0"/>
          <w:bCs/>
          <w:color w:val="auto"/>
          <w:sz w:val="32"/>
          <w:szCs w:val="32"/>
          <w:highlight w:val="none"/>
        </w:rPr>
        <w:t>一支素质高、技术精、能力强的医防复合型骨干医师队伍</w:t>
      </w:r>
      <w:r>
        <w:rPr>
          <w:rFonts w:hint="eastAsia" w:ascii="仿宋_GB2312" w:hAnsi="仿宋_GB2312" w:eastAsia="仿宋_GB2312" w:cs="仿宋_GB2312"/>
          <w:b w:val="0"/>
          <w:bCs/>
          <w:color w:val="auto"/>
          <w:sz w:val="32"/>
          <w:szCs w:val="32"/>
          <w:highlight w:val="none"/>
          <w:lang w:eastAsia="zh-CN"/>
        </w:rPr>
        <w:t>，进一步提高疾病预防控制机构、院前医疗急救机构和二、三级医疗机构卫生专业技术人员应对突发公共卫生事件的能力。</w:t>
      </w:r>
    </w:p>
    <w:p>
      <w:pPr>
        <w:pStyle w:val="2"/>
        <w:pageBreakBefore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 xml:space="preserve">    </w:t>
      </w:r>
      <w:r>
        <w:rPr>
          <w:rFonts w:hint="eastAsia" w:ascii="黑体" w:hAnsi="黑体" w:eastAsia="黑体" w:cs="黑体"/>
          <w:b w:val="0"/>
          <w:sz w:val="32"/>
          <w:szCs w:val="32"/>
          <w:highlight w:val="none"/>
        </w:rPr>
        <w:t>二、培训目标</w:t>
      </w:r>
    </w:p>
    <w:p>
      <w:pPr>
        <w:pStyle w:val="8"/>
        <w:pageBreakBefore w:val="0"/>
        <w:kinsoku/>
        <w:wordWrap/>
        <w:overflowPunct/>
        <w:topLinePunct w:val="0"/>
        <w:autoSpaceDE/>
        <w:autoSpaceDN/>
        <w:bidi w:val="0"/>
        <w:adjustRightInd w:val="0"/>
        <w:snapToGrid w:val="0"/>
        <w:spacing w:beforeLines="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通过有计划、有组织地开展医防融合</w:t>
      </w:r>
      <w:r>
        <w:rPr>
          <w:rFonts w:hint="eastAsia" w:ascii="仿宋_GB2312" w:hAnsi="仿宋_GB2312" w:eastAsia="仿宋_GB2312" w:cs="仿宋_GB2312"/>
          <w:b w:val="0"/>
          <w:bCs/>
          <w:color w:val="auto"/>
          <w:sz w:val="32"/>
          <w:szCs w:val="32"/>
          <w:highlight w:val="none"/>
          <w:lang w:eastAsia="zh-CN"/>
        </w:rPr>
        <w:t>交叉</w:t>
      </w:r>
      <w:r>
        <w:rPr>
          <w:rFonts w:hint="eastAsia" w:ascii="仿宋_GB2312" w:hAnsi="仿宋_GB2312" w:eastAsia="仿宋_GB2312" w:cs="仿宋_GB2312"/>
          <w:b w:val="0"/>
          <w:bCs/>
          <w:color w:val="auto"/>
          <w:sz w:val="32"/>
          <w:szCs w:val="32"/>
          <w:highlight w:val="none"/>
        </w:rPr>
        <w:t>培训，</w:t>
      </w:r>
      <w:r>
        <w:rPr>
          <w:rFonts w:hint="eastAsia" w:ascii="仿宋_GB2312" w:hAnsi="仿宋_GB2312" w:eastAsia="仿宋_GB2312" w:cs="仿宋_GB2312"/>
          <w:b w:val="0"/>
          <w:bCs/>
          <w:color w:val="auto"/>
          <w:sz w:val="32"/>
          <w:szCs w:val="32"/>
          <w:highlight w:val="none"/>
          <w:lang w:eastAsia="zh-CN"/>
        </w:rPr>
        <w:t>确保</w:t>
      </w:r>
      <w:r>
        <w:rPr>
          <w:rFonts w:hint="eastAsia" w:ascii="仿宋_GB2312" w:hAnsi="仿宋_GB2312" w:eastAsia="仿宋_GB2312" w:cs="仿宋_GB2312"/>
          <w:b w:val="0"/>
          <w:bCs/>
          <w:color w:val="auto"/>
          <w:sz w:val="32"/>
          <w:szCs w:val="32"/>
          <w:highlight w:val="none"/>
        </w:rPr>
        <w:t>到</w:t>
      </w:r>
      <w:r>
        <w:rPr>
          <w:rFonts w:hint="eastAsia" w:ascii="仿宋_GB2312" w:hAnsi="仿宋_GB2312" w:eastAsia="仿宋_GB2312" w:cs="仿宋_GB2312"/>
          <w:b w:val="0"/>
          <w:bCs/>
          <w:color w:val="auto"/>
          <w:sz w:val="32"/>
          <w:szCs w:val="32"/>
          <w:highlight w:val="none"/>
          <w:lang w:val="en-US" w:eastAsia="zh-CN"/>
        </w:rPr>
        <w:t>2021年底完成不少于15人，到2022年底累计完成不少于30人的交叉培养任务目标。</w:t>
      </w:r>
    </w:p>
    <w:p>
      <w:pPr>
        <w:pStyle w:val="2"/>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三、培训对象</w:t>
      </w:r>
    </w:p>
    <w:p>
      <w:pPr>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（一）二、三级医疗机构拟晋升副高职称的内科类（包括内科、</w:t>
      </w:r>
      <w:r>
        <w:rPr>
          <w:rFonts w:ascii="仿宋_GB2312" w:hAnsi="仿宋_GB2312" w:eastAsia="仿宋_GB2312" w:cs="仿宋_GB2312"/>
          <w:bCs/>
          <w:sz w:val="32"/>
          <w:szCs w:val="32"/>
          <w:highlight w:val="none"/>
        </w:rPr>
        <w:t>儿科、</w:t>
      </w:r>
      <w:r>
        <w:rPr>
          <w:rFonts w:hint="eastAsia" w:ascii="仿宋_GB2312" w:hAnsi="仿宋_GB2312" w:eastAsia="仿宋_GB2312" w:cs="仿宋_GB2312"/>
          <w:bCs/>
          <w:sz w:val="32"/>
          <w:szCs w:val="32"/>
          <w:highlight w:val="none"/>
        </w:rPr>
        <w:t>急诊科、全科、感染科）医师。</w:t>
      </w:r>
    </w:p>
    <w:p>
      <w:pPr>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（二）急救中心</w:t>
      </w:r>
      <w:r>
        <w:rPr>
          <w:rFonts w:hint="eastAsia" w:ascii="仿宋_GB2312" w:hAnsi="仿宋_GB2312" w:eastAsia="仿宋_GB2312" w:cs="仿宋_GB2312"/>
          <w:bCs/>
          <w:sz w:val="32"/>
          <w:szCs w:val="32"/>
          <w:highlight w:val="none"/>
          <w:lang w:eastAsia="zh-CN"/>
        </w:rPr>
        <w:t>（站）</w:t>
      </w:r>
      <w:r>
        <w:rPr>
          <w:rFonts w:hint="eastAsia" w:ascii="仿宋_GB2312" w:hAnsi="仿宋_GB2312" w:eastAsia="仿宋_GB2312" w:cs="仿宋_GB2312"/>
          <w:bCs/>
          <w:sz w:val="32"/>
          <w:szCs w:val="32"/>
          <w:highlight w:val="none"/>
        </w:rPr>
        <w:t>拟晋升副高职称的临床医师。</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（三）疾病预防控制中心拟晋升副高职称的公共卫生医师。</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（四）自愿参加培训的其他医师。</w:t>
      </w:r>
    </w:p>
    <w:p>
      <w:pPr>
        <w:pStyle w:val="2"/>
        <w:pageBreakBefore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 xml:space="preserve">    </w:t>
      </w:r>
      <w:r>
        <w:rPr>
          <w:rFonts w:hint="eastAsia" w:ascii="黑体" w:hAnsi="黑体" w:eastAsia="黑体" w:cs="黑体"/>
          <w:b w:val="0"/>
          <w:sz w:val="32"/>
          <w:szCs w:val="32"/>
          <w:highlight w:val="none"/>
        </w:rPr>
        <w:t>四、培训内容</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二、三级医疗机构临床医师以强化公共卫生应急能力、院前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急救能力和传染病诊治能力为主。急救中心</w:t>
      </w:r>
      <w:r>
        <w:rPr>
          <w:rFonts w:hint="eastAsia" w:ascii="仿宋_GB2312" w:hAnsi="仿宋_GB2312" w:eastAsia="仿宋_GB2312" w:cs="仿宋_GB2312"/>
          <w:bCs/>
          <w:sz w:val="32"/>
          <w:szCs w:val="32"/>
          <w:highlight w:val="none"/>
          <w:lang w:eastAsia="zh-CN"/>
        </w:rPr>
        <w:t>（站）</w:t>
      </w:r>
      <w:r>
        <w:rPr>
          <w:rFonts w:hint="eastAsia" w:ascii="仿宋_GB2312" w:hAnsi="仿宋_GB2312" w:eastAsia="仿宋_GB2312" w:cs="仿宋_GB2312"/>
          <w:bCs/>
          <w:sz w:val="32"/>
          <w:szCs w:val="32"/>
          <w:highlight w:val="none"/>
        </w:rPr>
        <w:t>临床医师和疾病预防控制中心公共卫生医师以强化临床诊疗</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院感防控能力和传染病诊治能力为主。</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highlight w:val="none"/>
        </w:rPr>
      </w:pPr>
      <w:r>
        <w:rPr>
          <w:rFonts w:hint="eastAsia" w:ascii="楷体_GB2312" w:hAnsi="楷体_GB2312" w:eastAsia="楷体_GB2312" w:cs="楷体_GB2312"/>
          <w:bCs/>
          <w:sz w:val="32"/>
          <w:szCs w:val="32"/>
          <w:highlight w:val="none"/>
        </w:rPr>
        <w:t>公共卫生应急能力</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传染病防控法律法规，重点和新发、突发传染病防控方案，突发公共卫生事件卫生应急处置策略，防护、隔离、转运、消毒等传染病疫情处置技能，流行病学调查技术等公共卫生应急知识和技术，具体内容见《公共卫生应急能力培训细则》（附件1）。</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highlight w:val="none"/>
        </w:rPr>
      </w:pPr>
      <w:r>
        <w:rPr>
          <w:rFonts w:hint="eastAsia" w:ascii="楷体_GB2312" w:hAnsi="楷体_GB2312" w:eastAsia="楷体_GB2312" w:cs="楷体_GB2312"/>
          <w:bCs/>
          <w:sz w:val="32"/>
          <w:szCs w:val="32"/>
          <w:highlight w:val="none"/>
        </w:rPr>
        <w:t>临床诊疗和院感防控能力</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重点和新发、突发传染病诊疗方案和早期发现能力，急危重症患者救治原则，院感防控体系和措施等，具体要求见《临床诊疗和院感防控能力培训细则》（附件2）。</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highlight w:val="none"/>
        </w:rPr>
      </w:pPr>
      <w:r>
        <w:rPr>
          <w:rFonts w:hint="eastAsia" w:ascii="楷体_GB2312" w:hAnsi="楷体_GB2312" w:eastAsia="楷体_GB2312" w:cs="楷体_GB2312"/>
          <w:bCs/>
          <w:sz w:val="32"/>
          <w:szCs w:val="32"/>
          <w:highlight w:val="none"/>
        </w:rPr>
        <w:t>院前</w:t>
      </w:r>
      <w:r>
        <w:rPr>
          <w:rFonts w:hint="eastAsia" w:ascii="楷体_GB2312" w:hAnsi="楷体_GB2312" w:eastAsia="楷体_GB2312" w:cs="楷体_GB2312"/>
          <w:bCs/>
          <w:sz w:val="32"/>
          <w:szCs w:val="32"/>
          <w:highlight w:val="none"/>
          <w:lang w:eastAsia="zh-CN"/>
        </w:rPr>
        <w:t>医疗</w:t>
      </w:r>
      <w:r>
        <w:rPr>
          <w:rFonts w:hint="eastAsia" w:ascii="楷体_GB2312" w:hAnsi="楷体_GB2312" w:eastAsia="楷体_GB2312" w:cs="楷体_GB2312"/>
          <w:bCs/>
          <w:sz w:val="32"/>
          <w:szCs w:val="32"/>
          <w:highlight w:val="none"/>
        </w:rPr>
        <w:t>急救能力</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急救法律法规，急救基本技能，现场处置原则，突发事件应对能力等，具体要求见《院前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急救能力培训细则》（附件3）。</w:t>
      </w:r>
    </w:p>
    <w:p>
      <w:pPr>
        <w:pStyle w:val="2"/>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五、培训形式和时间</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r>
        <w:rPr>
          <w:rFonts w:hint="eastAsia" w:ascii="黑体" w:hAnsi="黑体" w:eastAsia="黑体" w:cs="黑体"/>
          <w:b/>
          <w:sz w:val="32"/>
          <w:szCs w:val="32"/>
          <w:highlight w:val="none"/>
        </w:rPr>
        <w:t xml:space="preserve">   </w:t>
      </w:r>
      <w:r>
        <w:rPr>
          <w:rFonts w:hint="eastAsia" w:ascii="仿宋_GB2312" w:hAnsi="仿宋_GB2312" w:eastAsia="仿宋_GB2312" w:cs="仿宋_GB2312"/>
          <w:bCs/>
          <w:sz w:val="32"/>
          <w:szCs w:val="32"/>
          <w:highlight w:val="none"/>
        </w:rPr>
        <w:t xml:space="preserve">医防融合培训包括课程学习、实操培训和顶岗锻炼三个培训模块，累计培训时间6个月。 </w:t>
      </w:r>
    </w:p>
    <w:p>
      <w:pPr>
        <w:pStyle w:val="4"/>
        <w:pageBreakBefore w:val="0"/>
        <w:kinsoku/>
        <w:wordWrap/>
        <w:overflowPunct/>
        <w:topLinePunct w:val="0"/>
        <w:autoSpaceDE/>
        <w:autoSpaceDN/>
        <w:bidi w:val="0"/>
        <w:adjustRightInd w:val="0"/>
        <w:snapToGrid w:val="0"/>
        <w:spacing w:before="0" w:after="0" w:line="560" w:lineRule="exact"/>
        <w:ind w:firstLine="643" w:firstLineChars="200"/>
        <w:jc w:val="left"/>
        <w:textAlignment w:val="auto"/>
        <w:rPr>
          <w:rFonts w:hint="eastAsia" w:ascii="楷体_GB2312" w:hAnsi="楷体_GB2312" w:eastAsia="楷体_GB2312" w:cs="楷体_GB2312"/>
          <w:b/>
          <w:bCs w:val="0"/>
          <w:highlight w:val="none"/>
        </w:rPr>
      </w:pPr>
      <w:r>
        <w:rPr>
          <w:rFonts w:hint="eastAsia" w:ascii="楷体_GB2312" w:hAnsi="楷体_GB2312" w:eastAsia="楷体_GB2312" w:cs="楷体_GB2312"/>
          <w:b/>
          <w:bCs w:val="0"/>
          <w:kern w:val="2"/>
          <w:highlight w:val="none"/>
        </w:rPr>
        <w:t>（一）课程学习</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各项法律法规、文件和工作方案、基本理论知识等内容，采取课堂授课或互联网+教学等方式开展培训。</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lang w:eastAsia="zh-CN"/>
        </w:rPr>
        <w:t>（二）</w:t>
      </w:r>
      <w:r>
        <w:rPr>
          <w:rFonts w:hint="eastAsia" w:ascii="楷体_GB2312" w:hAnsi="楷体_GB2312" w:eastAsia="楷体_GB2312" w:cs="楷体_GB2312"/>
          <w:b/>
          <w:bCs w:val="0"/>
          <w:sz w:val="32"/>
          <w:szCs w:val="32"/>
          <w:highlight w:val="none"/>
        </w:rPr>
        <w:t>实操培训</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 xml:space="preserve">     </w:t>
      </w:r>
      <w:r>
        <w:rPr>
          <w:rFonts w:hint="eastAsia" w:ascii="仿宋_GB2312" w:hAnsi="仿宋_GB2312" w:eastAsia="仿宋_GB2312" w:cs="仿宋_GB2312"/>
          <w:bCs/>
          <w:sz w:val="32"/>
          <w:szCs w:val="32"/>
          <w:highlight w:val="none"/>
        </w:rPr>
        <w:t>公共卫生事件调查与现场处置、个人防护和临床诊疗基本技能等实践要求较高的内容，采取情景或模拟教学、演练和技能考核相结合的互动教学方式进行。</w:t>
      </w:r>
    </w:p>
    <w:p>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lang w:eastAsia="zh-CN"/>
        </w:rPr>
        <w:t>（三）</w:t>
      </w:r>
      <w:r>
        <w:rPr>
          <w:rFonts w:hint="eastAsia" w:ascii="楷体_GB2312" w:hAnsi="楷体_GB2312" w:eastAsia="楷体_GB2312" w:cs="楷体_GB2312"/>
          <w:b/>
          <w:bCs w:val="0"/>
          <w:sz w:val="32"/>
          <w:szCs w:val="32"/>
          <w:highlight w:val="none"/>
        </w:rPr>
        <w:t>顶岗锻炼</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根据培训需要和实际工作安排，培训对象可到经认定的培训基地（包括综合医院、传染病医院、急救中心和疾病预防控制中心等）进行短期研修和顶岗锻炼，在晋升副高职称前累计不少于半年。其中，二、三级医疗机构临床医师到传染病医院进修1个月，急救中心不少于3个月，疾控中心不少于2个月（包括课程学习和实操培训）；急救中心医师和疾控中心医师到传染病医院进修1个月，综合医院进修不少于5个月（包括课程学习和实操培训）。</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lang w:eastAsia="zh-CN"/>
        </w:rPr>
        <w:t>六、</w:t>
      </w:r>
      <w:r>
        <w:rPr>
          <w:rFonts w:hint="eastAsia" w:ascii="黑体" w:hAnsi="黑体" w:eastAsia="黑体" w:cs="黑体"/>
          <w:b w:val="0"/>
          <w:sz w:val="32"/>
          <w:szCs w:val="32"/>
          <w:highlight w:val="none"/>
        </w:rPr>
        <w:t>培训基地</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b w:val="0"/>
          <w:kern w:val="2"/>
          <w:sz w:val="32"/>
          <w:szCs w:val="32"/>
          <w:highlight w:val="none"/>
          <w:lang w:val="en-US" w:eastAsia="zh-CN"/>
        </w:rPr>
      </w:pPr>
      <w:r>
        <w:rPr>
          <w:rFonts w:hint="eastAsia" w:ascii="仿宋_GB2312" w:hAnsi="仿宋_GB2312" w:eastAsia="仿宋_GB2312" w:cs="仿宋_GB2312"/>
          <w:b w:val="0"/>
          <w:kern w:val="2"/>
          <w:sz w:val="32"/>
          <w:szCs w:val="32"/>
          <w:highlight w:val="none"/>
        </w:rPr>
        <w:t>根据培训内容，医防融合培训基地为市和16区疾病预防控制中心、北京急救中心、首都医科大学附属北京地坛医院、首都医科大学附属北京佑安医院、国家内科住院医师规范化培训基地所在医院，名单见《北京市医防融合培训基地名录》（附件4）。</w:t>
      </w:r>
      <w:r>
        <w:rPr>
          <w:rFonts w:hint="eastAsia" w:ascii="仿宋_GB2312" w:hAnsi="仿宋_GB2312" w:eastAsia="仿宋_GB2312" w:cs="仿宋_GB2312"/>
          <w:b w:val="0"/>
          <w:kern w:val="2"/>
          <w:sz w:val="32"/>
          <w:szCs w:val="32"/>
          <w:highlight w:val="none"/>
          <w:lang w:val="en-US" w:eastAsia="zh-CN"/>
        </w:rPr>
        <w:t xml:space="preserve"> </w:t>
      </w:r>
    </w:p>
    <w:p>
      <w:pPr>
        <w:pageBreakBefore w:val="0"/>
        <w:widowControl w:val="0"/>
        <w:numPr>
          <w:ilvl w:val="0"/>
          <w:numId w:val="2"/>
        </w:numPr>
        <w:kinsoku/>
        <w:wordWrap/>
        <w:overflowPunct/>
        <w:topLinePunct w:val="0"/>
        <w:autoSpaceDE/>
        <w:autoSpaceDN/>
        <w:bidi w:val="0"/>
        <w:adjustRightInd w:val="0"/>
        <w:snapToGrid w:val="0"/>
        <w:spacing w:line="560" w:lineRule="exact"/>
        <w:ind w:firstLine="800" w:firstLineChars="25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培训报名、考</w:t>
      </w:r>
      <w:r>
        <w:rPr>
          <w:rFonts w:hint="eastAsia" w:ascii="黑体" w:hAnsi="黑体" w:eastAsia="黑体" w:cs="黑体"/>
          <w:b w:val="0"/>
          <w:sz w:val="32"/>
          <w:szCs w:val="32"/>
          <w:highlight w:val="none"/>
          <w:lang w:eastAsia="zh-CN"/>
        </w:rPr>
        <w:t>核</w:t>
      </w:r>
      <w:r>
        <w:rPr>
          <w:rFonts w:hint="eastAsia" w:ascii="黑体" w:hAnsi="黑体" w:eastAsia="黑体" w:cs="黑体"/>
          <w:b w:val="0"/>
          <w:sz w:val="32"/>
          <w:szCs w:val="32"/>
          <w:highlight w:val="none"/>
        </w:rPr>
        <w:t>和发证</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val="0"/>
          <w:sz w:val="32"/>
          <w:szCs w:val="32"/>
          <w:highlight w:val="none"/>
          <w:lang w:eastAsia="zh-CN"/>
        </w:rPr>
      </w:pPr>
      <w:r>
        <w:rPr>
          <w:rFonts w:hint="eastAsia" w:ascii="楷体_GB2312" w:hAnsi="楷体_GB2312" w:eastAsia="楷体_GB2312" w:cs="楷体_GB2312"/>
          <w:b/>
          <w:bCs w:val="0"/>
          <w:kern w:val="2"/>
          <w:sz w:val="32"/>
          <w:szCs w:val="32"/>
          <w:highlight w:val="none"/>
        </w:rPr>
        <w:t>（一）报名</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sz w:val="32"/>
          <w:szCs w:val="32"/>
          <w:highlight w:val="none"/>
        </w:rPr>
      </w:pPr>
      <w:r>
        <w:rPr>
          <w:rFonts w:hint="eastAsia" w:ascii="仿宋" w:hAnsi="仿宋" w:eastAsia="仿宋" w:cs="仿宋"/>
          <w:b w:val="0"/>
          <w:sz w:val="32"/>
          <w:szCs w:val="32"/>
          <w:highlight w:val="none"/>
          <w:lang w:val="en-US" w:eastAsia="zh-CN"/>
        </w:rPr>
        <w:t xml:space="preserve">    培训报名由市卫健委统一部署，</w:t>
      </w:r>
      <w:r>
        <w:rPr>
          <w:rFonts w:hint="eastAsia" w:ascii="仿宋_GB2312" w:hAnsi="仿宋_GB2312" w:eastAsia="仿宋_GB2312" w:cs="仿宋_GB2312"/>
          <w:b w:val="0"/>
          <w:sz w:val="32"/>
          <w:szCs w:val="32"/>
          <w:highlight w:val="none"/>
          <w:lang w:eastAsia="zh-CN"/>
        </w:rPr>
        <w:t>具体时间安排另行通知。</w:t>
      </w:r>
    </w:p>
    <w:p>
      <w:pPr>
        <w:pageBreakBefore w:val="0"/>
        <w:numPr>
          <w:ilvl w:val="0"/>
          <w:numId w:val="3"/>
        </w:numPr>
        <w:kinsoku/>
        <w:wordWrap/>
        <w:overflowPunct/>
        <w:topLinePunct w:val="0"/>
        <w:autoSpaceDE/>
        <w:autoSpaceDN/>
        <w:bidi w:val="0"/>
        <w:adjustRightInd w:val="0"/>
        <w:snapToGrid w:val="0"/>
        <w:spacing w:line="560" w:lineRule="exact"/>
        <w:ind w:firstLine="640"/>
        <w:textAlignment w:val="auto"/>
        <w:rPr>
          <w:rFonts w:hint="eastAsia" w:ascii="楷体" w:hAnsi="楷体" w:eastAsia="楷体" w:cs="楷体"/>
          <w:b/>
          <w:bCs w:val="0"/>
          <w:sz w:val="32"/>
          <w:szCs w:val="32"/>
          <w:highlight w:val="none"/>
        </w:rPr>
      </w:pPr>
      <w:r>
        <w:rPr>
          <w:rFonts w:hint="eastAsia" w:ascii="楷体_GB2312" w:hAnsi="楷体_GB2312" w:eastAsia="楷体_GB2312" w:cs="楷体_GB2312"/>
          <w:b/>
          <w:bCs w:val="0"/>
          <w:sz w:val="32"/>
          <w:szCs w:val="32"/>
          <w:highlight w:val="none"/>
        </w:rPr>
        <w:t>考</w:t>
      </w:r>
      <w:r>
        <w:rPr>
          <w:rFonts w:hint="eastAsia" w:ascii="楷体_GB2312" w:hAnsi="楷体_GB2312" w:eastAsia="楷体_GB2312" w:cs="楷体_GB2312"/>
          <w:b/>
          <w:bCs w:val="0"/>
          <w:sz w:val="32"/>
          <w:szCs w:val="32"/>
          <w:highlight w:val="none"/>
          <w:lang w:eastAsia="zh-CN"/>
        </w:rPr>
        <w:t>核和</w:t>
      </w:r>
      <w:r>
        <w:rPr>
          <w:rFonts w:hint="eastAsia" w:ascii="楷体_GB2312" w:hAnsi="楷体_GB2312" w:eastAsia="楷体_GB2312" w:cs="楷体_GB2312"/>
          <w:b/>
          <w:bCs w:val="0"/>
          <w:sz w:val="32"/>
          <w:szCs w:val="32"/>
          <w:highlight w:val="none"/>
        </w:rPr>
        <w:t>发证</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培训基地</w:t>
      </w:r>
      <w:r>
        <w:rPr>
          <w:rFonts w:hint="eastAsia" w:ascii="仿宋_GB2312" w:hAnsi="仿宋_GB2312" w:eastAsia="仿宋_GB2312" w:cs="仿宋_GB2312"/>
          <w:bCs/>
          <w:sz w:val="32"/>
          <w:szCs w:val="32"/>
          <w:highlight w:val="none"/>
          <w:lang w:eastAsia="zh-CN"/>
        </w:rPr>
        <w:t>对完成培训的人员进行考核，</w:t>
      </w:r>
      <w:r>
        <w:rPr>
          <w:rFonts w:hint="eastAsia" w:ascii="仿宋_GB2312" w:hAnsi="仿宋_GB2312" w:eastAsia="仿宋_GB2312" w:cs="仿宋_GB2312"/>
          <w:bCs/>
          <w:sz w:val="32"/>
          <w:szCs w:val="32"/>
          <w:highlight w:val="none"/>
        </w:rPr>
        <w:t>考核</w:t>
      </w:r>
      <w:r>
        <w:rPr>
          <w:rFonts w:hint="eastAsia" w:ascii="仿宋_GB2312" w:hAnsi="仿宋_GB2312" w:eastAsia="仿宋_GB2312" w:cs="仿宋_GB2312"/>
          <w:bCs/>
          <w:sz w:val="32"/>
          <w:szCs w:val="32"/>
          <w:highlight w:val="none"/>
          <w:lang w:eastAsia="zh-CN"/>
        </w:rPr>
        <w:t>合格</w:t>
      </w:r>
      <w:r>
        <w:rPr>
          <w:rFonts w:hint="eastAsia" w:ascii="仿宋_GB2312" w:hAnsi="仿宋_GB2312" w:eastAsia="仿宋_GB2312" w:cs="仿宋_GB2312"/>
          <w:bCs/>
          <w:sz w:val="32"/>
          <w:szCs w:val="32"/>
          <w:highlight w:val="none"/>
        </w:rPr>
        <w:t>后</w:t>
      </w:r>
      <w:r>
        <w:rPr>
          <w:rFonts w:hint="eastAsia" w:ascii="仿宋_GB2312" w:hAnsi="仿宋_GB2312" w:eastAsia="仿宋_GB2312" w:cs="仿宋_GB2312"/>
          <w:bCs/>
          <w:sz w:val="32"/>
          <w:szCs w:val="32"/>
          <w:highlight w:val="none"/>
          <w:lang w:eastAsia="zh-CN"/>
        </w:rPr>
        <w:t>由</w:t>
      </w:r>
      <w:r>
        <w:rPr>
          <w:rFonts w:hint="eastAsia" w:ascii="仿宋_GB2312" w:hAnsi="仿宋_GB2312" w:eastAsia="仿宋_GB2312" w:cs="仿宋_GB2312"/>
          <w:bCs/>
          <w:sz w:val="32"/>
          <w:szCs w:val="32"/>
          <w:highlight w:val="none"/>
        </w:rPr>
        <w:t>培训基地</w:t>
      </w:r>
      <w:r>
        <w:rPr>
          <w:rFonts w:hint="eastAsia" w:ascii="仿宋_GB2312" w:hAnsi="仿宋_GB2312" w:eastAsia="仿宋_GB2312" w:cs="仿宋_GB2312"/>
          <w:bCs/>
          <w:sz w:val="32"/>
          <w:szCs w:val="32"/>
          <w:highlight w:val="none"/>
          <w:lang w:eastAsia="zh-CN"/>
        </w:rPr>
        <w:t>在</w:t>
      </w:r>
      <w:r>
        <w:rPr>
          <w:rFonts w:hint="eastAsia" w:ascii="仿宋_GB2312" w:hAnsi="仿宋_GB2312" w:eastAsia="仿宋_GB2312" w:cs="仿宋_GB2312"/>
          <w:bCs/>
          <w:sz w:val="32"/>
          <w:szCs w:val="32"/>
          <w:highlight w:val="none"/>
        </w:rPr>
        <w:t>《北京市医防融合培训证</w:t>
      </w:r>
      <w:r>
        <w:rPr>
          <w:rFonts w:hint="eastAsia" w:ascii="仿宋_GB2312" w:hAnsi="仿宋_GB2312" w:eastAsia="仿宋_GB2312" w:cs="仿宋_GB2312"/>
          <w:bCs/>
          <w:sz w:val="32"/>
          <w:szCs w:val="32"/>
          <w:highlight w:val="none"/>
          <w:lang w:eastAsia="zh-CN"/>
        </w:rPr>
        <w:t>明</w:t>
      </w:r>
      <w:r>
        <w:rPr>
          <w:rFonts w:hint="eastAsia" w:ascii="仿宋_GB2312" w:hAnsi="仿宋_GB2312" w:eastAsia="仿宋_GB2312" w:cs="仿宋_GB2312"/>
          <w:bCs/>
          <w:sz w:val="32"/>
          <w:szCs w:val="32"/>
          <w:highlight w:val="none"/>
        </w:rPr>
        <w:t>》（附件</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上记录</w:t>
      </w:r>
      <w:r>
        <w:rPr>
          <w:rFonts w:hint="eastAsia" w:ascii="仿宋_GB2312" w:hAnsi="仿宋_GB2312" w:eastAsia="仿宋_GB2312" w:cs="仿宋_GB2312"/>
          <w:bCs/>
          <w:sz w:val="32"/>
          <w:szCs w:val="32"/>
          <w:highlight w:val="none"/>
        </w:rPr>
        <w:t>并加盖</w:t>
      </w:r>
      <w:r>
        <w:rPr>
          <w:rFonts w:hint="eastAsia" w:ascii="仿宋_GB2312" w:hAnsi="仿宋_GB2312" w:eastAsia="仿宋_GB2312" w:cs="仿宋_GB2312"/>
          <w:bCs/>
          <w:sz w:val="32"/>
          <w:szCs w:val="32"/>
          <w:highlight w:val="none"/>
          <w:lang w:eastAsia="zh-CN"/>
        </w:rPr>
        <w:t>单位</w:t>
      </w:r>
      <w:r>
        <w:rPr>
          <w:rFonts w:hint="eastAsia" w:ascii="仿宋_GB2312" w:hAnsi="仿宋_GB2312" w:eastAsia="仿宋_GB2312" w:cs="仿宋_GB2312"/>
          <w:bCs/>
          <w:sz w:val="32"/>
          <w:szCs w:val="32"/>
          <w:highlight w:val="none"/>
        </w:rPr>
        <w:t>公章</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《北京市医防融合培训证明》作为</w:t>
      </w:r>
      <w:r>
        <w:rPr>
          <w:rFonts w:hint="eastAsia" w:ascii="仿宋_GB2312" w:hAnsi="仿宋_GB2312" w:eastAsia="仿宋_GB2312" w:cs="仿宋_GB2312"/>
          <w:bCs/>
          <w:sz w:val="32"/>
          <w:szCs w:val="32"/>
          <w:highlight w:val="none"/>
          <w:lang w:eastAsia="zh-CN"/>
        </w:rPr>
        <w:t>本人</w:t>
      </w:r>
      <w:r>
        <w:rPr>
          <w:rFonts w:hint="eastAsia" w:ascii="仿宋_GB2312" w:hAnsi="仿宋_GB2312" w:eastAsia="仿宋_GB2312" w:cs="仿宋_GB2312"/>
          <w:bCs/>
          <w:sz w:val="32"/>
          <w:szCs w:val="32"/>
          <w:highlight w:val="none"/>
        </w:rPr>
        <w:t>晋升副高级职称的重要依据。</w:t>
      </w:r>
    </w:p>
    <w:p>
      <w:pPr>
        <w:pStyle w:val="2"/>
        <w:pageBreakBefore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lang w:eastAsia="zh-CN"/>
        </w:rPr>
        <w:t>八、</w:t>
      </w:r>
      <w:r>
        <w:rPr>
          <w:rFonts w:hint="eastAsia" w:ascii="黑体" w:hAnsi="黑体" w:eastAsia="黑体" w:cs="黑体"/>
          <w:b w:val="0"/>
          <w:sz w:val="32"/>
          <w:szCs w:val="32"/>
          <w:highlight w:val="none"/>
        </w:rPr>
        <w:t>保障措施</w:t>
      </w:r>
    </w:p>
    <w:p>
      <w:pPr>
        <w:pStyle w:val="2"/>
        <w:keepNext/>
        <w:keepLines/>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 xml:space="preserve">   </w:t>
      </w:r>
      <w:r>
        <w:rPr>
          <w:rFonts w:hint="eastAsia" w:ascii="楷体_GB2312" w:hAnsi="楷体_GB2312" w:eastAsia="楷体_GB2312" w:cs="楷体_GB2312"/>
          <w:b/>
          <w:bCs w:val="0"/>
          <w:kern w:val="2"/>
          <w:sz w:val="32"/>
          <w:szCs w:val="32"/>
          <w:highlight w:val="none"/>
        </w:rPr>
        <w:t xml:space="preserve"> （一）加强组织管理</w:t>
      </w:r>
    </w:p>
    <w:p>
      <w:pPr>
        <w:pStyle w:val="4"/>
        <w:pageBreakBefore w:val="0"/>
        <w:kinsoku/>
        <w:wordWrap/>
        <w:overflowPunct/>
        <w:topLinePunct w:val="0"/>
        <w:autoSpaceDE/>
        <w:autoSpaceDN/>
        <w:bidi w:val="0"/>
        <w:adjustRightInd w:val="0"/>
        <w:snapToGrid w:val="0"/>
        <w:spacing w:before="0" w:after="0" w:line="560" w:lineRule="exact"/>
        <w:ind w:firstLine="640" w:firstLineChars="200"/>
        <w:jc w:val="left"/>
        <w:textAlignment w:val="auto"/>
        <w:rPr>
          <w:rFonts w:hint="eastAsia" w:ascii="仿宋_GB2312" w:hAnsi="仿宋_GB2312" w:eastAsia="仿宋_GB2312" w:cs="仿宋_GB2312"/>
          <w:b w:val="0"/>
          <w:kern w:val="2"/>
          <w:highlight w:val="none"/>
        </w:rPr>
      </w:pPr>
      <w:r>
        <w:rPr>
          <w:rFonts w:hint="eastAsia" w:ascii="仿宋_GB2312" w:hAnsi="仿宋_GB2312" w:eastAsia="仿宋_GB2312" w:cs="仿宋_GB2312"/>
          <w:b w:val="0"/>
          <w:kern w:val="2"/>
          <w:highlight w:val="none"/>
        </w:rPr>
        <w:t>各</w:t>
      </w:r>
      <w:r>
        <w:rPr>
          <w:rFonts w:hint="eastAsia" w:ascii="仿宋_GB2312" w:hAnsi="仿宋_GB2312" w:eastAsia="仿宋_GB2312" w:cs="仿宋_GB2312"/>
          <w:b w:val="0"/>
          <w:kern w:val="2"/>
          <w:highlight w:val="none"/>
          <w:lang w:eastAsia="zh-CN"/>
        </w:rPr>
        <w:t>有关单位</w:t>
      </w:r>
      <w:r>
        <w:rPr>
          <w:rFonts w:hint="eastAsia" w:ascii="仿宋_GB2312" w:hAnsi="仿宋_GB2312" w:eastAsia="仿宋_GB2312" w:cs="仿宋_GB2312"/>
          <w:b w:val="0"/>
          <w:kern w:val="2"/>
          <w:highlight w:val="none"/>
        </w:rPr>
        <w:t>负责做好</w:t>
      </w:r>
      <w:r>
        <w:rPr>
          <w:rFonts w:hint="eastAsia" w:ascii="仿宋_GB2312" w:hAnsi="仿宋_GB2312" w:eastAsia="仿宋_GB2312" w:cs="仿宋_GB2312"/>
          <w:b w:val="0"/>
          <w:kern w:val="2"/>
          <w:highlight w:val="none"/>
          <w:lang w:eastAsia="zh-CN"/>
        </w:rPr>
        <w:t>本</w:t>
      </w:r>
      <w:r>
        <w:rPr>
          <w:rFonts w:hint="eastAsia" w:ascii="仿宋_GB2312" w:hAnsi="仿宋_GB2312" w:eastAsia="仿宋_GB2312" w:cs="仿宋_GB2312"/>
          <w:b w:val="0"/>
          <w:kern w:val="2"/>
          <w:highlight w:val="none"/>
        </w:rPr>
        <w:t>机构医防融合交叉培训的动员部署，组织符合条件的培训对象参加培训</w:t>
      </w:r>
      <w:r>
        <w:rPr>
          <w:rFonts w:hint="eastAsia" w:ascii="仿宋_GB2312" w:hAnsi="仿宋_GB2312" w:eastAsia="仿宋_GB2312" w:cs="仿宋_GB2312"/>
          <w:b w:val="0"/>
          <w:kern w:val="2"/>
          <w:highlight w:val="none"/>
          <w:lang w:eastAsia="zh-CN"/>
        </w:rPr>
        <w:t>，并</w:t>
      </w:r>
      <w:r>
        <w:rPr>
          <w:rFonts w:hint="eastAsia" w:ascii="仿宋_GB2312" w:hAnsi="仿宋_GB2312" w:eastAsia="仿宋_GB2312" w:cs="仿宋_GB2312"/>
          <w:b w:val="0"/>
          <w:kern w:val="2"/>
          <w:highlight w:val="none"/>
        </w:rPr>
        <w:t>为培训人员提供必要保障条件。</w:t>
      </w:r>
      <w:r>
        <w:rPr>
          <w:rFonts w:hint="eastAsia" w:ascii="仿宋_GB2312" w:hAnsi="仿宋_GB2312" w:eastAsia="仿宋_GB2312" w:cs="仿宋_GB2312"/>
          <w:b w:val="0"/>
          <w:kern w:val="2"/>
          <w:highlight w:val="none"/>
          <w:lang w:eastAsia="zh-CN"/>
        </w:rPr>
        <w:t>区属</w:t>
      </w:r>
      <w:r>
        <w:rPr>
          <w:rFonts w:hint="eastAsia" w:ascii="仿宋_GB2312" w:hAnsi="仿宋_GB2312" w:eastAsia="仿宋_GB2312" w:cs="仿宋_GB2312"/>
          <w:b w:val="0"/>
          <w:kern w:val="2"/>
          <w:highlight w:val="none"/>
        </w:rPr>
        <w:t>培训基地负责按照培训要求和报名安排落实培训计划，严格进行结业考核，完善保障措施，切实保证培训质量。</w:t>
      </w:r>
    </w:p>
    <w:p>
      <w:pPr>
        <w:pStyle w:val="4"/>
        <w:pageBreakBefore w:val="0"/>
        <w:numPr>
          <w:ilvl w:val="0"/>
          <w:numId w:val="4"/>
        </w:numPr>
        <w:kinsoku/>
        <w:wordWrap/>
        <w:overflowPunct/>
        <w:topLinePunct w:val="0"/>
        <w:autoSpaceDE/>
        <w:autoSpaceDN/>
        <w:bidi w:val="0"/>
        <w:adjustRightInd w:val="0"/>
        <w:snapToGrid w:val="0"/>
        <w:spacing w:before="0" w:after="0" w:line="560" w:lineRule="exact"/>
        <w:ind w:firstLine="643" w:firstLineChars="200"/>
        <w:jc w:val="left"/>
        <w:textAlignment w:val="auto"/>
        <w:rPr>
          <w:rFonts w:hint="eastAsia" w:ascii="楷体_GB2312" w:hAnsi="楷体_GB2312" w:eastAsia="楷体_GB2312" w:cs="楷体_GB2312"/>
          <w:b/>
          <w:bCs w:val="0"/>
          <w:highlight w:val="none"/>
        </w:rPr>
      </w:pPr>
      <w:r>
        <w:rPr>
          <w:rFonts w:hint="eastAsia" w:ascii="楷体_GB2312" w:hAnsi="楷体_GB2312" w:eastAsia="楷体_GB2312" w:cs="楷体_GB2312"/>
          <w:b/>
          <w:bCs w:val="0"/>
          <w:kern w:val="2"/>
          <w:highlight w:val="none"/>
        </w:rPr>
        <w:t>完善激励措施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医防融合培训纳入市级继续医学教育必修项目管理，完成培训可按相关规定获得继续教育学分。</w:t>
      </w:r>
      <w:r>
        <w:rPr>
          <w:rFonts w:hint="eastAsia" w:ascii="仿宋_GB2312" w:hAnsi="仿宋_GB2312" w:eastAsia="仿宋_GB2312" w:cs="仿宋_GB2312"/>
          <w:bCs/>
          <w:sz w:val="32"/>
          <w:szCs w:val="32"/>
          <w:highlight w:val="none"/>
          <w:lang w:eastAsia="zh-CN"/>
        </w:rPr>
        <w:t>按照市级要求，我区</w:t>
      </w:r>
      <w:r>
        <w:rPr>
          <w:rFonts w:hint="eastAsia" w:ascii="仿宋_GB2312" w:hAnsi="仿宋_GB2312" w:eastAsia="仿宋_GB2312" w:cs="仿宋_GB2312"/>
          <w:bCs/>
          <w:sz w:val="32"/>
          <w:szCs w:val="32"/>
          <w:highlight w:val="none"/>
          <w:lang w:val="en-US" w:eastAsia="zh-CN"/>
        </w:rPr>
        <w:t>2021年</w:t>
      </w:r>
      <w:r>
        <w:rPr>
          <w:rFonts w:hint="eastAsia" w:ascii="仿宋_GB2312" w:hAnsi="仿宋_GB2312" w:eastAsia="仿宋_GB2312" w:cs="仿宋_GB2312"/>
          <w:bCs/>
          <w:sz w:val="32"/>
          <w:szCs w:val="32"/>
          <w:highlight w:val="none"/>
          <w:lang w:eastAsia="zh-CN"/>
        </w:rPr>
        <w:t>须</w:t>
      </w:r>
      <w:r>
        <w:rPr>
          <w:rFonts w:hint="eastAsia" w:ascii="仿宋_GB2312" w:hAnsi="仿宋_GB2312" w:eastAsia="仿宋_GB2312" w:cs="仿宋_GB2312"/>
          <w:bCs/>
          <w:sz w:val="32"/>
          <w:szCs w:val="32"/>
          <w:highlight w:val="none"/>
          <w:lang w:val="en-US" w:eastAsia="zh-CN"/>
        </w:rPr>
        <w:t>完成不少于15人的医防融合培训任务，各相关单位名额分配见附件6（2022年分配名额另行通知）。2021年及2022年，</w:t>
      </w:r>
      <w:r>
        <w:rPr>
          <w:rFonts w:hint="eastAsia" w:ascii="仿宋_GB2312" w:hAnsi="仿宋_GB2312" w:eastAsia="仿宋_GB2312" w:cs="仿宋_GB2312"/>
          <w:bCs/>
          <w:sz w:val="32"/>
          <w:szCs w:val="32"/>
          <w:highlight w:val="none"/>
        </w:rPr>
        <w:t>完成医防融合培训的人员优先推荐晋升</w:t>
      </w:r>
      <w:r>
        <w:rPr>
          <w:rFonts w:hint="eastAsia" w:ascii="仿宋_GB2312" w:hAnsi="仿宋_GB2312" w:eastAsia="仿宋_GB2312" w:cs="仿宋_GB2312"/>
          <w:bCs/>
          <w:sz w:val="32"/>
          <w:szCs w:val="32"/>
          <w:highlight w:val="none"/>
          <w:lang w:eastAsia="zh-CN"/>
        </w:rPr>
        <w:t>，自</w:t>
      </w:r>
      <w:r>
        <w:rPr>
          <w:rFonts w:hint="eastAsia" w:ascii="仿宋_GB2312" w:hAnsi="仿宋_GB2312" w:eastAsia="仿宋_GB2312" w:cs="仿宋_GB2312"/>
          <w:bCs/>
          <w:sz w:val="32"/>
          <w:szCs w:val="32"/>
          <w:highlight w:val="none"/>
        </w:rPr>
        <w:t>2023年起作为晋升的必备条件之一。自愿参加并完成医防融合培训的其他医师适用本方案规定，在晋升副高职称前优先推荐。</w:t>
      </w:r>
    </w:p>
    <w:p>
      <w:pPr>
        <w:pStyle w:val="4"/>
        <w:pageBreakBefore w:val="0"/>
        <w:kinsoku/>
        <w:wordWrap/>
        <w:overflowPunct/>
        <w:topLinePunct w:val="0"/>
        <w:autoSpaceDE/>
        <w:autoSpaceDN/>
        <w:bidi w:val="0"/>
        <w:adjustRightInd w:val="0"/>
        <w:snapToGrid w:val="0"/>
        <w:spacing w:before="0" w:after="0" w:line="560" w:lineRule="exact"/>
        <w:ind w:firstLine="643" w:firstLineChars="200"/>
        <w:jc w:val="left"/>
        <w:textAlignment w:val="auto"/>
        <w:rPr>
          <w:rFonts w:hint="eastAsia" w:ascii="仿宋_GB2312" w:hAnsi="仿宋_GB2312" w:eastAsia="仿宋_GB2312" w:cs="仿宋_GB2312"/>
          <w:b/>
          <w:bCs w:val="0"/>
          <w:highlight w:val="none"/>
        </w:rPr>
      </w:pPr>
      <w:r>
        <w:rPr>
          <w:rFonts w:hint="eastAsia" w:ascii="楷体_GB2312" w:hAnsi="楷体_GB2312" w:eastAsia="楷体_GB2312" w:cs="楷体_GB2312"/>
          <w:b/>
          <w:bCs w:val="0"/>
          <w:kern w:val="2"/>
          <w:highlight w:val="none"/>
        </w:rPr>
        <w:t>（三）保障经费投入</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医防融合培训经费由政府、单位、社会多方投入。</w:t>
      </w:r>
      <w:r>
        <w:rPr>
          <w:rFonts w:hint="eastAsia" w:ascii="仿宋_GB2312" w:hAnsi="仿宋_GB2312" w:eastAsia="仿宋_GB2312" w:cs="仿宋_GB2312"/>
          <w:bCs/>
          <w:sz w:val="32"/>
          <w:szCs w:val="32"/>
          <w:highlight w:val="none"/>
          <w:lang w:eastAsia="zh-CN"/>
        </w:rPr>
        <w:t>一经参配，一律要全程完成培训任务。</w:t>
      </w:r>
      <w:r>
        <w:rPr>
          <w:rFonts w:hint="eastAsia" w:ascii="仿宋_GB2312" w:hAnsi="仿宋_GB2312" w:eastAsia="仿宋_GB2312" w:cs="仿宋_GB2312"/>
          <w:bCs/>
          <w:sz w:val="32"/>
          <w:szCs w:val="32"/>
          <w:highlight w:val="none"/>
        </w:rPr>
        <w:t>培训基地为实施培训提供必要的学习和生活条件。培训对象所在单位为其提供便利条件，保障其培训期间的待遇。</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附件：1.公共卫生应急能力培训细则</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2.临床诊疗和院感防控能力培训细则</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3.院前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急救能力培训细则</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4.北京市医防融合培训基地名录</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5</w:t>
      </w:r>
      <w:r>
        <w:rPr>
          <w:rFonts w:hint="eastAsia" w:ascii="仿宋_GB2312" w:hAnsi="仿宋_GB2312" w:eastAsia="仿宋_GB2312" w:cs="仿宋_GB2312"/>
          <w:bCs/>
          <w:sz w:val="32"/>
          <w:szCs w:val="32"/>
          <w:highlight w:val="none"/>
        </w:rPr>
        <w:t>.北京市医防融合培训证明</w:t>
      </w:r>
    </w:p>
    <w:p>
      <w:pPr>
        <w:rPr>
          <w:rFonts w:hint="eastAsia"/>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附件1</w:t>
      </w:r>
    </w:p>
    <w:p>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公共卫生应急能力培训细则</w:t>
      </w:r>
    </w:p>
    <w:p>
      <w:pPr>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cs="宋体"/>
          <w:b/>
          <w:sz w:val="36"/>
          <w:szCs w:val="36"/>
          <w:highlight w:val="none"/>
        </w:rPr>
      </w:pPr>
    </w:p>
    <w:p>
      <w:pPr>
        <w:pageBreakBefore w:val="0"/>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一、公共卫生应急管理基础知识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（一）培训时间：</w:t>
      </w:r>
      <w:r>
        <w:rPr>
          <w:rFonts w:hint="eastAsia" w:ascii="仿宋_GB2312" w:hAnsi="仿宋_GB2312" w:eastAsia="仿宋_GB2312" w:cs="仿宋_GB2312"/>
          <w:sz w:val="32"/>
          <w:szCs w:val="32"/>
          <w:highlight w:val="none"/>
        </w:rPr>
        <w:t>理论授课6学时，实践培训6学时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（二）培训地点：</w:t>
      </w:r>
      <w:r>
        <w:rPr>
          <w:rFonts w:hint="eastAsia" w:ascii="仿宋_GB2312" w:hAnsi="仿宋_GB2312" w:eastAsia="仿宋_GB2312" w:cs="仿宋_GB2312"/>
          <w:sz w:val="32"/>
          <w:szCs w:val="32"/>
          <w:highlight w:val="none"/>
        </w:rPr>
        <w:t>市、区两级疾病预防控制机构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（三）培训内容：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1.熟悉《中华人民共和国传染病防治法》内容，掌握医疗卫生机构从业人员的相关权利、义务和工作要求。</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2.学习《北京市突发公共卫生事件管理条例》，了解重大突发公共卫生事件的定义标准、处置流程和管理要求。</w:t>
      </w:r>
    </w:p>
    <w:p>
      <w:pPr>
        <w:pageBreakBefore w:val="0"/>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二、传染病监测与管理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（一）培训时间：</w:t>
      </w:r>
      <w:r>
        <w:rPr>
          <w:rFonts w:hint="eastAsia" w:ascii="仿宋_GB2312" w:hAnsi="仿宋_GB2312" w:eastAsia="仿宋_GB2312" w:cs="仿宋_GB2312"/>
          <w:sz w:val="32"/>
          <w:szCs w:val="32"/>
          <w:highlight w:val="none"/>
        </w:rPr>
        <w:t>理论授课12学时，实践培训1-2周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华文仿宋" w:hAnsi="华文仿宋" w:eastAsia="华文仿宋" w:cs="华文仿宋"/>
          <w:sz w:val="32"/>
          <w:szCs w:val="32"/>
          <w:highlight w:val="none"/>
        </w:rPr>
      </w:pPr>
      <w:r>
        <w:rPr>
          <w:rFonts w:hint="eastAsia" w:ascii="楷体_GB2312" w:hAnsi="楷体_GB2312" w:eastAsia="楷体_GB2312" w:cs="楷体_GB2312"/>
          <w:sz w:val="32"/>
          <w:szCs w:val="32"/>
          <w:highlight w:val="none"/>
        </w:rPr>
        <w:t>（二）培训地点：</w:t>
      </w:r>
      <w:r>
        <w:rPr>
          <w:rFonts w:hint="eastAsia" w:ascii="仿宋_GB2312" w:hAnsi="仿宋_GB2312" w:eastAsia="仿宋_GB2312" w:cs="仿宋_GB2312"/>
          <w:sz w:val="32"/>
          <w:szCs w:val="32"/>
          <w:highlight w:val="none"/>
        </w:rPr>
        <w:t>市、区两级疾病预防控制机构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（三）培训内容：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1.熟悉法定传染病病种及分类，了解传染病和突发公共卫生事件信息报告及管理工作规范，掌握传染病疫情监测报告管理流程与基本要求。</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2.熟悉传染病疫情网络直报系统的操作运行、掌握常规报告信息的定义及标准。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3.掌握医疗机构传染病疫情报告质量核查的原则、方法和主要评价指标，撰写质量评估报告。</w:t>
      </w:r>
    </w:p>
    <w:p>
      <w:pPr>
        <w:adjustRightInd w:val="0"/>
        <w:snapToGrid w:val="0"/>
        <w:spacing w:beforeLines="0" w:afterLines="0" w:line="348" w:lineRule="auto"/>
        <w:ind w:left="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三、流行病学调查与现场处置</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（一）培训时间：</w:t>
      </w:r>
      <w:r>
        <w:rPr>
          <w:rFonts w:hint="eastAsia" w:ascii="仿宋_GB2312" w:hAnsi="仿宋_GB2312" w:eastAsia="仿宋_GB2312" w:cs="仿宋_GB2312"/>
          <w:sz w:val="32"/>
          <w:szCs w:val="32"/>
          <w:highlight w:val="none"/>
        </w:rPr>
        <w:t>理论授课24学时，实践培训6学时，顶岗锻炼4-6周</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（二）培训地点：</w:t>
      </w:r>
      <w:r>
        <w:rPr>
          <w:rFonts w:hint="eastAsia" w:ascii="仿宋_GB2312" w:hAnsi="仿宋_GB2312" w:eastAsia="仿宋_GB2312" w:cs="仿宋_GB2312"/>
          <w:sz w:val="32"/>
          <w:szCs w:val="32"/>
          <w:highlight w:val="none"/>
        </w:rPr>
        <w:t>市、区两级疾病预防控制机构</w:t>
      </w:r>
    </w:p>
    <w:p>
      <w:pPr>
        <w:adjustRightInd w:val="0"/>
        <w:snapToGrid w:val="0"/>
        <w:spacing w:beforeLines="0" w:afterLines="0" w:line="348"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（三）培训内容：</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1.了解传染病疫情的概念、一般调查处理原则与程序；掌握流行病学调查的目的意义、基本原则和内容。</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2.了解暴发、重大疫情以及突发公共卫生事件的定义、一般调查处理原则和程序。</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3.了解需开展个案调查疾病的基础知识和主要疫情控制措施。</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4.了解重点传染病的聚集性病例及暴发疫情的判断标准、调查处理原则、处理程序。</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5.掌握传染病疫情主要控制措施制定的原则、目的意义、技术标准、内容等。包括密切接触者和病例的判定、隔离管理，主动搜索方法，环境和物品消毒，易感人群保护等。</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6.掌握传染病疫情中生物样本及外环境样本的采集及运输方法与规范。</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7.掌握流行病学调查技能与调查报告撰写规范、要求。</w:t>
      </w:r>
    </w:p>
    <w:p>
      <w:pPr>
        <w:adjustRightInd w:val="0"/>
        <w:snapToGrid w:val="0"/>
        <w:spacing w:beforeLines="0" w:afterLines="0" w:line="360" w:lineRule="auto"/>
        <w:rPr>
          <w:rFonts w:hint="eastAsia" w:ascii="黑体" w:hAnsi="黑体" w:eastAsia="黑体" w:cs="黑体"/>
          <w:bCs/>
          <w:sz w:val="32"/>
          <w:szCs w:val="32"/>
          <w:highlight w:val="none"/>
        </w:rPr>
      </w:pPr>
    </w:p>
    <w:p>
      <w:pPr>
        <w:adjustRightInd w:val="0"/>
        <w:snapToGrid w:val="0"/>
        <w:spacing w:beforeLines="0" w:afterLines="0" w:line="360" w:lineRule="auto"/>
        <w:rPr>
          <w:rFonts w:hint="eastAsia" w:ascii="黑体" w:hAnsi="黑体" w:eastAsia="黑体" w:cs="黑体"/>
          <w:bCs/>
          <w:sz w:val="32"/>
          <w:szCs w:val="32"/>
          <w:highlight w:val="none"/>
        </w:rPr>
      </w:pPr>
    </w:p>
    <w:p>
      <w:pPr>
        <w:adjustRightInd w:val="0"/>
        <w:snapToGrid w:val="0"/>
        <w:spacing w:beforeLines="0" w:afterLines="0" w:line="360" w:lineRule="auto"/>
        <w:rPr>
          <w:rFonts w:hint="eastAsia" w:ascii="黑体" w:hAnsi="黑体" w:eastAsia="黑体" w:cs="黑体"/>
          <w:bCs/>
          <w:sz w:val="32"/>
          <w:szCs w:val="32"/>
          <w:highlight w:val="none"/>
        </w:rPr>
      </w:pPr>
    </w:p>
    <w:p>
      <w:pPr>
        <w:adjustRightInd w:val="0"/>
        <w:snapToGrid w:val="0"/>
        <w:spacing w:beforeLines="0" w:afterLines="0" w:line="360" w:lineRule="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附件2</w:t>
      </w:r>
    </w:p>
    <w:p>
      <w:pPr>
        <w:adjustRightInd w:val="0"/>
        <w:snapToGrid w:val="0"/>
        <w:spacing w:beforeLines="0" w:afterLines="0" w:line="240" w:lineRule="auto"/>
        <w:jc w:val="center"/>
        <w:rPr>
          <w:rFonts w:hint="eastAsia" w:ascii="宋体" w:hAnsi="宋体" w:cs="宋体"/>
          <w:b/>
          <w:sz w:val="36"/>
          <w:szCs w:val="36"/>
          <w:highlight w:val="none"/>
        </w:rPr>
      </w:pPr>
      <w:r>
        <w:rPr>
          <w:rFonts w:hint="eastAsia" w:ascii="方正小标宋简体" w:hAnsi="方正小标宋简体" w:eastAsia="方正小标宋简体" w:cs="方正小标宋简体"/>
          <w:b w:val="0"/>
          <w:bCs/>
          <w:sz w:val="44"/>
          <w:szCs w:val="44"/>
          <w:highlight w:val="none"/>
        </w:rPr>
        <w:t>临床诊疗和院感防控能力培训细则</w:t>
      </w:r>
    </w:p>
    <w:p>
      <w:pPr>
        <w:adjustRightInd w:val="0"/>
        <w:snapToGrid w:val="0"/>
        <w:spacing w:beforeLines="0" w:afterLines="0" w:line="360" w:lineRule="auto"/>
        <w:jc w:val="center"/>
        <w:rPr>
          <w:rFonts w:hint="eastAsia" w:ascii="宋体" w:hAnsi="宋体" w:cs="宋体"/>
          <w:b/>
          <w:sz w:val="36"/>
          <w:szCs w:val="36"/>
          <w:highlight w:val="none"/>
        </w:rPr>
      </w:pPr>
    </w:p>
    <w:p>
      <w:pPr>
        <w:numPr>
          <w:ilvl w:val="0"/>
          <w:numId w:val="5"/>
        </w:num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培训时间</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顶岗锻炼6个月，其中传染病专科医院1个月，综合医院5个月。</w:t>
      </w:r>
    </w:p>
    <w:p>
      <w:pPr>
        <w:numPr>
          <w:ilvl w:val="0"/>
          <w:numId w:val="5"/>
        </w:num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培训地点</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传染病专科医院（首都医科大学附属北京地坛医院和首都医科大学附属北京佑安医院），综合医院（北京市住院医师规范化培训内科专业基地）</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三、培训内容</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bCs/>
          <w:sz w:val="32"/>
          <w:szCs w:val="32"/>
          <w:highlight w:val="none"/>
        </w:rPr>
        <w:t>公共卫生机构人员</w:t>
      </w:r>
    </w:p>
    <w:tbl>
      <w:tblPr>
        <w:tblStyle w:val="6"/>
        <w:tblW w:w="9519"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5"/>
        <w:gridCol w:w="1559"/>
        <w:gridCol w:w="4253"/>
        <w:gridCol w:w="16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exact"/>
          <w:jc w:val="center"/>
        </w:trPr>
        <w:tc>
          <w:tcPr>
            <w:tcW w:w="2085" w:type="dxa"/>
            <w:tcBorders>
              <w:top w:val="single" w:color="auto" w:sz="12" w:space="0"/>
              <w:bottom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轮转科室</w:t>
            </w:r>
          </w:p>
        </w:tc>
        <w:tc>
          <w:tcPr>
            <w:tcW w:w="1559" w:type="dxa"/>
            <w:tcBorders>
              <w:top w:val="single" w:color="auto" w:sz="12" w:space="0"/>
              <w:bottom w:val="single" w:color="auto" w:sz="2" w:space="0"/>
              <w:right w:val="double" w:color="auto" w:sz="4" w:space="0"/>
            </w:tcBorders>
            <w:vAlign w:val="top"/>
          </w:tcPr>
          <w:p>
            <w:pPr>
              <w:pStyle w:val="5"/>
              <w:tabs>
                <w:tab w:val="left" w:pos="2055"/>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时间（月）</w:t>
            </w:r>
          </w:p>
        </w:tc>
        <w:tc>
          <w:tcPr>
            <w:tcW w:w="4253" w:type="dxa"/>
            <w:tcBorders>
              <w:top w:val="single" w:color="auto" w:sz="12" w:space="0"/>
              <w:left w:val="double" w:color="auto" w:sz="4" w:space="0"/>
              <w:bottom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轮转科室</w:t>
            </w:r>
          </w:p>
        </w:tc>
        <w:tc>
          <w:tcPr>
            <w:tcW w:w="1622" w:type="dxa"/>
            <w:tcBorders>
              <w:top w:val="single" w:color="auto" w:sz="12" w:space="0"/>
              <w:bottom w:val="single" w:color="auto" w:sz="2" w:space="0"/>
            </w:tcBorders>
            <w:vAlign w:val="top"/>
          </w:tcPr>
          <w:p>
            <w:pPr>
              <w:pStyle w:val="5"/>
              <w:tabs>
                <w:tab w:val="left" w:pos="2055"/>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时间（月）</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jc w:val="center"/>
        </w:trPr>
        <w:tc>
          <w:tcPr>
            <w:tcW w:w="2085" w:type="dxa"/>
            <w:tcBorders>
              <w:top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感染科</w:t>
            </w:r>
          </w:p>
        </w:tc>
        <w:tc>
          <w:tcPr>
            <w:tcW w:w="1559" w:type="dxa"/>
            <w:tcBorders>
              <w:top w:val="single" w:color="auto" w:sz="2" w:space="0"/>
              <w:righ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c>
          <w:tcPr>
            <w:tcW w:w="4253" w:type="dxa"/>
            <w:tcBorders>
              <w:top w:val="single" w:color="auto" w:sz="2" w:space="0"/>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急诊室</w:t>
            </w:r>
          </w:p>
        </w:tc>
        <w:tc>
          <w:tcPr>
            <w:tcW w:w="1622" w:type="dxa"/>
            <w:tcBorders>
              <w:top w:val="single" w:color="auto" w:sz="2"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exact"/>
          <w:jc w:val="center"/>
        </w:trPr>
        <w:tc>
          <w:tcPr>
            <w:tcW w:w="2085" w:type="dxa"/>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心血管内科</w:t>
            </w:r>
          </w:p>
        </w:tc>
        <w:tc>
          <w:tcPr>
            <w:tcW w:w="1559" w:type="dxa"/>
            <w:tcBorders>
              <w:righ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c>
          <w:tcPr>
            <w:tcW w:w="4253"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内科（呼吸）ICU/综合ICU</w:t>
            </w:r>
          </w:p>
        </w:tc>
        <w:tc>
          <w:tcPr>
            <w:tcW w:w="1622" w:type="dxa"/>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exact"/>
          <w:jc w:val="center"/>
        </w:trPr>
        <w:tc>
          <w:tcPr>
            <w:tcW w:w="2085" w:type="dxa"/>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呼吸内科</w:t>
            </w:r>
          </w:p>
        </w:tc>
        <w:tc>
          <w:tcPr>
            <w:tcW w:w="1559" w:type="dxa"/>
            <w:tcBorders>
              <w:righ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c>
          <w:tcPr>
            <w:tcW w:w="4253"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感控处             </w:t>
            </w:r>
          </w:p>
        </w:tc>
        <w:tc>
          <w:tcPr>
            <w:tcW w:w="1622" w:type="dxa"/>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color w:val="000000"/>
          <w:kern w:val="0"/>
          <w:sz w:val="32"/>
          <w:szCs w:val="32"/>
          <w:highlight w:val="none"/>
        </w:rPr>
        <w:t>通过参与管理病人、参加临床查房和各类教学活动，参与感控处的日常工作和教学活动。学习与医防结合能力培训要求相关的专业理论知识和技能。</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感染科</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掌握：</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（1）传染病的消毒、隔离、防护措施；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（2）新型冠状病毒肺炎的病原学知识、流行病学、临床表现、诊断依据、鉴别诊断及治疗原则；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（3）流行性感冒、禽流感的病原学知识、流行病学、临床表现、诊断依据、鉴别诊断及治疗原则；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（4）法定传染病报告与处理程序。</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熟悉：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（1）医院内感染的临床流行病学与防治；</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（2）肾综合征出血热、鼠疫的病原学知识、流行病学、临床表现、诊断依据、鉴别诊断及治疗原则；</w:t>
      </w:r>
    </w:p>
    <w:p>
      <w:pPr>
        <w:pStyle w:val="5"/>
        <w:adjustRightInd w:val="0"/>
        <w:snapToGrid w:val="0"/>
        <w:spacing w:beforeLines="0" w:afterLines="0" w:line="360" w:lineRule="auto"/>
        <w:ind w:left="0" w:leftChars="0" w:firstLine="480" w:firstLineChars="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（3）伤寒、菌痢、阿米巴病、细菌性食物中毒等肠道传染病的诊断、鉴别诊断及治疗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；诺如病毒感染性腹泻的病原学知识、流行病学、临床表现、诊断依据、鉴别诊断及治疗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（4）甲型、乙型、丙型和戊型肝炎病毒性肝炎的病原学知识、流行病学、临床表现、诊断依据、鉴别诊断及治疗；慢性乙型肝炎和丙型肝炎的抗病毒治疗；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（5）人类获得性免疫缺陷综合征（AIDS，艾滋病）的病原学知识、自然史、临床表现、初筛和确认、抗病毒治疗原则；</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了解：</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rPr>
        <w:t>新型布尼亚病毒感染（发热伴血小板减少综合征）</w:t>
      </w:r>
      <w:r>
        <w:rPr>
          <w:rFonts w:hint="eastAsia" w:ascii="仿宋_GB2312" w:hAnsi="仿宋_GB2312" w:eastAsia="仿宋_GB2312" w:cs="仿宋_GB2312"/>
          <w:kern w:val="0"/>
          <w:sz w:val="32"/>
          <w:szCs w:val="32"/>
          <w:highlight w:val="none"/>
        </w:rPr>
        <w:t>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（2）黄热病、登革热、寨卡、疟疾的病原学知识、流行病学、临床表现、诊断依据、鉴别诊断及治疗；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（3）炭疽、布鲁菌病的病原学知识、流行病学、临床表现、诊断依据、鉴别诊断及治疗；埃博拉出血热的病原学知识、流行病学、临床表现、诊断依据、鉴别诊断及治疗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（4）寄生虫病的诊断和治疗； </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（5）脓毒症与脓毒性休克的发病机制及抗休克治疗；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（6）抗菌药物的临床应用。</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（1）学习症状、病种要求：</w:t>
      </w:r>
    </w:p>
    <w:tbl>
      <w:tblPr>
        <w:tblStyle w:val="6"/>
        <w:tblW w:w="8158" w:type="dxa"/>
        <w:jc w:val="center"/>
        <w:tblInd w:w="-114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4"/>
        <w:gridCol w:w="440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exact"/>
          <w:jc w:val="center"/>
        </w:trPr>
        <w:tc>
          <w:tcPr>
            <w:tcW w:w="3754"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4404"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3754" w:type="dxa"/>
            <w:tcBorders>
              <w:top w:val="single" w:color="auto" w:sz="2" w:space="0"/>
              <w:left w:val="nil"/>
              <w:bottom w:val="single" w:color="auto" w:sz="12" w:space="0"/>
              <w:right w:val="nil"/>
            </w:tcBorders>
            <w:vAlign w:val="top"/>
          </w:tcPr>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新型冠状病毒肺炎、</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流感、禽流感</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败血症、感染性休克</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肾综合征出血热、鼠疫</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食物中毒、诺如病毒感染性腹泻</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中枢性神经系统感染</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病毒性肝炎</w:t>
            </w:r>
          </w:p>
        </w:tc>
        <w:tc>
          <w:tcPr>
            <w:tcW w:w="4404" w:type="dxa"/>
            <w:tcBorders>
              <w:top w:val="single" w:color="auto" w:sz="2" w:space="0"/>
              <w:left w:val="double" w:color="auto" w:sz="4" w:space="0"/>
              <w:bottom w:val="single" w:color="auto" w:sz="12" w:space="0"/>
              <w:right w:val="nil"/>
            </w:tcBorders>
            <w:vAlign w:val="top"/>
          </w:tcPr>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霍乱、细菌性痢疾</w:t>
            </w:r>
          </w:p>
          <w:p>
            <w:pPr>
              <w:pStyle w:val="5"/>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艾滋病</w:t>
            </w:r>
          </w:p>
          <w:p>
            <w:pPr>
              <w:pStyle w:val="5"/>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乙型脑炎、流行性脑脊髓膜炎</w:t>
            </w:r>
          </w:p>
          <w:p>
            <w:pPr>
              <w:pStyle w:val="5"/>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疟疾、钩端螺旋体病</w:t>
            </w:r>
          </w:p>
          <w:p>
            <w:pPr>
              <w:pStyle w:val="5"/>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流行性腮腺炎、麻疹、伤寒</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水痘</w:t>
            </w:r>
          </w:p>
          <w:p>
            <w:pPr>
              <w:pStyle w:val="5"/>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发热待查</w:t>
            </w:r>
          </w:p>
          <w:p>
            <w:pPr>
              <w:pStyle w:val="5"/>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要求参与管理住院病人数不少于12例。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消毒隔离的程序；分级防护要求。</w:t>
      </w:r>
      <w:r>
        <w:rPr>
          <w:rFonts w:hint="eastAsia" w:ascii="仿宋_GB2312" w:hAnsi="仿宋_GB2312" w:eastAsia="仿宋_GB2312" w:cs="仿宋_GB2312"/>
          <w:color w:val="000000"/>
          <w:kern w:val="0"/>
          <w:sz w:val="32"/>
          <w:szCs w:val="32"/>
          <w:highlight w:val="none"/>
        </w:rPr>
        <w:t>在发热门诊进行强化实践轮转</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（1）学习病种：</w:t>
      </w:r>
    </w:p>
    <w:p>
      <w:pPr>
        <w:pStyle w:val="5"/>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传染性单核细胞增多症、弓形虫病、狂犬病、不明原因发热的诊断思路。</w:t>
      </w:r>
    </w:p>
    <w:p>
      <w:pPr>
        <w:tabs>
          <w:tab w:val="left" w:pos="2055"/>
        </w:tabs>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（2）临床知识、技能要求：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color w:val="000000"/>
          <w:kern w:val="0"/>
          <w:sz w:val="32"/>
          <w:szCs w:val="32"/>
          <w:highlight w:val="none"/>
        </w:rPr>
        <w:t>腰椎穿刺操作</w:t>
      </w:r>
    </w:p>
    <w:p>
      <w:pPr>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p>
    <w:p>
      <w:pPr>
        <w:adjustRightInd w:val="0"/>
        <w:snapToGrid w:val="0"/>
        <w:spacing w:beforeLines="0" w:afterLines="0" w:line="360" w:lineRule="auto"/>
        <w:ind w:firstLine="643"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心血管内科（1个月）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w:t>
      </w:r>
      <w:r>
        <w:rPr>
          <w:rFonts w:hint="eastAsia" w:ascii="仿宋_GB2312" w:hAnsi="仿宋_GB2312" w:eastAsia="仿宋_GB2312" w:cs="仿宋_GB2312"/>
          <w:color w:val="000000"/>
          <w:sz w:val="32"/>
          <w:szCs w:val="32"/>
          <w:highlight w:val="none"/>
        </w:rPr>
        <w:t>心血管系统常见症状（包括胸痛、呼吸困难、心悸、晕厥）的诊断思路与鉴别诊断；</w:t>
      </w:r>
      <w:r>
        <w:rPr>
          <w:rFonts w:hint="eastAsia" w:ascii="仿宋_GB2312" w:hAnsi="仿宋_GB2312" w:eastAsia="仿宋_GB2312" w:cs="仿宋_GB2312"/>
          <w:color w:val="000000"/>
          <w:kern w:val="0"/>
          <w:sz w:val="32"/>
          <w:szCs w:val="32"/>
          <w:highlight w:val="none"/>
        </w:rPr>
        <w:t>常见心血管疾病的发病机制、临床表现、诊断与鉴别诊断及治疗；心血管急、重症的诊断和治疗；常用心血管疾病治疗药物的应用；常见典型心电图诊断；电除颤技术。</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了解：心脏电生理的基本知识、冠脉造影、PCI治疗、心脏起搏术、动态心电图、动态血压、超声心动图。</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（1）见习症状、病种要求</w:t>
      </w:r>
    </w:p>
    <w:tbl>
      <w:tblPr>
        <w:tblStyle w:val="6"/>
        <w:tblW w:w="7952" w:type="dxa"/>
        <w:jc w:val="center"/>
        <w:tblInd w:w="-70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exact"/>
          <w:jc w:val="center"/>
        </w:trPr>
        <w:tc>
          <w:tcPr>
            <w:tcW w:w="4310"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c>
          <w:tcPr>
            <w:tcW w:w="3642"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胸痛</w:t>
            </w:r>
          </w:p>
        </w:tc>
        <w:tc>
          <w:tcPr>
            <w:tcW w:w="3642" w:type="dxa"/>
            <w:tcBorders>
              <w:top w:val="single" w:color="auto" w:sz="2" w:space="0"/>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常见心律失常</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呼吸困难</w:t>
            </w:r>
          </w:p>
        </w:tc>
        <w:tc>
          <w:tcPr>
            <w:tcW w:w="364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心绞痛</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心悸</w:t>
            </w:r>
          </w:p>
        </w:tc>
        <w:tc>
          <w:tcPr>
            <w:tcW w:w="364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急性ST段抬高性心肌梗死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晕厥</w:t>
            </w:r>
          </w:p>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非ST段抬高性急性冠脉综合征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慢性心力衰竭</w:t>
            </w: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心脏瓣膜病</w:t>
            </w:r>
          </w:p>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高血压</w:t>
            </w:r>
          </w:p>
        </w:tc>
        <w:tc>
          <w:tcPr>
            <w:tcW w:w="364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心肌炎与心肌病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exact"/>
          <w:jc w:val="center"/>
        </w:trPr>
        <w:tc>
          <w:tcPr>
            <w:tcW w:w="4310" w:type="dxa"/>
            <w:tcBorders>
              <w:top w:val="nil"/>
              <w:left w:val="nil"/>
              <w:bottom w:val="single" w:color="auto" w:sz="12"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c>
          <w:tcPr>
            <w:tcW w:w="3642" w:type="dxa"/>
            <w:tcBorders>
              <w:top w:val="nil"/>
              <w:left w:val="double" w:color="auto" w:sz="4" w:space="0"/>
              <w:bottom w:val="single" w:color="auto" w:sz="12"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要求参与管理住院病人数不少于10例。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（2）基本检查及操作见习</w:t>
      </w:r>
    </w:p>
    <w:tbl>
      <w:tblPr>
        <w:tblStyle w:val="6"/>
        <w:tblW w:w="7789" w:type="dxa"/>
        <w:jc w:val="center"/>
        <w:tblInd w:w="-45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4"/>
        <w:gridCol w:w="328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exact"/>
          <w:jc w:val="center"/>
        </w:trPr>
        <w:tc>
          <w:tcPr>
            <w:tcW w:w="4504"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c>
          <w:tcPr>
            <w:tcW w:w="3285"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4504"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心电图操作及常见心电图</w:t>
            </w:r>
          </w:p>
          <w:p>
            <w:pPr>
              <w:pStyle w:val="5"/>
              <w:adjustRightInd w:val="0"/>
              <w:snapToGrid w:val="0"/>
              <w:spacing w:beforeLines="0" w:afterLines="0" w:line="360" w:lineRule="auto"/>
              <w:ind w:left="0" w:leftChars="0" w:firstLine="320" w:firstLineChars="100"/>
              <w:jc w:val="both"/>
              <w:rPr>
                <w:rFonts w:hint="eastAsia" w:ascii="仿宋_GB2312" w:hAnsi="仿宋_GB2312" w:eastAsia="仿宋_GB2312" w:cs="仿宋_GB2312"/>
                <w:sz w:val="32"/>
                <w:szCs w:val="32"/>
                <w:highlight w:val="none"/>
              </w:rPr>
            </w:pPr>
          </w:p>
        </w:tc>
        <w:tc>
          <w:tcPr>
            <w:tcW w:w="3285" w:type="dxa"/>
            <w:tcBorders>
              <w:top w:val="single" w:color="auto" w:sz="2" w:space="0"/>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超声心动</w:t>
            </w:r>
            <w:r>
              <w:rPr>
                <w:rFonts w:hint="eastAsia" w:ascii="仿宋_GB2312" w:hAnsi="仿宋_GB2312" w:eastAsia="仿宋_GB2312" w:cs="仿宋_GB2312"/>
                <w:spacing w:val="-4"/>
                <w:sz w:val="32"/>
                <w:szCs w:val="32"/>
                <w:highlight w:val="none"/>
              </w:rPr>
              <w:tab/>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jc w:val="center"/>
        </w:trPr>
        <w:tc>
          <w:tcPr>
            <w:tcW w:w="4504" w:type="dxa"/>
            <w:tcBorders>
              <w:top w:val="nil"/>
              <w:left w:val="nil"/>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电除颤/电复律</w:t>
            </w:r>
          </w:p>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p>
        </w:tc>
        <w:tc>
          <w:tcPr>
            <w:tcW w:w="3285"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动态血压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4" w:type="dxa"/>
            <w:tcBorders>
              <w:top w:val="nil"/>
              <w:left w:val="nil"/>
              <w:bottom w:val="single" w:color="auto" w:sz="12" w:space="0"/>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HOLTER</w:t>
            </w:r>
            <w:r>
              <w:rPr>
                <w:rFonts w:hint="eastAsia" w:ascii="仿宋_GB2312" w:hAnsi="仿宋_GB2312" w:eastAsia="仿宋_GB2312" w:cs="仿宋_GB2312"/>
                <w:color w:val="000000"/>
                <w:kern w:val="0"/>
                <w:sz w:val="32"/>
                <w:szCs w:val="32"/>
                <w:highlight w:val="none"/>
              </w:rPr>
              <w:tab/>
            </w:r>
          </w:p>
        </w:tc>
        <w:tc>
          <w:tcPr>
            <w:tcW w:w="3285" w:type="dxa"/>
            <w:tcBorders>
              <w:top w:val="nil"/>
              <w:left w:val="double" w:color="auto" w:sz="4" w:space="0"/>
              <w:bottom w:val="single" w:color="auto" w:sz="12" w:space="0"/>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pacing w:val="-4"/>
                <w:sz w:val="32"/>
                <w:szCs w:val="32"/>
                <w:highlight w:val="none"/>
              </w:rPr>
            </w:pP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color w:val="000000"/>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呼吸内科（1个月）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熟悉：咳嗽、咳痰、咯血、呼吸困难</w:t>
      </w:r>
      <w:r>
        <w:rPr>
          <w:rFonts w:hint="eastAsia" w:ascii="仿宋_GB2312" w:hAnsi="仿宋_GB2312" w:eastAsia="仿宋_GB2312" w:cs="仿宋_GB2312"/>
          <w:color w:val="000000"/>
          <w:sz w:val="32"/>
          <w:szCs w:val="32"/>
          <w:highlight w:val="none"/>
        </w:rPr>
        <w:t>的诊断思路、鉴别诊断；</w:t>
      </w:r>
      <w:r>
        <w:rPr>
          <w:rFonts w:hint="eastAsia" w:ascii="仿宋_GB2312" w:hAnsi="仿宋_GB2312" w:eastAsia="仿宋_GB2312" w:cs="仿宋_GB2312"/>
          <w:color w:val="000000"/>
          <w:kern w:val="0"/>
          <w:sz w:val="32"/>
          <w:szCs w:val="32"/>
          <w:highlight w:val="none"/>
        </w:rPr>
        <w:t>上呼吸道感染和流行性感冒的流行病学特点、诊断和治疗原则；肺炎的诊断、鉴别诊断和治疗；</w:t>
      </w:r>
      <w:r>
        <w:rPr>
          <w:rFonts w:hint="eastAsia" w:ascii="仿宋_GB2312" w:hAnsi="仿宋_GB2312" w:eastAsia="仿宋_GB2312" w:cs="仿宋_GB2312"/>
          <w:color w:val="000000"/>
          <w:sz w:val="32"/>
          <w:szCs w:val="32"/>
          <w:highlight w:val="none"/>
        </w:rPr>
        <w:t>支气管哮喘、慢性阻塞性肺疾病的临床表现、诊治原则；肺癌的临床表现、诊治原则；呼吸衰竭的概念、分类、临床表现和诊治原则。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了解：肺炎的病原学检查方法，支气管镜和内科胸腔镜的操作方法和临床意义，呼吸系统药物的吸入治疗，戒烟的方法。</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（1）学习症状、病种及例数要求：</w:t>
      </w:r>
    </w:p>
    <w:tbl>
      <w:tblPr>
        <w:tblStyle w:val="6"/>
        <w:tblW w:w="8012" w:type="dxa"/>
        <w:jc w:val="center"/>
        <w:tblInd w:w="-76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exact"/>
          <w:jc w:val="center"/>
        </w:trPr>
        <w:tc>
          <w:tcPr>
            <w:tcW w:w="4370"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c>
          <w:tcPr>
            <w:tcW w:w="3642"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exact"/>
          <w:jc w:val="center"/>
        </w:trPr>
        <w:tc>
          <w:tcPr>
            <w:tcW w:w="4370"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咳嗽、咳痰、咯血、呼吸困难</w:t>
            </w:r>
          </w:p>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p>
        </w:tc>
        <w:tc>
          <w:tcPr>
            <w:tcW w:w="3642" w:type="dxa"/>
            <w:tcBorders>
              <w:top w:val="single" w:color="auto" w:sz="2" w:space="0"/>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支气管哮喘</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4370" w:type="dxa"/>
            <w:tcBorders>
              <w:top w:val="nil"/>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上呼吸道感染</w:t>
            </w:r>
          </w:p>
        </w:tc>
        <w:tc>
          <w:tcPr>
            <w:tcW w:w="364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慢性阻塞性肺疾病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5" w:hRule="exact"/>
          <w:jc w:val="center"/>
        </w:trPr>
        <w:tc>
          <w:tcPr>
            <w:tcW w:w="4370" w:type="dxa"/>
            <w:tcBorders>
              <w:top w:val="nil"/>
              <w:left w:val="nil"/>
              <w:bottom w:val="single" w:color="auto" w:sz="12" w:space="0"/>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肺炎</w:t>
            </w:r>
          </w:p>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呼吸衰竭</w:t>
            </w:r>
          </w:p>
        </w:tc>
        <w:tc>
          <w:tcPr>
            <w:tcW w:w="3642" w:type="dxa"/>
            <w:tcBorders>
              <w:top w:val="nil"/>
              <w:left w:val="double" w:color="auto" w:sz="4" w:space="0"/>
              <w:bottom w:val="single" w:color="auto" w:sz="12"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肺癌</w:t>
            </w:r>
          </w:p>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参与管理住院病人数不少于10例。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（2）基本检查及操作见习</w:t>
      </w:r>
    </w:p>
    <w:tbl>
      <w:tblPr>
        <w:tblStyle w:val="6"/>
        <w:tblW w:w="7879" w:type="dxa"/>
        <w:jc w:val="center"/>
        <w:tblInd w:w="-54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exact"/>
          <w:jc w:val="center"/>
        </w:trPr>
        <w:tc>
          <w:tcPr>
            <w:tcW w:w="4210"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c>
          <w:tcPr>
            <w:tcW w:w="3669"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exact"/>
          <w:jc w:val="center"/>
        </w:trPr>
        <w:tc>
          <w:tcPr>
            <w:tcW w:w="4210"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支气管镜检查</w:t>
            </w:r>
          </w:p>
        </w:tc>
        <w:tc>
          <w:tcPr>
            <w:tcW w:w="3669" w:type="dxa"/>
            <w:tcBorders>
              <w:top w:val="single" w:color="auto" w:sz="2" w:space="0"/>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吸入治疗</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exact"/>
          <w:jc w:val="center"/>
        </w:trPr>
        <w:tc>
          <w:tcPr>
            <w:tcW w:w="4210" w:type="dxa"/>
            <w:tcBorders>
              <w:top w:val="nil"/>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胸腔穿刺</w:t>
            </w:r>
          </w:p>
        </w:tc>
        <w:tc>
          <w:tcPr>
            <w:tcW w:w="3669"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无创通气</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exact"/>
          <w:jc w:val="center"/>
        </w:trPr>
        <w:tc>
          <w:tcPr>
            <w:tcW w:w="4210" w:type="dxa"/>
            <w:tcBorders>
              <w:top w:val="nil"/>
              <w:left w:val="nil"/>
              <w:bottom w:val="single" w:color="auto" w:sz="4" w:space="0"/>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氧疗</w:t>
            </w:r>
          </w:p>
        </w:tc>
        <w:tc>
          <w:tcPr>
            <w:tcW w:w="3669" w:type="dxa"/>
            <w:tcBorders>
              <w:top w:val="nil"/>
              <w:left w:val="double" w:color="auto" w:sz="4" w:space="0"/>
              <w:bottom w:val="single" w:color="auto" w:sz="4"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bl>
    <w:p>
      <w:pPr>
        <w:adjustRightInd w:val="0"/>
        <w:snapToGrid w:val="0"/>
        <w:spacing w:beforeLines="0" w:afterLines="0" w:line="360" w:lineRule="auto"/>
        <w:ind w:firstLine="482" w:firstLineChars="150"/>
        <w:rPr>
          <w:rFonts w:hint="eastAsia" w:ascii="仿宋_GB2312" w:hAnsi="仿宋_GB2312" w:eastAsia="仿宋_GB2312" w:cs="仿宋_GB2312"/>
          <w:b/>
          <w:color w:val="000000"/>
          <w:kern w:val="0"/>
          <w:sz w:val="32"/>
          <w:szCs w:val="32"/>
          <w:highlight w:val="none"/>
        </w:rPr>
      </w:pPr>
    </w:p>
    <w:p>
      <w:pPr>
        <w:adjustRightInd w:val="0"/>
        <w:snapToGrid w:val="0"/>
        <w:spacing w:beforeLines="0" w:afterLines="0" w:line="360" w:lineRule="auto"/>
        <w:ind w:firstLine="482" w:firstLineChars="15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急诊科（1个月）</w:t>
      </w:r>
    </w:p>
    <w:p>
      <w:pPr>
        <w:adjustRightInd w:val="0"/>
        <w:snapToGrid w:val="0"/>
        <w:spacing w:beforeLines="0" w:afterLines="0" w:line="360" w:lineRule="auto"/>
        <w:ind w:firstLine="482" w:firstLineChars="15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掌握：心肺复苏（CPR）的基本方法。</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熟悉：常见急症的临床特点及初步处理；常用急救药物（心肺复苏、过敏性休克等）。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了解：急诊科工作模式，分诊分级标准，急诊科防控工作流程和防控的特殊要求，包括护理工作流程和特点。</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（1）学习疾病要求：</w:t>
      </w:r>
      <w:r>
        <w:rPr>
          <w:rFonts w:hint="eastAsia" w:ascii="仿宋_GB2312" w:hAnsi="仿宋_GB2312" w:eastAsia="仿宋_GB2312" w:cs="仿宋_GB2312"/>
          <w:color w:val="000000"/>
          <w:sz w:val="32"/>
          <w:szCs w:val="32"/>
          <w:highlight w:val="none"/>
        </w:rPr>
        <w:t>肺部感染的常用抗菌药及耐药感染的治疗、急诊流感病例的筛查和处置、临床药物过敏所致皮疹的识别、参与心脏呼吸骤停复苏病例救治。</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（2）临床急救技能：掌握基础心肺复苏的实施方法</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内科ICU / 呼吸ICU / 综合ICU（选转</w:t>
      </w:r>
      <w:r>
        <w:rPr>
          <w:rFonts w:hint="eastAsia" w:ascii="仿宋_GB2312" w:hAnsi="仿宋_GB2312" w:eastAsia="仿宋_GB2312" w:cs="仿宋_GB2312"/>
          <w:b/>
          <w:color w:val="000000"/>
          <w:kern w:val="0"/>
          <w:sz w:val="32"/>
          <w:szCs w:val="32"/>
          <w:highlight w:val="none"/>
        </w:rPr>
        <w:t>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熟悉：危重症患者的评估和转运；气道管理；基础血流动力学监测；常用急救药物（心肺复苏及血管活性药、抗菌药、抗心律失常药、解痉平喘药等）的临床应用；耐多药细菌感染的诊断、治疗和隔离。</w:t>
      </w:r>
    </w:p>
    <w:p>
      <w:pPr>
        <w:pStyle w:val="9"/>
        <w:autoSpaceDE w:val="0"/>
        <w:autoSpaceDN w:val="0"/>
        <w:adjustRightInd w:val="0"/>
        <w:snapToGrid w:val="0"/>
        <w:spacing w:beforeLines="0" w:afterLines="0" w:line="360" w:lineRule="auto"/>
        <w:ind w:left="0"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了解：机械通气的基本原理及常用模式；深静脉血栓栓塞；严重全身性感染与感染性休克；镇静与镇痛；神经系统功能监测；营养支持的适应证和临床应用。</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（1）见习症状、病种要求</w:t>
      </w:r>
    </w:p>
    <w:tbl>
      <w:tblPr>
        <w:tblStyle w:val="6"/>
        <w:tblW w:w="866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5"/>
        <w:gridCol w:w="41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exact"/>
          <w:jc w:val="center"/>
        </w:trPr>
        <w:tc>
          <w:tcPr>
            <w:tcW w:w="4565"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c>
          <w:tcPr>
            <w:tcW w:w="4102"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65"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重症肺炎</w:t>
            </w:r>
          </w:p>
        </w:tc>
        <w:tc>
          <w:tcPr>
            <w:tcW w:w="4102" w:type="dxa"/>
            <w:tcBorders>
              <w:top w:val="single" w:color="auto" w:sz="2" w:space="0"/>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酸碱失衡及水电解质紊乱</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65" w:type="dxa"/>
            <w:tcBorders>
              <w:top w:val="nil"/>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休克</w:t>
            </w:r>
          </w:p>
        </w:tc>
        <w:tc>
          <w:tcPr>
            <w:tcW w:w="410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多器官功能障碍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65" w:type="dxa"/>
            <w:tcBorders>
              <w:top w:val="nil"/>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急性呼吸衰竭/急性呼吸窘迫综合征</w:t>
            </w:r>
          </w:p>
        </w:tc>
        <w:tc>
          <w:tcPr>
            <w:tcW w:w="410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昏迷和（或）癫痫</w:t>
            </w:r>
          </w:p>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jc w:val="center"/>
        </w:trPr>
        <w:tc>
          <w:tcPr>
            <w:tcW w:w="4565" w:type="dxa"/>
            <w:tcBorders>
              <w:top w:val="nil"/>
              <w:left w:val="nil"/>
              <w:bottom w:val="single" w:color="auto" w:sz="12" w:space="0"/>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急性肾损伤</w:t>
            </w:r>
          </w:p>
        </w:tc>
        <w:tc>
          <w:tcPr>
            <w:tcW w:w="4102" w:type="dxa"/>
            <w:tcBorders>
              <w:top w:val="nil"/>
              <w:left w:val="double" w:color="auto" w:sz="4" w:space="0"/>
              <w:bottom w:val="single" w:color="auto" w:sz="12"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弥散性血管内凝血</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（2）基本技能见习</w:t>
      </w:r>
    </w:p>
    <w:tbl>
      <w:tblPr>
        <w:tblStyle w:val="6"/>
        <w:tblW w:w="7949" w:type="dxa"/>
        <w:jc w:val="center"/>
        <w:tblInd w:w="-61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280"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c>
          <w:tcPr>
            <w:tcW w:w="3669"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80"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呼吸机临床应用</w:t>
            </w:r>
          </w:p>
        </w:tc>
        <w:tc>
          <w:tcPr>
            <w:tcW w:w="3669" w:type="dxa"/>
            <w:tcBorders>
              <w:top w:val="single" w:color="auto" w:sz="2" w:space="0"/>
              <w:left w:val="double" w:color="auto" w:sz="4" w:space="0"/>
              <w:bottom w:val="nil"/>
              <w:right w:val="nil"/>
            </w:tcBorders>
            <w:vAlign w:val="center"/>
          </w:tcPr>
          <w:p>
            <w:pPr>
              <w:tabs>
                <w:tab w:val="left" w:pos="2055"/>
              </w:tabs>
              <w:autoSpaceDE w:val="0"/>
              <w:autoSpaceDN w:val="0"/>
              <w:adjustRightInd w:val="0"/>
              <w:snapToGrid w:val="0"/>
              <w:spacing w:beforeLines="0" w:afterLines="0" w:line="360" w:lineRule="auto"/>
              <w:ind w:left="0" w:leftChars="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中心静脉插管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80" w:type="dxa"/>
            <w:tcBorders>
              <w:top w:val="nil"/>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气道管理</w:t>
            </w:r>
          </w:p>
        </w:tc>
        <w:tc>
          <w:tcPr>
            <w:tcW w:w="3669"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危重病患者转运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80" w:type="dxa"/>
            <w:tcBorders>
              <w:top w:val="nil"/>
              <w:left w:val="nil"/>
              <w:bottom w:val="single" w:color="auto" w:sz="4" w:space="0"/>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呼吸机管路更换和消毒</w:t>
            </w:r>
          </w:p>
        </w:tc>
        <w:tc>
          <w:tcPr>
            <w:tcW w:w="3669" w:type="dxa"/>
            <w:tcBorders>
              <w:top w:val="nil"/>
              <w:left w:val="double" w:color="auto" w:sz="4" w:space="0"/>
              <w:bottom w:val="single" w:color="auto" w:sz="4" w:space="0"/>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p>
        </w:tc>
      </w:tr>
    </w:tbl>
    <w:p>
      <w:pPr>
        <w:autoSpaceDE w:val="0"/>
        <w:autoSpaceDN w:val="0"/>
        <w:adjustRightInd w:val="0"/>
        <w:snapToGrid w:val="0"/>
        <w:spacing w:beforeLines="0" w:afterLines="0" w:line="360" w:lineRule="auto"/>
        <w:jc w:val="left"/>
        <w:rPr>
          <w:rFonts w:hint="eastAsia" w:ascii="仿宋_GB2312" w:hAnsi="仿宋_GB2312" w:eastAsia="仿宋_GB2312" w:cs="仿宋_GB2312"/>
          <w:b/>
          <w:color w:val="000000"/>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感控处（1个月）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djustRightInd w:val="0"/>
        <w:snapToGrid w:val="0"/>
        <w:spacing w:beforeLines="0" w:afterLines="0" w:line="360" w:lineRule="auto"/>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掌握：</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医院感染管理相关的法律法规、规章制度，医院感染预防与控制的关键技术，包括医院感染监测的方法，消毒的原则，标准预防，隔离的原则，多重耐药菌感染的防控要求，手术部位感染防控要求，中心静脉导管相关感染、导尿管相关尿路感染、呼吸机相关肺炎的监测与防控要求，手术室、消毒供应中心、感染疾病科等重点部门的感染防控重点要求。疾病预防与控制医院内管理流程，医务人员自身防护知识与技能等。</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疾病控制尤其是传染病管理的法律法规要求、制度与流程，传染病报告，发热门诊的管理要点，与医院感染管理、院外管理部门的衔接机制等。</w:t>
      </w:r>
    </w:p>
    <w:p>
      <w:pPr>
        <w:adjustRightInd w:val="0"/>
        <w:snapToGrid w:val="0"/>
        <w:spacing w:beforeLines="0" w:afterLines="0" w:line="360" w:lineRule="auto"/>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了解：</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医院感染病例诊断标准，医院消毒的常用方法与技术要点，隔离技术的要点与执行重点与难点。重点部位、重点部门的医院感染防控重点与难点。疾病预防与控制医院内执行难点等。</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医务人员的职业防护，各类疾病包括呼吸道传染病、AFP的监测，患者的健康教育，患者慢病的管理，疾控信息的管理等。</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（1）熟知医院感染管理相关法律法规、制度与流程的基本要求与要点。</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（2）完成3个内科病区、3个外科病区、1个重症监护病区医院感染监测（指导下完成）。</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（3）参加每月病区和重症监护病房的现场督导。</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（4）完成手术部、消毒供应中心、重症监护病房、血液透析、内镜中心等重点部门的感染防控要点与督导要点的学习。</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（5）参加全院医务人员职业防护的管理与督导。</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（6）熟知传染病医院感染防控的法律法规、制度、流程、管理原则与要求。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（7）掌握发热门诊的管理要求与要点。</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（8）掌握传染病管理尤其是呼吸道传染病管理的要点与难点。</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3.较高要求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（1）抗菌药物合理使用的管理要求。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（2）参与一项医院感染防控的课题，并实施。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（3）能独立处理与管理病区的医院感染管理工作。</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（4）能设计医院感染的聚集性疫情的调查方案。</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（5）能独立巡查发热门诊的感控和传染病工作。</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color w:val="000000"/>
          <w:kern w:val="0"/>
          <w:sz w:val="32"/>
          <w:szCs w:val="32"/>
          <w:highlight w:val="none"/>
        </w:rPr>
        <w:t>（6）能独立协调与处置医院内的呼吸道传染病患者的管理要求与流程。</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highlight w:val="none"/>
        </w:rPr>
        <w:t>（二）院前</w:t>
      </w:r>
      <w:r>
        <w:rPr>
          <w:rFonts w:hint="eastAsia" w:ascii="仿宋_GB2312" w:hAnsi="仿宋_GB2312" w:eastAsia="仿宋_GB2312" w:cs="仿宋_GB2312"/>
          <w:color w:val="000000"/>
          <w:sz w:val="32"/>
          <w:highlight w:val="none"/>
          <w:lang w:eastAsia="zh-CN"/>
        </w:rPr>
        <w:t>医疗</w:t>
      </w:r>
      <w:r>
        <w:rPr>
          <w:rFonts w:hint="eastAsia" w:ascii="仿宋_GB2312" w:hAnsi="仿宋_GB2312" w:eastAsia="仿宋_GB2312" w:cs="仿宋_GB2312"/>
          <w:color w:val="000000"/>
          <w:sz w:val="32"/>
          <w:highlight w:val="none"/>
        </w:rPr>
        <w:t>急救机构人员</w:t>
      </w:r>
    </w:p>
    <w:tbl>
      <w:tblPr>
        <w:tblStyle w:val="6"/>
        <w:tblW w:w="9374"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4"/>
        <w:gridCol w:w="992"/>
        <w:gridCol w:w="4435"/>
        <w:gridCol w:w="243"/>
        <w:gridCol w:w="91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tcBorders>
              <w:top w:val="single" w:color="auto" w:sz="12" w:space="0"/>
              <w:bottom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轮转科室</w:t>
            </w:r>
          </w:p>
        </w:tc>
        <w:tc>
          <w:tcPr>
            <w:tcW w:w="992" w:type="dxa"/>
            <w:tcBorders>
              <w:top w:val="single" w:color="auto" w:sz="12" w:space="0"/>
              <w:bottom w:val="single" w:color="auto" w:sz="2" w:space="0"/>
              <w:right w:val="double" w:color="auto" w:sz="4" w:space="0"/>
            </w:tcBorders>
            <w:vAlign w:val="top"/>
          </w:tcPr>
          <w:p>
            <w:pPr>
              <w:pStyle w:val="5"/>
              <w:tabs>
                <w:tab w:val="left" w:pos="2055"/>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时间（月）</w:t>
            </w:r>
          </w:p>
        </w:tc>
        <w:tc>
          <w:tcPr>
            <w:tcW w:w="4678" w:type="dxa"/>
            <w:gridSpan w:val="2"/>
            <w:tcBorders>
              <w:top w:val="single" w:color="auto" w:sz="12" w:space="0"/>
              <w:left w:val="double" w:color="auto" w:sz="4" w:space="0"/>
              <w:bottom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轮转科室</w:t>
            </w:r>
          </w:p>
        </w:tc>
        <w:tc>
          <w:tcPr>
            <w:tcW w:w="910" w:type="dxa"/>
            <w:tcBorders>
              <w:top w:val="single" w:color="auto" w:sz="12" w:space="0"/>
              <w:bottom w:val="single" w:color="auto" w:sz="2" w:space="0"/>
            </w:tcBorders>
            <w:vAlign w:val="top"/>
          </w:tcPr>
          <w:p>
            <w:pPr>
              <w:pStyle w:val="5"/>
              <w:tabs>
                <w:tab w:val="left" w:pos="2055"/>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时间（月）</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tcBorders>
              <w:top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感染科</w:t>
            </w:r>
          </w:p>
        </w:tc>
        <w:tc>
          <w:tcPr>
            <w:tcW w:w="992" w:type="dxa"/>
            <w:tcBorders>
              <w:top w:val="single" w:color="auto" w:sz="2" w:space="0"/>
              <w:righ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c>
          <w:tcPr>
            <w:tcW w:w="4435" w:type="dxa"/>
            <w:tcBorders>
              <w:top w:val="single" w:color="auto" w:sz="2" w:space="0"/>
              <w:left w:val="double" w:color="auto" w:sz="4"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心血管内科</w:t>
            </w:r>
          </w:p>
        </w:tc>
        <w:tc>
          <w:tcPr>
            <w:tcW w:w="1153" w:type="dxa"/>
            <w:gridSpan w:val="2"/>
            <w:tcBorders>
              <w:top w:val="single" w:color="auto" w:sz="2"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急诊科</w:t>
            </w:r>
          </w:p>
        </w:tc>
        <w:tc>
          <w:tcPr>
            <w:tcW w:w="992" w:type="dxa"/>
            <w:tcBorders>
              <w:righ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c>
          <w:tcPr>
            <w:tcW w:w="4435"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内科ICU/呼吸ICU/综合ICU</w:t>
            </w:r>
          </w:p>
        </w:tc>
        <w:tc>
          <w:tcPr>
            <w:tcW w:w="1153" w:type="dxa"/>
            <w:gridSpan w:val="2"/>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呼吸内科</w:t>
            </w:r>
          </w:p>
        </w:tc>
        <w:tc>
          <w:tcPr>
            <w:tcW w:w="992" w:type="dxa"/>
            <w:tcBorders>
              <w:righ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c>
          <w:tcPr>
            <w:tcW w:w="4435"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感控处</w:t>
            </w:r>
          </w:p>
        </w:tc>
        <w:tc>
          <w:tcPr>
            <w:tcW w:w="1153" w:type="dxa"/>
            <w:gridSpan w:val="2"/>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通过参与管理病人、参加临床查房和各类教学活动，参与感控处的日常工作和教学活动。学习与医防结合能力培训要求相关的专业理论知识。</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感染科</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熟悉：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（1）传染病的消毒、隔离、防护措施；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（2）新型冠状病毒肺炎的病原学知识、流行病学、临床表现、诊断依据、鉴别诊断及治疗原则；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（3）流行性感冒、禽流感的病原学知识、流行病学、临床表现、诊断依据、鉴别诊断及治疗原则；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（4）肾综合征出血热、鼠疫的病原学知识、流行病学、临床表现、诊断依据、鉴别诊断及治疗原则；</w:t>
      </w:r>
    </w:p>
    <w:p>
      <w:pPr>
        <w:pStyle w:val="5"/>
        <w:adjustRightInd w:val="0"/>
        <w:snapToGrid w:val="0"/>
        <w:spacing w:beforeLines="0" w:afterLines="0" w:line="360" w:lineRule="auto"/>
        <w:ind w:left="0" w:leftChars="0" w:firstLine="480" w:firstLineChars="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（5）伤寒、菌痢、阿米巴病、细菌性食物中毒等肠道传染病的诊断、鉴别诊断及治疗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；诺如病毒感染性腹泻的病原学知识、流行病学、临床表现、诊断依据、鉴别诊断及治疗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（6）甲型、乙型、丙型和戊型肝炎病毒性肝炎的病原学知识、流行病学、临床表现、诊断依据、鉴别诊断及治疗；慢性乙型肝炎和丙型肝炎的抗病毒治疗；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（7）人类获得性免疫缺陷综合征（AIDS，艾滋病）的病原学知识、自然史、临床表现、初筛和确认、抗病毒治疗原则；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（8）法定传染病报告与处理程序。</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了解：</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（1）医院内感染的临床流行病学与防治；</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sz w:val="32"/>
          <w:szCs w:val="32"/>
          <w:highlight w:val="none"/>
        </w:rPr>
        <w:t>新型布尼亚病毒感染（发热伴血小板减少综合征）</w:t>
      </w:r>
      <w:r>
        <w:rPr>
          <w:rFonts w:hint="eastAsia" w:ascii="仿宋_GB2312" w:hAnsi="仿宋_GB2312" w:eastAsia="仿宋_GB2312" w:cs="仿宋_GB2312"/>
          <w:kern w:val="0"/>
          <w:sz w:val="32"/>
          <w:szCs w:val="32"/>
          <w:highlight w:val="none"/>
        </w:rPr>
        <w:t>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（3）黄热病、登革热、寨卡、疟疾的病原学知识、流行病学、临床表现、诊断依据、鉴别诊断及治疗；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（4）炭疽、布鲁菌病的病原学知识、流行病学、临床表现、诊断依据、鉴别诊断及治疗；埃博拉出血热的病原学知识、流行病学、临床表现、诊断依据、鉴别诊断及治疗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（5）寄生虫病的诊断和治疗； </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（6）脓毒症与脓毒性休克的发病机制及抗休克治疗；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（7）抗菌药物的临床应用。</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（1）学习症状、病种要求：</w:t>
      </w:r>
    </w:p>
    <w:tbl>
      <w:tblPr>
        <w:tblStyle w:val="6"/>
        <w:tblW w:w="8990" w:type="dxa"/>
        <w:jc w:val="center"/>
        <w:tblInd w:w="-158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2"/>
        <w:gridCol w:w="42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exact"/>
          <w:jc w:val="center"/>
        </w:trPr>
        <w:tc>
          <w:tcPr>
            <w:tcW w:w="4722"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4268"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jc w:val="center"/>
        </w:trPr>
        <w:tc>
          <w:tcPr>
            <w:tcW w:w="4722" w:type="dxa"/>
            <w:tcBorders>
              <w:top w:val="single" w:color="auto" w:sz="2" w:space="0"/>
              <w:left w:val="nil"/>
              <w:bottom w:val="single" w:color="auto" w:sz="12"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新型冠状病毒肺炎、</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流感、禽流感</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败血症、感染性休克</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肾综合征出血热、鼠疫</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食物中毒、诺如病毒感染性腹泻</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中枢性神经系统感染</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病毒性肝炎</w:t>
            </w:r>
          </w:p>
        </w:tc>
        <w:tc>
          <w:tcPr>
            <w:tcW w:w="4268" w:type="dxa"/>
            <w:tcBorders>
              <w:top w:val="single" w:color="auto" w:sz="2" w:space="0"/>
              <w:left w:val="double" w:color="auto" w:sz="4" w:space="0"/>
              <w:bottom w:val="single" w:color="auto" w:sz="12" w:space="0"/>
              <w:right w:val="nil"/>
            </w:tcBorders>
            <w:vAlign w:val="top"/>
          </w:tcPr>
          <w:p>
            <w:pPr>
              <w:pStyle w:val="5"/>
              <w:tabs>
                <w:tab w:val="left" w:pos="3160"/>
                <w:tab w:val="left" w:pos="4000"/>
                <w:tab w:val="clear" w:pos="2748"/>
                <w:tab w:val="clear" w:pos="3664"/>
              </w:tabs>
              <w:adjustRightInd w:val="0"/>
              <w:snapToGrid w:val="0"/>
              <w:spacing w:beforeLines="0" w:afterLines="0" w:line="360" w:lineRule="auto"/>
              <w:ind w:left="0" w:leftChars="0" w:right="-407" w:rightChars="-19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霍乱、细菌性痢疾</w:t>
            </w:r>
          </w:p>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艾滋病</w:t>
            </w:r>
          </w:p>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乙型脑炎、流行性脑脊髓膜炎</w:t>
            </w:r>
          </w:p>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疟疾、钩端螺旋体病</w:t>
            </w:r>
          </w:p>
          <w:p>
            <w:pPr>
              <w:pStyle w:val="5"/>
              <w:tabs>
                <w:tab w:val="left" w:pos="4000"/>
                <w:tab w:val="clear" w:pos="3664"/>
              </w:tabs>
              <w:adjustRightInd w:val="0"/>
              <w:snapToGrid w:val="0"/>
              <w:spacing w:beforeLines="0" w:afterLines="0" w:line="360" w:lineRule="auto"/>
              <w:ind w:left="0" w:leftChars="0" w:right="-827" w:rightChars="-394"/>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流行性腮腺炎、麻疹、伤寒</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水痘</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发热待查</w:t>
            </w:r>
          </w:p>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要求参与管理住院病人数不少于12例。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消毒隔离的程序；分级防护要求。</w:t>
      </w:r>
      <w:r>
        <w:rPr>
          <w:rFonts w:hint="eastAsia" w:ascii="仿宋_GB2312" w:hAnsi="仿宋_GB2312" w:eastAsia="仿宋_GB2312" w:cs="仿宋_GB2312"/>
          <w:color w:val="000000"/>
          <w:kern w:val="0"/>
          <w:sz w:val="32"/>
          <w:szCs w:val="32"/>
          <w:highlight w:val="none"/>
        </w:rPr>
        <w:t>在发热门诊进行强化实践轮转</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（1）学习病种：</w:t>
      </w:r>
    </w:p>
    <w:p>
      <w:pPr>
        <w:pStyle w:val="5"/>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传染性单核细胞增多症、弓形虫病、狂犬病、不明原因发热的诊断思路。</w:t>
      </w:r>
    </w:p>
    <w:p>
      <w:pPr>
        <w:pStyle w:val="5"/>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（2）临床技能要求：</w:t>
      </w:r>
    </w:p>
    <w:p>
      <w:pPr>
        <w:tabs>
          <w:tab w:val="left" w:pos="2055"/>
        </w:tabs>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腰椎穿刺操作（见习2例）。</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bCs/>
          <w:kern w:val="0"/>
          <w:sz w:val="32"/>
          <w:szCs w:val="32"/>
          <w:highlight w:val="none"/>
        </w:rPr>
      </w:pP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急诊科（1个月）</w:t>
      </w:r>
    </w:p>
    <w:p>
      <w:pPr>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院内接诊病人的分诊分级标准、病情危重度判断、疾病危重度和风险评分、胸痛中心诊疗流程、卒中中心诊疗流程；掌握急诊感染性疾病上报流程和防控要点；心肺复苏（CPR）的基础理论和进展；常见急症的诊断思路、鉴别诊断及处理；常见急症辅助检查的选择、结果判断及临床意义；常用急救药物（心肺复苏及血管活性药、强心利尿剂、解痉平喘药、镇痛剂、止血药、抗心律失常药等）的合理临床用药。</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了解：各种危象（如高血压危象、甲状腺危象等）、水电解质及酸碱平衡严重紊乱的处理原则。</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（1）学习症状、病种要求：</w:t>
      </w:r>
    </w:p>
    <w:tbl>
      <w:tblPr>
        <w:tblStyle w:val="6"/>
        <w:tblW w:w="8076" w:type="dxa"/>
        <w:jc w:val="center"/>
        <w:tblInd w:w="-83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4"/>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tcBorders>
              <w:top w:val="single" w:color="auto" w:sz="12"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tcBorders>
              <w:top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急性发热</w:t>
            </w:r>
          </w:p>
        </w:tc>
        <w:tc>
          <w:tcPr>
            <w:tcW w:w="3642" w:type="dxa"/>
            <w:tcBorders>
              <w:top w:val="single" w:color="auto" w:sz="2" w:space="0"/>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晕厥</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急性胸痛</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昏迷</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急性呼吸困难</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出血</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急性腹痛</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心跳呼吸骤停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致命性（恶性）心律失常</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中毒</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休克</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bCs/>
                <w:color w:val="auto"/>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要求参与接诊和处理病人的总数不少于50例。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（2）基本技能要求：</w:t>
      </w:r>
    </w:p>
    <w:tbl>
      <w:tblPr>
        <w:tblStyle w:val="6"/>
        <w:tblW w:w="8059" w:type="dxa"/>
        <w:jc w:val="center"/>
        <w:tblInd w:w="-72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single" w:color="auto" w:sz="12"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single" w:color="auto" w:sz="2" w:space="0"/>
              <w:bottom w:val="nil"/>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心肺复苏术</w:t>
            </w:r>
          </w:p>
        </w:tc>
        <w:tc>
          <w:tcPr>
            <w:tcW w:w="3669" w:type="dxa"/>
            <w:tcBorders>
              <w:top w:val="single" w:color="auto" w:sz="2" w:space="0"/>
              <w:left w:val="double" w:color="auto" w:sz="4" w:space="0"/>
              <w:bottom w:val="nil"/>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胸腹腔穿刺术</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nil"/>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电除颤术</w:t>
            </w:r>
          </w:p>
        </w:tc>
        <w:tc>
          <w:tcPr>
            <w:tcW w:w="3669" w:type="dxa"/>
            <w:tcBorders>
              <w:top w:val="nil"/>
              <w:left w:val="double" w:color="auto" w:sz="4" w:space="0"/>
              <w:bottom w:val="nil"/>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三腔两囊管压迫止血术</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nil"/>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气管插管术</w:t>
            </w:r>
          </w:p>
        </w:tc>
        <w:tc>
          <w:tcPr>
            <w:tcW w:w="3669" w:type="dxa"/>
            <w:tcBorders>
              <w:top w:val="nil"/>
              <w:left w:val="double" w:color="auto" w:sz="4" w:space="0"/>
              <w:bottom w:val="nil"/>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无创呼吸机的使用</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动静脉穿刺术</w:t>
            </w:r>
          </w:p>
        </w:tc>
        <w:tc>
          <w:tcPr>
            <w:tcW w:w="3669" w:type="dxa"/>
            <w:tcBorders>
              <w:top w:val="nil"/>
              <w:left w:val="double" w:color="auto" w:sz="4" w:space="0"/>
              <w:bottom w:val="nil"/>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洗胃术</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single" w:color="auto" w:sz="12" w:space="0"/>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心电图</w:t>
            </w:r>
          </w:p>
        </w:tc>
        <w:tc>
          <w:tcPr>
            <w:tcW w:w="3669" w:type="dxa"/>
            <w:tcBorders>
              <w:top w:val="nil"/>
              <w:left w:val="double" w:color="auto" w:sz="4" w:space="0"/>
              <w:bottom w:val="single" w:color="auto" w:sz="12" w:space="0"/>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导尿术</w:t>
            </w:r>
          </w:p>
        </w:tc>
      </w:tr>
    </w:tbl>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（1）病种要求：多器官功能障碍综合征（MODS）</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（2）临床知识、技能要求：有创通气的基本临床应用。</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（3）报告2份临床病例（PPT演示）</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呼吸内科（1个月）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w:t>
      </w:r>
      <w:r>
        <w:rPr>
          <w:rFonts w:hint="eastAsia" w:ascii="仿宋_GB2312" w:hAnsi="仿宋_GB2312" w:eastAsia="仿宋_GB2312" w:cs="仿宋_GB2312"/>
          <w:sz w:val="32"/>
          <w:szCs w:val="32"/>
          <w:highlight w:val="none"/>
        </w:rPr>
        <w:t>咯血、胸痛、呼吸困难的诊断思路、鉴别诊断；</w:t>
      </w:r>
      <w:r>
        <w:rPr>
          <w:rFonts w:hint="eastAsia" w:ascii="仿宋_GB2312" w:hAnsi="仿宋_GB2312" w:eastAsia="仿宋_GB2312" w:cs="仿宋_GB2312"/>
          <w:kern w:val="0"/>
          <w:sz w:val="32"/>
          <w:szCs w:val="32"/>
          <w:highlight w:val="none"/>
        </w:rPr>
        <w:t>呼吸系统常见疾病（肺炎、支气管哮喘、慢性阻塞性肺疾病、肺栓塞、呼吸衰竭、气胸）的发病机制、临床表现、诊断与鉴别诊断及治疗；吸入药物的用法和合理应用；支气管镜和内科胸腔镜检查和治疗适应证和禁忌证；动脉血气分析判读。</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了解：肺癌、睡眠呼吸暂停低通气、胸腔积液；机械通气及无创通气技术；雾化治疗；肺功能检查判读。</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（1）学习症状、病种及例数要求：</w:t>
      </w:r>
    </w:p>
    <w:tbl>
      <w:tblPr>
        <w:tblStyle w:val="6"/>
        <w:tblW w:w="8042" w:type="dxa"/>
        <w:jc w:val="center"/>
        <w:tblInd w:w="-79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tcBorders>
              <w:top w:val="single" w:color="auto" w:sz="12"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tcBorders>
              <w:top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呼吸困难</w:t>
            </w:r>
          </w:p>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p>
        </w:tc>
        <w:tc>
          <w:tcPr>
            <w:tcW w:w="3642" w:type="dxa"/>
            <w:tcBorders>
              <w:top w:val="single" w:color="auto" w:sz="2" w:space="0"/>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肺炎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咯血</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胸腔积液</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胸痛</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肺栓塞</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支气管哮喘</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气胸</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慢性阻塞性肺疾病</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呼吸衰竭</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（2）基本技能见习：</w:t>
      </w:r>
    </w:p>
    <w:tbl>
      <w:tblPr>
        <w:tblStyle w:val="6"/>
        <w:tblW w:w="7829" w:type="dxa"/>
        <w:jc w:val="center"/>
        <w:tblInd w:w="-49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single" w:color="auto" w:sz="12"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single" w:color="auto" w:sz="4" w:space="0"/>
              <w:bottom w:val="nil"/>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胸腔穿刺</w:t>
            </w:r>
          </w:p>
        </w:tc>
        <w:tc>
          <w:tcPr>
            <w:tcW w:w="3669" w:type="dxa"/>
            <w:tcBorders>
              <w:top w:val="single" w:color="auto" w:sz="4" w:space="0"/>
              <w:left w:val="double" w:color="auto" w:sz="4" w:space="0"/>
              <w:bottom w:val="nil"/>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动脉采血</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nil"/>
              <w:bottom w:val="nil"/>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动脉血气分析判读</w:t>
            </w:r>
          </w:p>
        </w:tc>
        <w:tc>
          <w:tcPr>
            <w:tcW w:w="3669" w:type="dxa"/>
            <w:tcBorders>
              <w:top w:val="nil"/>
              <w:left w:val="double" w:color="auto" w:sz="4" w:space="0"/>
              <w:bottom w:val="nil"/>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雾化治疗</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nil"/>
              <w:bottom w:val="single" w:color="auto" w:sz="4" w:space="0"/>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氧疗</w:t>
            </w:r>
          </w:p>
        </w:tc>
        <w:tc>
          <w:tcPr>
            <w:tcW w:w="3669" w:type="dxa"/>
            <w:tcBorders>
              <w:top w:val="nil"/>
              <w:left w:val="double" w:color="auto" w:sz="4" w:space="0"/>
              <w:bottom w:val="single" w:color="auto" w:sz="4" w:space="0"/>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（1）学习病种：</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肺癌、肺结核、胸腔积液、睡眠呼吸暂停低通气综合征。</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见习：</w:t>
      </w:r>
      <w:r>
        <w:rPr>
          <w:rFonts w:hint="eastAsia" w:ascii="仿宋_GB2312" w:hAnsi="仿宋_GB2312" w:eastAsia="仿宋_GB2312" w:cs="仿宋_GB2312"/>
          <w:sz w:val="32"/>
          <w:szCs w:val="32"/>
          <w:highlight w:val="none"/>
        </w:rPr>
        <w:t>支气管镜检查、肺功能检查、多导睡眠呼吸监测。</w:t>
      </w:r>
      <w:r>
        <w:rPr>
          <w:rFonts w:hint="eastAsia" w:ascii="仿宋_GB2312" w:hAnsi="仿宋_GB2312" w:eastAsia="仿宋_GB2312" w:cs="仿宋_GB2312"/>
          <w:kern w:val="0"/>
          <w:sz w:val="32"/>
          <w:szCs w:val="32"/>
          <w:highlight w:val="none"/>
        </w:rPr>
        <w:t>呼吸系统常见疾病影像学检查判读；</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参与：机械通气、无创通气。</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（3）外语、教学、科研等能力的要求：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完成国外有关文献综述或读书报告1篇，参与教学、科研活动。</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心血管内科（1个月）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掌握：心血管系统的应用解剖和生理；心脏传导系统的解剖和功能特点；</w:t>
      </w:r>
      <w:r>
        <w:rPr>
          <w:rFonts w:hint="eastAsia" w:ascii="仿宋_GB2312" w:hAnsi="仿宋_GB2312" w:eastAsia="仿宋_GB2312" w:cs="仿宋_GB2312"/>
          <w:sz w:val="32"/>
          <w:szCs w:val="32"/>
          <w:highlight w:val="none"/>
        </w:rPr>
        <w:t>心血管系统常见症状（包括胸痛、呼吸困难、心悸、晕厥、头晕）的诊断思路、鉴别诊断；</w:t>
      </w:r>
      <w:r>
        <w:rPr>
          <w:rFonts w:hint="eastAsia" w:ascii="仿宋_GB2312" w:hAnsi="仿宋_GB2312" w:eastAsia="仿宋_GB2312" w:cs="仿宋_GB2312"/>
          <w:kern w:val="0"/>
          <w:sz w:val="32"/>
          <w:szCs w:val="32"/>
          <w:highlight w:val="none"/>
        </w:rPr>
        <w:t>常见心血管疾病的发病机制、临床表现、诊断与鉴别诊断及治疗；心血管急、重症的诊断和治疗；常用心血管疾病治疗药物的合理应用；常见心脏形态异常的胸部X线表现；常见典型心电图诊断；电除颤技术。</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了解：心脏电生理的基本知识、冠脉造影、PCI治疗、心包穿刺术、心脏起搏术、动态心电图、动态血压、超声心动图。</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（1）学习症状、病种及例数要求：</w:t>
      </w:r>
    </w:p>
    <w:tbl>
      <w:tblPr>
        <w:tblStyle w:val="6"/>
        <w:tblW w:w="7882" w:type="dxa"/>
        <w:jc w:val="center"/>
        <w:tblInd w:w="-63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胸痛</w:t>
            </w:r>
          </w:p>
        </w:tc>
        <w:tc>
          <w:tcPr>
            <w:tcW w:w="3642" w:type="dxa"/>
            <w:tcBorders>
              <w:top w:val="single" w:color="auto" w:sz="2" w:space="0"/>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常见心律失常</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呼吸困难</w:t>
            </w:r>
          </w:p>
        </w:tc>
        <w:tc>
          <w:tcPr>
            <w:tcW w:w="364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稳定型心绞痛</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心悸</w:t>
            </w:r>
          </w:p>
        </w:tc>
        <w:tc>
          <w:tcPr>
            <w:tcW w:w="364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急性ST段抬高性心肌梗死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晕厥</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非ST段抬高性急性冠脉综合征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头晕</w:t>
            </w: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心脏瓣膜病</w:t>
            </w:r>
          </w:p>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慢性心力衰竭</w:t>
            </w:r>
          </w:p>
        </w:tc>
        <w:tc>
          <w:tcPr>
            <w:tcW w:w="3642"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心肌炎与心肌病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single" w:color="auto" w:sz="12"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高血压</w:t>
            </w:r>
          </w:p>
        </w:tc>
        <w:tc>
          <w:tcPr>
            <w:tcW w:w="3642" w:type="dxa"/>
            <w:tcBorders>
              <w:top w:val="nil"/>
              <w:left w:val="double" w:color="auto" w:sz="4" w:space="0"/>
              <w:bottom w:val="single" w:color="auto" w:sz="12" w:space="0"/>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常见心脏病急症</w:t>
            </w:r>
            <w:r>
              <w:rPr>
                <w:rFonts w:hint="eastAsia" w:ascii="仿宋_GB2312" w:hAnsi="仿宋_GB2312" w:eastAsia="仿宋_GB2312" w:cs="仿宋_GB2312"/>
                <w:color w:val="auto"/>
                <w:sz w:val="32"/>
                <w:szCs w:val="32"/>
                <w:highlight w:val="none"/>
              </w:rPr>
              <w:tab/>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要求参与管理住院病人数不少于15例。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（2）基本技能见习：</w:t>
      </w:r>
    </w:p>
    <w:tbl>
      <w:tblPr>
        <w:tblStyle w:val="6"/>
        <w:tblW w:w="7829" w:type="dxa"/>
        <w:jc w:val="center"/>
        <w:tblInd w:w="-49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single" w:color="auto" w:sz="12" w:space="0"/>
              <w:left w:val="nil"/>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right w:val="nil"/>
            </w:tcBorders>
            <w:vAlign w:val="center"/>
          </w:tcPr>
          <w:p>
            <w:pPr>
              <w:pStyle w:val="5"/>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single" w:color="auto" w:sz="2" w:space="0"/>
              <w:left w:val="nil"/>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心电图操作及常见心电图判读</w:t>
            </w:r>
          </w:p>
          <w:p>
            <w:pPr>
              <w:pStyle w:val="5"/>
              <w:adjustRightInd w:val="0"/>
              <w:snapToGrid w:val="0"/>
              <w:spacing w:beforeLines="0" w:afterLines="0" w:line="360" w:lineRule="auto"/>
              <w:ind w:left="0" w:leftChars="0" w:firstLine="320" w:firstLineChars="100"/>
              <w:jc w:val="both"/>
              <w:rPr>
                <w:rFonts w:hint="eastAsia" w:ascii="仿宋_GB2312" w:hAnsi="仿宋_GB2312" w:eastAsia="仿宋_GB2312" w:cs="仿宋_GB2312"/>
                <w:color w:val="auto"/>
                <w:sz w:val="32"/>
                <w:szCs w:val="32"/>
                <w:highlight w:val="none"/>
              </w:rPr>
            </w:pPr>
          </w:p>
        </w:tc>
        <w:tc>
          <w:tcPr>
            <w:tcW w:w="3669" w:type="dxa"/>
            <w:tcBorders>
              <w:top w:val="single" w:color="auto" w:sz="2" w:space="0"/>
              <w:left w:val="double" w:color="auto" w:sz="4" w:space="0"/>
              <w:bottom w:val="nil"/>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常见心血管系统影像学检查结果判读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nil"/>
              <w:left w:val="nil"/>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电除颤/电复律</w:t>
            </w:r>
          </w:p>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p>
        </w:tc>
        <w:tc>
          <w:tcPr>
            <w:tcW w:w="3669" w:type="dxa"/>
            <w:tcBorders>
              <w:top w:val="nil"/>
              <w:left w:val="double" w:color="auto" w:sz="4" w:space="0"/>
              <w:bottom w:val="nil"/>
              <w:right w:val="nil"/>
            </w:tcBorders>
            <w:vAlign w:val="top"/>
          </w:tcPr>
          <w:p>
            <w:pPr>
              <w:pStyle w:val="5"/>
              <w:adjustRightInd w:val="0"/>
              <w:snapToGrid w:val="0"/>
              <w:spacing w:beforeLines="0" w:afterLines="0" w:line="360" w:lineRule="auto"/>
              <w:ind w:left="0" w:leftChars="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超声心动判读</w:t>
            </w:r>
            <w:r>
              <w:rPr>
                <w:rFonts w:hint="eastAsia" w:ascii="仿宋_GB2312" w:hAnsi="仿宋_GB2312" w:eastAsia="仿宋_GB2312" w:cs="仿宋_GB2312"/>
                <w:color w:val="auto"/>
                <w:spacing w:val="-4"/>
                <w:sz w:val="32"/>
                <w:szCs w:val="32"/>
                <w:highlight w:val="none"/>
              </w:rPr>
              <w:tab/>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nil"/>
              <w:left w:val="nil"/>
              <w:bottom w:val="single" w:color="auto" w:sz="12" w:space="0"/>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HOLTER判读</w:t>
            </w:r>
            <w:r>
              <w:rPr>
                <w:rFonts w:hint="eastAsia" w:ascii="仿宋_GB2312" w:hAnsi="仿宋_GB2312" w:eastAsia="仿宋_GB2312" w:cs="仿宋_GB2312"/>
                <w:kern w:val="0"/>
                <w:sz w:val="32"/>
                <w:szCs w:val="32"/>
                <w:highlight w:val="none"/>
              </w:rPr>
              <w:tab/>
            </w:r>
          </w:p>
        </w:tc>
        <w:tc>
          <w:tcPr>
            <w:tcW w:w="3669" w:type="dxa"/>
            <w:tcBorders>
              <w:top w:val="nil"/>
              <w:left w:val="double" w:color="auto" w:sz="4" w:space="0"/>
              <w:bottom w:val="single" w:color="auto" w:sz="12" w:space="0"/>
              <w:right w:val="nil"/>
            </w:tcBorders>
            <w:vAlign w:val="top"/>
          </w:tcPr>
          <w:p>
            <w:pPr>
              <w:pStyle w:val="5"/>
              <w:adjustRightInd w:val="0"/>
              <w:snapToGrid w:val="0"/>
              <w:spacing w:beforeLines="0" w:afterLines="0" w:line="360" w:lineRule="auto"/>
              <w:ind w:left="0" w:leftChars="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动态血压判读</w:t>
            </w: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（1）学习病种：</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心包疾病、肺血管病、感染性心内膜炎、常见的成人先天性心脏病。</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了解：</w:t>
      </w:r>
      <w:r>
        <w:rPr>
          <w:rFonts w:hint="eastAsia" w:ascii="仿宋_GB2312" w:hAnsi="仿宋_GB2312" w:eastAsia="仿宋_GB2312" w:cs="仿宋_GB2312"/>
          <w:sz w:val="32"/>
          <w:szCs w:val="32"/>
          <w:highlight w:val="none"/>
        </w:rPr>
        <w:t>心包穿刺术、临时心脏起搏术。</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报告解读：动态血压、动态心电图、超声心动图。</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（3）外语、教学、科研等能力的要求：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完成国外有关文献综述或读书报告1篇，参与教学、科研活动。</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kern w:val="0"/>
          <w:sz w:val="32"/>
          <w:szCs w:val="32"/>
          <w:highlight w:val="none"/>
        </w:rPr>
        <w:t>内科ICU / 呼吸ICU / 综合ICU</w:t>
      </w:r>
      <w:r>
        <w:rPr>
          <w:rFonts w:hint="eastAsia" w:ascii="仿宋_GB2312" w:hAnsi="仿宋_GB2312" w:eastAsia="仿宋_GB2312" w:cs="仿宋_GB2312"/>
          <w:b/>
          <w:kern w:val="0"/>
          <w:sz w:val="32"/>
          <w:szCs w:val="32"/>
          <w:highlight w:val="none"/>
        </w:rPr>
        <w:t>（1个月）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常见危重症的诊断和紧急处理；危重症患者的评估和转运；气道管理；机械通气基本原理及常用模式；基础血流动力学监测；常用急救药物（心肺复苏及血管活性药、降压药、抗心律失常药、解痉平喘药、抗癫痫药等）的临床应用；感染和抗菌药物的临床应用；输血指征；营养支持的适应证和临床应用；酸碱失衡及电解质紊乱的诊断与治疗。</w:t>
      </w:r>
    </w:p>
    <w:p>
      <w:pPr>
        <w:pStyle w:val="9"/>
        <w:autoSpaceDE w:val="0"/>
        <w:autoSpaceDN w:val="0"/>
        <w:adjustRightInd w:val="0"/>
        <w:snapToGrid w:val="0"/>
        <w:spacing w:beforeLines="0" w:afterLines="0" w:line="360" w:lineRule="auto"/>
        <w:ind w:left="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高级心脏生命支持治疗(ACLS)；张力性气胸；静脉血栓栓塞性疾病；严重全身性感染与感染性休克；床旁呼吸功能监测（气道阻力，呼吸系统顺应性）；床旁心输出量监测（前负荷，后负荷，心肌收缩力）；镇静与镇痛；神经系统功能监测（颅内压，颈静脉球部位血氧饱和度）。</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（1）学习症状、病种及例数要求：</w:t>
      </w:r>
    </w:p>
    <w:tbl>
      <w:tblPr>
        <w:tblStyle w:val="6"/>
        <w:tblW w:w="8152" w:type="dxa"/>
        <w:jc w:val="center"/>
        <w:tblInd w:w="-90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tcBorders>
              <w:top w:val="single" w:color="auto" w:sz="12"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tcBorders>
              <w:top w:val="single" w:color="auto" w:sz="2" w:space="0"/>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重症肺炎</w:t>
            </w:r>
          </w:p>
        </w:tc>
        <w:tc>
          <w:tcPr>
            <w:tcW w:w="3642" w:type="dxa"/>
            <w:tcBorders>
              <w:top w:val="single" w:color="auto" w:sz="2" w:space="0"/>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酸碱失衡及电解质紊乱</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休克</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多器官功能障碍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急性呼吸衰竭/急性呼吸窘迫</w:t>
            </w:r>
          </w:p>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p>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综合征</w:t>
            </w:r>
          </w:p>
        </w:tc>
        <w:tc>
          <w:tcPr>
            <w:tcW w:w="3642" w:type="dxa"/>
            <w:tcBorders>
              <w:left w:val="double" w:color="auto" w:sz="4" w:space="0"/>
            </w:tcBorders>
            <w:vAlign w:val="top"/>
          </w:tcPr>
          <w:p>
            <w:pPr>
              <w:widowControl/>
              <w:autoSpaceDE/>
              <w:autoSpaceDN/>
              <w:adjustRightInd w:val="0"/>
              <w:snapToGrid w:val="0"/>
              <w:spacing w:beforeLines="0" w:afterLines="0" w:line="24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昏迷和（或）癫痫</w:t>
            </w:r>
          </w:p>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急性肾损伤</w:t>
            </w:r>
          </w:p>
        </w:tc>
        <w:tc>
          <w:tcPr>
            <w:tcW w:w="3642" w:type="dxa"/>
            <w:tcBorders>
              <w:left w:val="double" w:color="auto" w:sz="4" w:space="0"/>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弥散性血管内凝血</w:t>
            </w:r>
          </w:p>
        </w:tc>
      </w:tr>
    </w:tbl>
    <w:p>
      <w:pPr>
        <w:autoSpaceDE w:val="0"/>
        <w:autoSpaceDN w:val="0"/>
        <w:adjustRightInd w:val="0"/>
        <w:snapToGrid/>
        <w:spacing w:beforeLines="0" w:afterLines="0" w:line="24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要求参与管理住院病人数不少于10例。</w:t>
      </w:r>
    </w:p>
    <w:p>
      <w:pPr>
        <w:autoSpaceDE w:val="0"/>
        <w:autoSpaceDN w:val="0"/>
        <w:adjustRightInd w:val="0"/>
        <w:snapToGrid/>
        <w:spacing w:beforeLines="0" w:afterLines="0" w:line="24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（2）基本技能见习：</w:t>
      </w:r>
    </w:p>
    <w:tbl>
      <w:tblPr>
        <w:tblStyle w:val="6"/>
        <w:tblW w:w="7919" w:type="dxa"/>
        <w:jc w:val="center"/>
        <w:tblInd w:w="-58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single" w:color="auto" w:sz="12"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tcBorders>
            <w:vAlign w:val="center"/>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single" w:color="auto" w:sz="2" w:space="0"/>
              <w:bottom w:val="nil"/>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高级心脏生命支持（ACLS）术</w:t>
            </w:r>
          </w:p>
        </w:tc>
        <w:tc>
          <w:tcPr>
            <w:tcW w:w="3669" w:type="dxa"/>
            <w:tcBorders>
              <w:top w:val="single" w:color="auto" w:sz="2" w:space="0"/>
              <w:left w:val="double" w:color="auto" w:sz="4" w:space="0"/>
              <w:bottom w:val="nil"/>
              <w:right w:val="nil"/>
            </w:tcBorders>
            <w:vAlign w:val="center"/>
          </w:tcPr>
          <w:p>
            <w:pPr>
              <w:widowControl/>
              <w:autoSpaceDE/>
              <w:autoSpaceDN/>
              <w:adjustRightInd w:val="0"/>
              <w:snapToGrid/>
              <w:spacing w:beforeLines="0" w:afterLines="0" w:line="240" w:lineRule="auto"/>
              <w:ind w:left="0" w:leftChars="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中心静脉插管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nil"/>
              <w:bottom w:val="nil"/>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气道管理</w:t>
            </w:r>
          </w:p>
        </w:tc>
        <w:tc>
          <w:tcPr>
            <w:tcW w:w="3669" w:type="dxa"/>
            <w:tcBorders>
              <w:top w:val="nil"/>
              <w:left w:val="double" w:color="auto" w:sz="4" w:space="0"/>
              <w:bottom w:val="nil"/>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危重病患者转运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nil"/>
              <w:bottom w:val="single" w:color="auto" w:sz="12" w:space="0"/>
              <w:right w:val="nil"/>
            </w:tcBorders>
            <w:vAlign w:val="top"/>
          </w:tcPr>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呼吸机临床应用</w:t>
            </w:r>
          </w:p>
        </w:tc>
        <w:tc>
          <w:tcPr>
            <w:tcW w:w="3669" w:type="dxa"/>
            <w:tcBorders>
              <w:top w:val="nil"/>
              <w:left w:val="double" w:color="auto" w:sz="4" w:space="0"/>
              <w:bottom w:val="single" w:color="auto" w:sz="12" w:space="0"/>
              <w:right w:val="nil"/>
            </w:tcBorders>
            <w:vAlign w:val="top"/>
          </w:tcPr>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电除颤</w:t>
            </w: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（1）病种要求：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张力性气胸、静脉血栓栓塞性疾病、严重全身性感染与感染性休克。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w:t>
      </w:r>
    </w:p>
    <w:p>
      <w:pPr>
        <w:pStyle w:val="5"/>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动脉穿刺术（操作），床旁心输出量、呼吸功能监测，头、胸、腹影像学检查判读，神经系统功能监测，张力性气胸诊治。</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（3）外语、教学、科研等能力的要求：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国外有关文献综述或读书报告1篇；参与教学、科研活动。</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感控处（1个月）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医院感染管理和传染病管理的相关法律法规要求、制度、流程，医院感染预防与控制的关键技术，包括医院感染监测的方法，标准预防，手卫生，消毒的原则，隔离原则，多重耐药菌的医院感染防控要求、医疗废物的处置。医院感染防控的应急预案，医务人员自身防护的知识与技能，疾病预防与控制医院内管理流程，传染病报告要求。</w:t>
      </w:r>
    </w:p>
    <w:p>
      <w:pPr>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了解：医院消毒的常用方法与技术要点，隔离技术的要点与执行重点与难点。疾病预防与控制医院内执行难点。</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（1）通过诊疗工作，掌握医院感染管理和传染病管理的相关法律法规要求、制度、流程。</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（2）掌握传染病医院感染防控原则、报告要求。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（3）通过临床诊疗工作，掌握标准预防、手卫生、多重耐药菌感染防控的措施等。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（4）通过临床诊疗，掌握预检分诊与传染病的报告要求。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（5）通过临床实习，掌握医务人员自我防护的分级要求与相应的防护技能及职业暴露的应急处理流程。</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（6）通过演练，掌握医院感染防控的应急预案与处置流程。</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（1）通过诊疗工作，掌握医院感染监测方法与诊断标准。</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（2）掌握抗菌药物的合理使用。</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（3）完成急诊科、病区、手术部、消毒供应中心、重症监护病房、血液透析、内镜中心等重点部门的感染防控要点与督导要点的学习。</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（4）了解隔离的要求与措施、医疗废物的分类与处置。</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（5）熟悉各种侵入性操作感染防控的具体要求与措施。</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四、培训报名</w:t>
      </w:r>
    </w:p>
    <w:p>
      <w:pPr>
        <w:numPr>
          <w:ilvl w:val="0"/>
          <w:numId w:val="6"/>
        </w:numPr>
        <w:adjustRightInd w:val="0"/>
        <w:snapToGrid w:val="0"/>
        <w:spacing w:beforeLines="0" w:afterLines="0"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疾控系统单位：北京市疾病预防控制中心</w:t>
      </w:r>
    </w:p>
    <w:p>
      <w:pPr>
        <w:adjustRightInd w:val="0"/>
        <w:snapToGrid w:val="0"/>
        <w:spacing w:beforeLines="0" w:afterLines="0" w:line="360" w:lineRule="auto"/>
        <w:ind w:lef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联系电话：64407255</w:t>
      </w:r>
    </w:p>
    <w:p>
      <w:pPr>
        <w:numPr>
          <w:ilvl w:val="0"/>
          <w:numId w:val="6"/>
        </w:numPr>
        <w:adjustRightInd w:val="0"/>
        <w:snapToGrid w:val="0"/>
        <w:spacing w:beforeLines="0" w:afterLines="0"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院前</w:t>
      </w:r>
      <w:r>
        <w:rPr>
          <w:rFonts w:hint="eastAsia" w:ascii="仿宋_GB2312" w:hAnsi="仿宋_GB2312" w:eastAsia="仿宋_GB2312" w:cs="仿宋_GB2312"/>
          <w:sz w:val="32"/>
          <w:szCs w:val="32"/>
          <w:highlight w:val="none"/>
          <w:lang w:eastAsia="zh-CN"/>
        </w:rPr>
        <w:t>医疗</w:t>
      </w:r>
      <w:r>
        <w:rPr>
          <w:rFonts w:hint="eastAsia" w:ascii="仿宋_GB2312" w:hAnsi="仿宋_GB2312" w:eastAsia="仿宋_GB2312" w:cs="仿宋_GB2312"/>
          <w:sz w:val="32"/>
          <w:szCs w:val="32"/>
          <w:highlight w:val="none"/>
        </w:rPr>
        <w:t>急救系统单位：北京急救中心</w:t>
      </w:r>
    </w:p>
    <w:p>
      <w:pPr>
        <w:adjustRightInd w:val="0"/>
        <w:snapToGrid w:val="0"/>
        <w:spacing w:beforeLines="0" w:afterLines="0" w:line="360" w:lineRule="auto"/>
        <w:ind w:lef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联系电话：66098037</w:t>
      </w:r>
    </w:p>
    <w:p>
      <w:pPr>
        <w:adjustRightInd w:val="0"/>
        <w:snapToGrid w:val="0"/>
        <w:spacing w:beforeLines="0" w:afterLines="0" w:line="360" w:lineRule="auto"/>
        <w:rPr>
          <w:rFonts w:hint="eastAsia"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br w:type="page"/>
      </w:r>
      <w:r>
        <w:rPr>
          <w:rFonts w:hint="eastAsia" w:ascii="黑体" w:hAnsi="黑体" w:eastAsia="黑体" w:cs="黑体"/>
          <w:bCs/>
          <w:sz w:val="32"/>
          <w:szCs w:val="32"/>
          <w:highlight w:val="none"/>
        </w:rPr>
        <w:t>附件3</w:t>
      </w:r>
    </w:p>
    <w:p>
      <w:pPr>
        <w:adjustRightInd w:val="0"/>
        <w:snapToGrid w:val="0"/>
        <w:spacing w:beforeLines="0" w:afterLines="0" w:line="360" w:lineRule="auto"/>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院前</w:t>
      </w:r>
      <w:r>
        <w:rPr>
          <w:rFonts w:hint="eastAsia" w:ascii="方正小标宋简体" w:hAnsi="方正小标宋简体" w:eastAsia="方正小标宋简体" w:cs="方正小标宋简体"/>
          <w:bCs/>
          <w:sz w:val="44"/>
          <w:szCs w:val="44"/>
          <w:highlight w:val="none"/>
          <w:lang w:eastAsia="zh-CN"/>
        </w:rPr>
        <w:t>医疗</w:t>
      </w:r>
      <w:r>
        <w:rPr>
          <w:rFonts w:hint="eastAsia" w:ascii="方正小标宋简体" w:hAnsi="方正小标宋简体" w:eastAsia="方正小标宋简体" w:cs="方正小标宋简体"/>
          <w:bCs/>
          <w:sz w:val="44"/>
          <w:szCs w:val="44"/>
          <w:highlight w:val="none"/>
        </w:rPr>
        <w:t>急救能力培训细则</w:t>
      </w:r>
    </w:p>
    <w:p>
      <w:pPr>
        <w:adjustRightInd w:val="0"/>
        <w:snapToGrid w:val="0"/>
        <w:spacing w:beforeLines="0" w:afterLines="0" w:line="360" w:lineRule="auto"/>
        <w:jc w:val="center"/>
        <w:rPr>
          <w:rFonts w:hint="eastAsia" w:ascii="宋体" w:hAnsi="宋体" w:cs="宋体"/>
          <w:b/>
          <w:sz w:val="36"/>
          <w:szCs w:val="36"/>
          <w:highlight w:val="none"/>
        </w:rPr>
      </w:pP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一、培训时间</w:t>
      </w:r>
    </w:p>
    <w:p>
      <w:pPr>
        <w:adjustRightInd w:val="0"/>
        <w:snapToGrid w:val="0"/>
        <w:spacing w:beforeLines="0" w:afterLines="0" w:line="360" w:lineRule="auto"/>
        <w:rPr>
          <w:rFonts w:hint="eastAsia" w:ascii="仿宋_GB2312" w:hAnsi="仿宋_GB2312" w:eastAsia="仿宋_GB2312" w:cs="仿宋_GB2312"/>
          <w:sz w:val="32"/>
          <w:szCs w:val="32"/>
          <w:highlight w:val="none"/>
        </w:rPr>
      </w:pPr>
      <w:r>
        <w:rPr>
          <w:rFonts w:hint="eastAsia" w:ascii="华文仿宋" w:hAnsi="华文仿宋" w:eastAsia="华文仿宋" w:cs="华文仿宋"/>
          <w:sz w:val="32"/>
          <w:szCs w:val="32"/>
          <w:highlight w:val="none"/>
        </w:rPr>
        <w:t xml:space="preserve">    </w:t>
      </w:r>
      <w:r>
        <w:rPr>
          <w:rFonts w:hint="eastAsia" w:ascii="仿宋_GB2312" w:hAnsi="仿宋_GB2312" w:eastAsia="仿宋_GB2312" w:cs="仿宋_GB2312"/>
          <w:sz w:val="32"/>
          <w:szCs w:val="32"/>
          <w:highlight w:val="none"/>
        </w:rPr>
        <w:t>顶岗锻炼3个月，其中轮转培训1周，跟车实习1周，独立值班10周。</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二、培训地点</w:t>
      </w:r>
    </w:p>
    <w:p>
      <w:pPr>
        <w:adjustRightInd w:val="0"/>
        <w:snapToGrid w:val="0"/>
        <w:spacing w:beforeLines="0" w:afterLines="0" w:line="360" w:lineRule="auto"/>
        <w:ind w:firstLine="640"/>
        <w:rPr>
          <w:rFonts w:hint="eastAsia" w:ascii="仿宋_GB2312" w:eastAsia="仿宋_GB2312"/>
          <w:sz w:val="32"/>
          <w:szCs w:val="32"/>
          <w:highlight w:val="none"/>
        </w:rPr>
      </w:pPr>
      <w:r>
        <w:rPr>
          <w:rFonts w:hint="eastAsia" w:ascii="仿宋_GB2312" w:eastAsia="仿宋_GB2312"/>
          <w:sz w:val="32"/>
          <w:szCs w:val="32"/>
          <w:highlight w:val="none"/>
        </w:rPr>
        <w:t>北京急救中心、各区急救中心</w:t>
      </w:r>
      <w:r>
        <w:rPr>
          <w:rFonts w:hint="eastAsia" w:ascii="仿宋_GB2312" w:eastAsia="仿宋_GB2312"/>
          <w:sz w:val="32"/>
          <w:szCs w:val="32"/>
          <w:highlight w:val="none"/>
          <w:lang w:eastAsia="zh-CN"/>
        </w:rPr>
        <w:t>站</w:t>
      </w:r>
      <w:r>
        <w:rPr>
          <w:rFonts w:hint="eastAsia" w:ascii="仿宋_GB2312" w:eastAsia="仿宋_GB2312"/>
          <w:sz w:val="32"/>
          <w:szCs w:val="32"/>
          <w:highlight w:val="none"/>
        </w:rPr>
        <w:t>（不含西城区）</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三、培训内容  </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（一）轮转培训</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院前医疗急救工作流程、常用急救用品和设备的使用、患者的搬运与转运、院前医疗急救常见急危重患者的识别与处置、创伤四项基本技术、突发事件现场检伤分类和现场处置等。</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（二）跟车实习</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在带教老师的指导下一对一跟车实习，熟悉院前医疗急救日常工作流程，掌握理论培训课程中所学到的内容。</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（三）独立值班服务</w:t>
      </w:r>
    </w:p>
    <w:p>
      <w:pPr>
        <w:adjustRightInd w:val="0"/>
        <w:snapToGrid w:val="0"/>
        <w:spacing w:beforeLines="0" w:afterLines="0" w:line="360" w:lineRule="auto"/>
        <w:ind w:firstLine="640" w:firstLineChars="200"/>
        <w:rPr>
          <w:rFonts w:hint="eastAsia" w:ascii="华文仿宋" w:hAnsi="华文仿宋" w:eastAsia="华文仿宋" w:cs="华文仿宋"/>
          <w:sz w:val="32"/>
          <w:szCs w:val="32"/>
          <w:highlight w:val="none"/>
        </w:rPr>
      </w:pPr>
      <w:r>
        <w:rPr>
          <w:rFonts w:hint="eastAsia" w:ascii="仿宋_GB2312" w:hAnsi="仿宋_GB2312" w:eastAsia="仿宋_GB2312" w:cs="仿宋_GB2312"/>
          <w:sz w:val="32"/>
          <w:szCs w:val="32"/>
          <w:highlight w:val="none"/>
        </w:rPr>
        <w:t>独立完成院前医疗急救出车工作，原则上按4班2运转的方式上下班，即白班、夜班、下夜班和休息，具体由所在</w:t>
      </w:r>
      <w:r>
        <w:rPr>
          <w:rFonts w:hint="eastAsia" w:ascii="仿宋_GB2312" w:hAnsi="仿宋_GB2312" w:eastAsia="仿宋_GB2312" w:cs="仿宋_GB2312"/>
          <w:sz w:val="32"/>
          <w:szCs w:val="32"/>
          <w:highlight w:val="none"/>
          <w:lang w:eastAsia="zh-CN"/>
        </w:rPr>
        <w:t>急救</w:t>
      </w:r>
      <w:r>
        <w:rPr>
          <w:rFonts w:hint="eastAsia" w:ascii="仿宋_GB2312" w:hAnsi="仿宋_GB2312" w:eastAsia="仿宋_GB2312" w:cs="仿宋_GB2312"/>
          <w:sz w:val="32"/>
          <w:szCs w:val="32"/>
          <w:highlight w:val="none"/>
        </w:rPr>
        <w:t>中心</w:t>
      </w:r>
      <w:r>
        <w:rPr>
          <w:rFonts w:hint="eastAsia" w:ascii="仿宋_GB2312" w:hAnsi="仿宋_GB2312" w:eastAsia="仿宋_GB2312" w:cs="仿宋_GB2312"/>
          <w:sz w:val="32"/>
          <w:szCs w:val="32"/>
          <w:highlight w:val="none"/>
          <w:lang w:eastAsia="zh-CN"/>
        </w:rPr>
        <w:t>站</w:t>
      </w:r>
      <w:r>
        <w:rPr>
          <w:rFonts w:hint="eastAsia" w:ascii="仿宋_GB2312" w:hAnsi="仿宋_GB2312" w:eastAsia="仿宋_GB2312" w:cs="仿宋_GB2312"/>
          <w:sz w:val="32"/>
          <w:szCs w:val="32"/>
          <w:highlight w:val="none"/>
        </w:rPr>
        <w:t>负责管理。</w:t>
      </w:r>
    </w:p>
    <w:p>
      <w:pPr>
        <w:spacing w:line="520" w:lineRule="exact"/>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附件4</w:t>
      </w:r>
    </w:p>
    <w:p>
      <w:pPr>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北京市医防融合培训基地名录</w:t>
      </w:r>
    </w:p>
    <w:tbl>
      <w:tblPr>
        <w:tblStyle w:val="6"/>
        <w:tblW w:w="9638" w:type="dxa"/>
        <w:jc w:val="center"/>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219"/>
        <w:gridCol w:w="2626"/>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基地名称</w:t>
            </w:r>
          </w:p>
        </w:tc>
        <w:tc>
          <w:tcPr>
            <w:tcW w:w="2219" w:type="dxa"/>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承担培训任务</w:t>
            </w:r>
          </w:p>
        </w:tc>
        <w:tc>
          <w:tcPr>
            <w:tcW w:w="2626"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基地名称</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承担培训任务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北京地坛医院</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lang w:eastAsia="zh-CN"/>
              </w:rPr>
              <w:t>感染科</w:t>
            </w:r>
            <w:r>
              <w:rPr>
                <w:rFonts w:hint="eastAsia" w:ascii="宋体" w:hAnsi="宋体" w:cs="宋体"/>
                <w:color w:val="000000"/>
                <w:sz w:val="24"/>
                <w:highlight w:val="none"/>
              </w:rPr>
              <w:t>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中国医学科学院</w:t>
            </w:r>
            <w:r>
              <w:rPr>
                <w:rFonts w:hint="eastAsia" w:ascii="宋体" w:hAnsi="宋体" w:cs="宋体"/>
                <w:color w:val="000000"/>
                <w:kern w:val="0"/>
                <w:sz w:val="24"/>
                <w:highlight w:val="none"/>
                <w:lang w:bidi="ar"/>
              </w:rPr>
              <w:t>北京协和医院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首都医科大学附属北京</w:t>
            </w:r>
            <w:r>
              <w:rPr>
                <w:rFonts w:hint="eastAsia" w:ascii="宋体" w:hAnsi="宋体" w:cs="宋体"/>
                <w:color w:val="000000"/>
                <w:kern w:val="0"/>
                <w:sz w:val="24"/>
                <w:highlight w:val="none"/>
                <w:lang w:bidi="ar"/>
              </w:rPr>
              <w:t>佑安医院</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lang w:eastAsia="zh-CN"/>
              </w:rPr>
              <w:t>感染科</w:t>
            </w:r>
            <w:r>
              <w:rPr>
                <w:rFonts w:hint="eastAsia" w:ascii="宋体" w:hAnsi="宋体" w:cs="宋体"/>
                <w:color w:val="000000"/>
                <w:sz w:val="24"/>
                <w:highlight w:val="none"/>
              </w:rPr>
              <w:t>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北京急救中心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院前</w:t>
            </w:r>
            <w:r>
              <w:rPr>
                <w:rFonts w:hint="eastAsia" w:ascii="宋体" w:hAnsi="宋体" w:cs="宋体"/>
                <w:color w:val="000000"/>
                <w:sz w:val="24"/>
                <w:highlight w:val="none"/>
                <w:lang w:eastAsia="zh-CN"/>
              </w:rPr>
              <w:t>医疗急救</w:t>
            </w:r>
            <w:r>
              <w:rPr>
                <w:rFonts w:hint="eastAsia" w:ascii="宋体" w:hAnsi="宋体" w:cs="宋体"/>
                <w:color w:val="000000"/>
                <w:sz w:val="24"/>
                <w:highlight w:val="none"/>
              </w:rPr>
              <w:t>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中日友好医院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北京市疾病预防控制中心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北京大学第一医院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东城区疾病预防控制中心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北京大学人民医院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西城区疾病预防控制中心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北京大学第三医院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朝阳区疾病预防控制中心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北京积水潭医院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海淀区疾病预防控制中心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w:t>
            </w:r>
            <w:r>
              <w:rPr>
                <w:rFonts w:hint="eastAsia" w:ascii="宋体" w:hAnsi="宋体" w:cs="宋体"/>
                <w:color w:val="000000"/>
                <w:kern w:val="0"/>
                <w:sz w:val="24"/>
                <w:highlight w:val="none"/>
                <w:lang w:bidi="ar"/>
              </w:rPr>
              <w:t>宣武医院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丰台区疾病预防控制中心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北京友谊医院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石景山区疾病预防控制中心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北京安贞医院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通州区疾病预防控制中心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北京同仁医院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怀柔区疾病预防控制中心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北京朝阳医院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房山区疾病预防控制中心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北京天坛医院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大兴区疾病预防控制中心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北京世纪坛医院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门头沟区疾病预防控制中心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首都医科大学附属北京</w:t>
            </w:r>
            <w:r>
              <w:rPr>
                <w:rFonts w:hint="eastAsia" w:ascii="宋体" w:hAnsi="宋体" w:cs="宋体"/>
                <w:color w:val="000000"/>
                <w:kern w:val="0"/>
                <w:sz w:val="24"/>
                <w:highlight w:val="none"/>
                <w:lang w:bidi="ar"/>
              </w:rPr>
              <w:t>潞河医院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顺义区疾病预防控制中心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北京清华长庚医院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密云区疾病预防控制中心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平谷区疾病预防控制中心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昌平区疾病预防控制中心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延庆区疾病预防控制中心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bl>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5</w:t>
      </w:r>
    </w:p>
    <w:p>
      <w:pPr>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北京市医防融合培训证明</w:t>
      </w:r>
    </w:p>
    <w:tbl>
      <w:tblPr>
        <w:tblStyle w:val="6"/>
        <w:tblW w:w="10198" w:type="dxa"/>
        <w:jc w:val="center"/>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5"/>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5" w:type="dxa"/>
            <w:vAlign w:val="top"/>
          </w:tcPr>
          <w:p>
            <w:pPr>
              <w:rPr>
                <w:rFonts w:hint="eastAsia" w:ascii="宋体" w:hAnsi="宋体" w:cs="宋体"/>
                <w:b/>
                <w:bCs/>
                <w:sz w:val="32"/>
                <w:szCs w:val="32"/>
                <w:highlight w:val="none"/>
              </w:rPr>
            </w:pPr>
            <w:r>
              <w:rPr>
                <w:rFonts w:hint="eastAsia" w:ascii="宋体" w:hAnsi="宋体" w:cs="宋体"/>
                <w:b/>
                <w:bCs/>
                <w:sz w:val="32"/>
                <w:szCs w:val="32"/>
                <w:highlight w:val="none"/>
              </w:rPr>
              <w:t>姓名：</w:t>
            </w:r>
          </w:p>
          <w:p>
            <w:pPr>
              <w:rPr>
                <w:rFonts w:hint="eastAsia"/>
                <w:b/>
                <w:bCs/>
                <w:sz w:val="32"/>
                <w:szCs w:val="32"/>
                <w:highlight w:val="none"/>
              </w:rPr>
            </w:pPr>
            <w:r>
              <w:rPr>
                <w:rFonts w:hint="eastAsia"/>
                <w:b/>
                <w:bCs/>
                <w:sz w:val="32"/>
                <w:szCs w:val="32"/>
                <w:highlight w:val="none"/>
              </w:rPr>
              <w:t>专业：</w:t>
            </w:r>
          </w:p>
          <w:p>
            <w:pPr>
              <w:rPr>
                <w:rFonts w:hint="eastAsia" w:ascii="宋体" w:hAnsi="宋体" w:cs="宋体"/>
                <w:b/>
                <w:bCs/>
                <w:sz w:val="32"/>
                <w:szCs w:val="32"/>
                <w:highlight w:val="none"/>
              </w:rPr>
            </w:pPr>
            <w:r>
              <w:rPr>
                <w:rFonts w:hint="eastAsia" w:ascii="宋体" w:hAnsi="宋体" w:cs="宋体"/>
                <w:b/>
                <w:bCs/>
                <w:sz w:val="32"/>
                <w:szCs w:val="32"/>
                <w:highlight w:val="none"/>
              </w:rPr>
              <w:t>单位名称：</w:t>
            </w:r>
          </w:p>
          <w:p>
            <w:pPr>
              <w:rPr>
                <w:rFonts w:hint="eastAsia"/>
                <w:highlight w:val="none"/>
              </w:rPr>
            </w:pPr>
          </w:p>
        </w:tc>
        <w:tc>
          <w:tcPr>
            <w:tcW w:w="5513" w:type="dxa"/>
            <w:vAlign w:val="top"/>
          </w:tcPr>
          <w:p>
            <w:pPr>
              <w:jc w:val="left"/>
              <w:rPr>
                <w:rFonts w:hint="eastAsia"/>
                <w:highlight w:val="none"/>
              </w:rPr>
            </w:pPr>
            <w:r>
              <w:rPr>
                <w:rFonts w:hint="eastAsia"/>
                <w:highlight w:val="none"/>
              </w:rPr>
              <w:t>　　　</w:t>
            </w:r>
          </w:p>
          <w:p>
            <w:pPr>
              <w:jc w:val="left"/>
              <w:rPr>
                <w:rFonts w:hint="eastAsia"/>
                <w:sz w:val="32"/>
                <w:szCs w:val="32"/>
                <w:highlight w:val="none"/>
              </w:rPr>
            </w:pPr>
            <w:r>
              <w:rPr>
                <w:rFonts w:hint="eastAsia"/>
                <w:sz w:val="32"/>
                <w:szCs w:val="32"/>
                <w:highlight w:val="none"/>
              </w:rPr>
              <w:t>于</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rPr>
              <w:t>月至</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月完成</w:t>
            </w:r>
          </w:p>
          <w:p>
            <w:pPr>
              <w:jc w:val="left"/>
              <w:rPr>
                <w:rFonts w:hint="eastAsia"/>
                <w:sz w:val="32"/>
                <w:szCs w:val="32"/>
                <w:highlight w:val="none"/>
              </w:rPr>
            </w:pPr>
            <w:r>
              <w:rPr>
                <w:rFonts w:hint="eastAsia"/>
                <w:sz w:val="32"/>
                <w:szCs w:val="32"/>
                <w:highlight w:val="none"/>
              </w:rPr>
              <w:t>医防融合</w:t>
            </w:r>
            <w:r>
              <w:rPr>
                <w:rFonts w:hint="eastAsia"/>
                <w:sz w:val="32"/>
                <w:szCs w:val="32"/>
                <w:highlight w:val="none"/>
                <w:u w:val="single"/>
              </w:rPr>
              <w:t>　　　　　　　</w:t>
            </w:r>
            <w:r>
              <w:rPr>
                <w:rFonts w:hint="eastAsia"/>
                <w:sz w:val="32"/>
                <w:szCs w:val="32"/>
                <w:highlight w:val="none"/>
              </w:rPr>
              <w:t>培训部分。</w:t>
            </w:r>
          </w:p>
          <w:p>
            <w:pPr>
              <w:rPr>
                <w:rFonts w:hint="eastAsia"/>
                <w:sz w:val="32"/>
                <w:szCs w:val="32"/>
                <w:highlight w:val="none"/>
              </w:rPr>
            </w:pPr>
          </w:p>
          <w:p>
            <w:pPr>
              <w:rPr>
                <w:rFonts w:hint="eastAsia"/>
                <w:sz w:val="32"/>
                <w:szCs w:val="32"/>
                <w:highlight w:val="none"/>
              </w:rPr>
            </w:pPr>
            <w:r>
              <w:rPr>
                <w:rFonts w:hint="eastAsia"/>
                <w:sz w:val="32"/>
                <w:szCs w:val="32"/>
                <w:highlight w:val="none"/>
              </w:rPr>
              <w:t>　培训单位：</w:t>
            </w:r>
            <w:r>
              <w:rPr>
                <w:rFonts w:hint="eastAsia"/>
                <w:sz w:val="32"/>
                <w:szCs w:val="32"/>
                <w:highlight w:val="none"/>
                <w:u w:val="single"/>
              </w:rPr>
              <w:t>　　　　　　</w:t>
            </w:r>
            <w:r>
              <w:rPr>
                <w:rFonts w:hint="eastAsia"/>
                <w:sz w:val="32"/>
                <w:szCs w:val="32"/>
                <w:highlight w:val="none"/>
              </w:rPr>
              <w:t>（盖章）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jc w:val="center"/>
        </w:trPr>
        <w:tc>
          <w:tcPr>
            <w:tcW w:w="4685" w:type="dxa"/>
            <w:vAlign w:val="top"/>
          </w:tcPr>
          <w:p>
            <w:pPr>
              <w:jc w:val="left"/>
              <w:rPr>
                <w:rFonts w:hint="eastAsia"/>
                <w:sz w:val="32"/>
                <w:szCs w:val="32"/>
                <w:highlight w:val="none"/>
              </w:rPr>
            </w:pPr>
            <w:r>
              <w:rPr>
                <w:rFonts w:hint="eastAsia"/>
                <w:sz w:val="32"/>
                <w:szCs w:val="32"/>
                <w:highlight w:val="none"/>
              </w:rPr>
              <w:t>　　</w:t>
            </w:r>
          </w:p>
          <w:p>
            <w:pPr>
              <w:jc w:val="left"/>
              <w:rPr>
                <w:rFonts w:hint="eastAsia"/>
                <w:sz w:val="32"/>
                <w:szCs w:val="32"/>
                <w:highlight w:val="none"/>
              </w:rPr>
            </w:pPr>
            <w:r>
              <w:rPr>
                <w:rFonts w:hint="eastAsia"/>
                <w:sz w:val="32"/>
                <w:szCs w:val="32"/>
                <w:highlight w:val="none"/>
                <w:lang w:val="en-US" w:eastAsia="zh-CN"/>
              </w:rPr>
              <w:t xml:space="preserve">    </w:t>
            </w:r>
            <w:r>
              <w:rPr>
                <w:rFonts w:hint="eastAsia"/>
                <w:sz w:val="32"/>
                <w:szCs w:val="32"/>
                <w:highlight w:val="none"/>
              </w:rPr>
              <w:t>于</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月至</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月完成医防融合</w:t>
            </w:r>
            <w:r>
              <w:rPr>
                <w:rFonts w:hint="eastAsia"/>
                <w:sz w:val="32"/>
                <w:szCs w:val="32"/>
                <w:highlight w:val="none"/>
                <w:u w:val="single"/>
              </w:rPr>
              <w:t>　　　　　　</w:t>
            </w:r>
            <w:r>
              <w:rPr>
                <w:rFonts w:hint="eastAsia"/>
                <w:sz w:val="32"/>
                <w:szCs w:val="32"/>
                <w:highlight w:val="none"/>
              </w:rPr>
              <w:t>培训部分。</w:t>
            </w:r>
          </w:p>
          <w:p>
            <w:pPr>
              <w:ind w:firstLine="800"/>
              <w:rPr>
                <w:rFonts w:hint="eastAsia"/>
                <w:sz w:val="32"/>
                <w:szCs w:val="32"/>
                <w:highlight w:val="none"/>
              </w:rPr>
            </w:pPr>
          </w:p>
          <w:p>
            <w:pPr>
              <w:rPr>
                <w:rFonts w:hint="eastAsia"/>
                <w:highlight w:val="none"/>
              </w:rPr>
            </w:pPr>
            <w:r>
              <w:rPr>
                <w:rFonts w:hint="eastAsia"/>
                <w:sz w:val="32"/>
                <w:szCs w:val="32"/>
                <w:highlight w:val="none"/>
              </w:rPr>
              <w:t>　培训单位：</w:t>
            </w:r>
            <w:r>
              <w:rPr>
                <w:rFonts w:hint="eastAsia"/>
                <w:sz w:val="32"/>
                <w:szCs w:val="32"/>
                <w:highlight w:val="none"/>
                <w:u w:val="single"/>
              </w:rPr>
              <w:t>　　　　　　</w:t>
            </w:r>
            <w:r>
              <w:rPr>
                <w:rFonts w:hint="eastAsia"/>
                <w:sz w:val="32"/>
                <w:szCs w:val="32"/>
                <w:highlight w:val="none"/>
              </w:rPr>
              <w:t>（盖章）</w:t>
            </w:r>
          </w:p>
        </w:tc>
        <w:tc>
          <w:tcPr>
            <w:tcW w:w="5513" w:type="dxa"/>
            <w:vAlign w:val="top"/>
          </w:tcPr>
          <w:p>
            <w:pPr>
              <w:jc w:val="left"/>
              <w:rPr>
                <w:rFonts w:hint="eastAsia"/>
                <w:sz w:val="32"/>
                <w:szCs w:val="32"/>
                <w:highlight w:val="none"/>
              </w:rPr>
            </w:pPr>
            <w:r>
              <w:rPr>
                <w:rFonts w:hint="eastAsia"/>
                <w:sz w:val="32"/>
                <w:szCs w:val="32"/>
                <w:highlight w:val="none"/>
              </w:rPr>
              <w:t>　　</w:t>
            </w:r>
          </w:p>
          <w:p>
            <w:pPr>
              <w:ind w:firstLine="640" w:firstLineChars="200"/>
              <w:jc w:val="left"/>
              <w:rPr>
                <w:rFonts w:hint="eastAsia"/>
                <w:sz w:val="32"/>
                <w:szCs w:val="32"/>
                <w:highlight w:val="none"/>
              </w:rPr>
            </w:pPr>
            <w:r>
              <w:rPr>
                <w:rFonts w:hint="eastAsia"/>
                <w:sz w:val="32"/>
                <w:szCs w:val="32"/>
                <w:highlight w:val="none"/>
              </w:rPr>
              <w:t>于</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rPr>
              <w:t>月至</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w:t>
            </w:r>
          </w:p>
          <w:p>
            <w:pPr>
              <w:ind w:firstLine="640" w:firstLineChars="200"/>
              <w:jc w:val="left"/>
              <w:rPr>
                <w:rFonts w:hint="eastAsia"/>
                <w:sz w:val="32"/>
                <w:szCs w:val="32"/>
                <w:highlight w:val="none"/>
                <w:u w:val="single"/>
              </w:rPr>
            </w:pPr>
            <w:r>
              <w:rPr>
                <w:rFonts w:hint="eastAsia"/>
                <w:sz w:val="32"/>
                <w:szCs w:val="32"/>
                <w:highlight w:val="none"/>
              </w:rPr>
              <w:t>完成医防融合</w:t>
            </w:r>
            <w:r>
              <w:rPr>
                <w:rFonts w:hint="eastAsia"/>
                <w:sz w:val="32"/>
                <w:szCs w:val="32"/>
                <w:highlight w:val="none"/>
                <w:u w:val="single"/>
              </w:rPr>
              <w:t>　　　　　　　</w:t>
            </w:r>
          </w:p>
          <w:p>
            <w:pPr>
              <w:ind w:firstLine="0" w:firstLineChars="0"/>
              <w:jc w:val="left"/>
              <w:rPr>
                <w:rFonts w:hint="eastAsia"/>
                <w:sz w:val="32"/>
                <w:szCs w:val="32"/>
                <w:highlight w:val="none"/>
              </w:rPr>
            </w:pPr>
            <w:r>
              <w:rPr>
                <w:rFonts w:hint="eastAsia"/>
                <w:sz w:val="32"/>
                <w:szCs w:val="32"/>
                <w:highlight w:val="none"/>
              </w:rPr>
              <w:t>培训部分。</w:t>
            </w:r>
          </w:p>
          <w:p>
            <w:pPr>
              <w:ind w:firstLine="839"/>
              <w:rPr>
                <w:rFonts w:hint="eastAsia"/>
                <w:sz w:val="32"/>
                <w:szCs w:val="32"/>
                <w:highlight w:val="none"/>
              </w:rPr>
            </w:pPr>
          </w:p>
          <w:p>
            <w:pPr>
              <w:rPr>
                <w:rFonts w:hint="eastAsia"/>
                <w:highlight w:val="none"/>
              </w:rPr>
            </w:pPr>
            <w:r>
              <w:rPr>
                <w:rFonts w:hint="eastAsia"/>
                <w:sz w:val="32"/>
                <w:szCs w:val="32"/>
                <w:highlight w:val="none"/>
              </w:rPr>
              <w:t>　培训单位：</w:t>
            </w:r>
            <w:r>
              <w:rPr>
                <w:rFonts w:hint="eastAsia"/>
                <w:sz w:val="32"/>
                <w:szCs w:val="32"/>
                <w:highlight w:val="none"/>
                <w:u w:val="single"/>
              </w:rPr>
              <w:t>　　　　　　</w:t>
            </w:r>
            <w:r>
              <w:rPr>
                <w:rFonts w:hint="eastAsia"/>
                <w:sz w:val="32"/>
                <w:szCs w:val="32"/>
                <w:highlight w:val="none"/>
              </w:rPr>
              <w:t>（盖章）</w:t>
            </w:r>
          </w:p>
        </w:tc>
      </w:tr>
    </w:tbl>
    <w:p>
      <w:pPr>
        <w:jc w:val="right"/>
        <w:rPr>
          <w:rFonts w:hint="eastAsia"/>
          <w:sz w:val="32"/>
          <w:szCs w:val="32"/>
          <w:highlight w:val="none"/>
        </w:rPr>
      </w:pPr>
      <w:r>
        <w:rPr>
          <w:rFonts w:hint="eastAsia"/>
          <w:sz w:val="32"/>
          <w:szCs w:val="32"/>
          <w:highlight w:val="none"/>
        </w:rPr>
        <w:t>　　　　　　　　</w:t>
      </w:r>
    </w:p>
    <w:p>
      <w:pPr>
        <w:jc w:val="right"/>
        <w:rPr>
          <w:rFonts w:hint="eastAsia"/>
          <w:sz w:val="32"/>
          <w:szCs w:val="32"/>
          <w:highlight w:val="none"/>
        </w:rPr>
      </w:pPr>
    </w:p>
    <w:p>
      <w:pPr>
        <w:jc w:val="right"/>
        <w:rPr>
          <w:rFonts w:hint="eastAsia"/>
          <w:sz w:val="32"/>
          <w:szCs w:val="32"/>
          <w:highlight w:val="none"/>
        </w:rPr>
      </w:pPr>
    </w:p>
    <w:p>
      <w:pPr>
        <w:jc w:val="right"/>
        <w:rPr>
          <w:rFonts w:hint="eastAsia"/>
          <w:sz w:val="32"/>
          <w:szCs w:val="32"/>
          <w:highlight w:val="none"/>
        </w:rPr>
      </w:pPr>
    </w:p>
    <w:p>
      <w:pPr>
        <w:jc w:val="center"/>
        <w:rPr>
          <w:rFonts w:hint="eastAsia"/>
          <w:sz w:val="32"/>
          <w:szCs w:val="32"/>
          <w:highlight w:val="none"/>
        </w:rPr>
      </w:pPr>
    </w:p>
    <w:p>
      <w:pPr>
        <w:jc w:val="center"/>
      </w:pPr>
      <w:r>
        <w:rPr>
          <w:rFonts w:hint="eastAsia"/>
          <w:sz w:val="32"/>
          <w:szCs w:val="32"/>
          <w:highlight w:val="none"/>
        </w:rPr>
        <w:t xml:space="preserve"> (北京市卫生健康委科教处监制)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C5798"/>
    <w:multiLevelType w:val="singleLevel"/>
    <w:tmpl w:val="A3DC5798"/>
    <w:lvl w:ilvl="0" w:tentative="0">
      <w:start w:val="7"/>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pPr>
        <w:ind w:left="640" w:firstLine="0"/>
      </w:pPr>
      <w:rPr>
        <w:rFonts w:hint="eastAsia"/>
      </w:rPr>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abstractNum w:abstractNumId="3">
    <w:nsid w:val="5F88175D"/>
    <w:multiLevelType w:val="singleLevel"/>
    <w:tmpl w:val="5F88175D"/>
    <w:lvl w:ilvl="0" w:tentative="0">
      <w:start w:val="1"/>
      <w:numFmt w:val="chineseCounting"/>
      <w:suff w:val="nothing"/>
      <w:lvlText w:val="（%1）"/>
      <w:lvlJc w:val="left"/>
    </w:lvl>
  </w:abstractNum>
  <w:abstractNum w:abstractNumId="4">
    <w:nsid w:val="5FA0F9D5"/>
    <w:multiLevelType w:val="singleLevel"/>
    <w:tmpl w:val="5FA0F9D5"/>
    <w:lvl w:ilvl="0" w:tentative="0">
      <w:start w:val="2"/>
      <w:numFmt w:val="chineseCounting"/>
      <w:suff w:val="nothing"/>
      <w:lvlText w:val="（%1）"/>
      <w:lvlJc w:val="left"/>
    </w:lvl>
  </w:abstractNum>
  <w:abstractNum w:abstractNumId="5">
    <w:nsid w:val="5FB38B1C"/>
    <w:multiLevelType w:val="singleLevel"/>
    <w:tmpl w:val="5FB38B1C"/>
    <w:lvl w:ilvl="0" w:tentative="0">
      <w:start w:val="2"/>
      <w:numFmt w:val="chineseCounting"/>
      <w:suff w:val="nothing"/>
      <w:lvlText w:val="（%1）"/>
      <w:lvlJc w:val="left"/>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07F9A"/>
    <w:rsid w:val="4EBE5F1B"/>
    <w:rsid w:val="5270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rFonts w:ascii="Times New Roman" w:hAnsi="Times New Roman" w:eastAsia="楷体_GB2312" w:cs="Times New Roma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customStyle="1" w:styleId="8">
    <w:name w:val="文内1"/>
    <w:qFormat/>
    <w:uiPriority w:val="0"/>
    <w:pPr>
      <w:spacing w:beforeLines="50" w:line="360" w:lineRule="exact"/>
    </w:pPr>
    <w:rPr>
      <w:rFonts w:ascii="黑体" w:hAnsi="黑体" w:eastAsia="黑体" w:cstheme="minorBidi"/>
      <w:b/>
      <w:color w:val="000000"/>
      <w:sz w:val="24"/>
      <w:szCs w:val="24"/>
      <w:lang w:val="en-US" w:eastAsia="zh-CN" w:bidi="ar-SA"/>
    </w:rPr>
  </w:style>
  <w:style w:type="paragraph" w:customStyle="1" w:styleId="9">
    <w:name w:val="_Style 6"/>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2020-12-16T01:46:00Z</dcterms:created>
  <dc:creator>admin</dc:creator>
  <cp:lastModifiedBy>admin</cp:lastModifiedBy>
  <dcterms:modified xsi:type="dcterms:W3CDTF">2020-12-16T01:57:13Z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