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820"/>
          <w:tab w:val="left" w:pos="7513"/>
        </w:tabs>
        <w:spacing w:line="560" w:lineRule="exact"/>
        <w:jc w:val="left"/>
        <w:rPr>
          <w:rFonts w:hint="eastAsia" w:ascii="黑体" w:hAnsi="黑体" w:eastAsia="黑体" w:cs="黑体"/>
          <w:bCs/>
          <w:sz w:val="32"/>
          <w:szCs w:val="32"/>
          <w:lang w:eastAsia="zh-CN"/>
        </w:rPr>
      </w:pPr>
      <w:r>
        <w:rPr>
          <w:rFonts w:hint="eastAsia" w:ascii="黑体" w:hAnsi="黑体" w:eastAsia="黑体" w:cs="黑体"/>
          <w:bCs/>
          <w:sz w:val="32"/>
          <w:szCs w:val="32"/>
          <w:lang w:eastAsia="zh-CN"/>
        </w:rPr>
        <w:t>附件</w:t>
      </w:r>
    </w:p>
    <w:p>
      <w:pPr>
        <w:tabs>
          <w:tab w:val="left" w:pos="4820"/>
          <w:tab w:val="left" w:pos="7513"/>
        </w:tabs>
        <w:spacing w:line="560" w:lineRule="exact"/>
        <w:jc w:val="center"/>
        <w:rPr>
          <w:rFonts w:hint="eastAsia" w:ascii="方正小标宋简体" w:hAnsi="文星标宋" w:eastAsia="方正小标宋简体" w:cs="华文中宋"/>
          <w:bCs/>
          <w:sz w:val="44"/>
          <w:szCs w:val="44"/>
        </w:rPr>
      </w:pPr>
      <w:r>
        <w:rPr>
          <w:rFonts w:hint="eastAsia" w:ascii="方正小标宋简体" w:hAnsi="文星标宋" w:eastAsia="方正小标宋简体" w:cs="华文中宋"/>
          <w:bCs/>
          <w:sz w:val="44"/>
          <w:szCs w:val="44"/>
          <w:lang w:eastAsia="zh-CN"/>
        </w:rPr>
        <w:t>《</w:t>
      </w:r>
      <w:r>
        <w:rPr>
          <w:rFonts w:hint="eastAsia" w:ascii="方正小标宋简体" w:hAnsi="文星标宋" w:eastAsia="方正小标宋简体" w:cs="华文中宋"/>
          <w:bCs/>
          <w:sz w:val="44"/>
          <w:szCs w:val="44"/>
        </w:rPr>
        <w:t>大兴区中小微餐饮企业担保贷款</w:t>
      </w:r>
    </w:p>
    <w:p>
      <w:pPr>
        <w:tabs>
          <w:tab w:val="left" w:pos="4820"/>
          <w:tab w:val="left" w:pos="7513"/>
        </w:tabs>
        <w:spacing w:line="560" w:lineRule="exact"/>
        <w:jc w:val="center"/>
        <w:rPr>
          <w:rFonts w:hint="eastAsia" w:ascii="方正小标宋简体" w:hAnsi="文星标宋" w:eastAsia="方正小标宋简体" w:cs="华文中宋"/>
          <w:bCs/>
          <w:sz w:val="44"/>
          <w:szCs w:val="44"/>
          <w:lang w:eastAsia="zh-CN"/>
        </w:rPr>
      </w:pPr>
      <w:r>
        <w:rPr>
          <w:rFonts w:hint="eastAsia" w:ascii="方正小标宋简体" w:hAnsi="文星标宋" w:eastAsia="方正小标宋简体" w:cs="华文中宋"/>
          <w:bCs/>
          <w:sz w:val="44"/>
          <w:szCs w:val="44"/>
        </w:rPr>
        <w:t>政策实施细则</w:t>
      </w:r>
      <w:r>
        <w:rPr>
          <w:rFonts w:hint="eastAsia" w:ascii="方正小标宋简体" w:hAnsi="文星标宋" w:eastAsia="方正小标宋简体" w:cs="华文中宋"/>
          <w:bCs/>
          <w:sz w:val="44"/>
          <w:szCs w:val="44"/>
          <w:lang w:eastAsia="zh-CN"/>
        </w:rPr>
        <w:t>（修订版</w:t>
      </w:r>
      <w:r>
        <w:rPr>
          <w:rFonts w:hint="eastAsia" w:ascii="方正小标宋简体" w:hAnsi="文星标宋" w:eastAsia="方正小标宋简体" w:cs="华文中宋"/>
          <w:bCs/>
          <w:sz w:val="44"/>
          <w:szCs w:val="44"/>
          <w:lang w:val="en-US" w:eastAsia="zh-CN"/>
        </w:rPr>
        <w:t>V2.0</w:t>
      </w:r>
      <w:r>
        <w:rPr>
          <w:rFonts w:hint="eastAsia" w:ascii="方正小标宋简体" w:hAnsi="文星标宋" w:eastAsia="方正小标宋简体" w:cs="华文中宋"/>
          <w:bCs/>
          <w:sz w:val="44"/>
          <w:szCs w:val="44"/>
          <w:lang w:eastAsia="zh-CN"/>
        </w:rPr>
        <w:t>）》（征求意见稿）</w:t>
      </w:r>
    </w:p>
    <w:p>
      <w:pPr>
        <w:ind w:firstLine="640" w:firstLineChars="200"/>
        <w:rPr>
          <w:rFonts w:hint="eastAsia" w:ascii="仿宋_GB2312" w:hAnsi="仿宋_GB2312" w:eastAsia="仿宋_GB2312" w:cs="仿宋_GB2312"/>
          <w:sz w:val="32"/>
        </w:rPr>
      </w:pP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为落实《大兴区关于进一步支持中小微企业应对疫情影响保持平稳发展的若干措施》（京兴政办发〔2020〕13号）文件精神，解决企业融资难、融资贵，降低疫情对餐饮业发展的影响，帮助企业渡过难关，大兴区充分发挥财政资金的引导撬动作用，依托专业担保机构对符合条件的餐饮企业在商业银行办理贷款时提供担保，具体实施细则如下：</w:t>
      </w:r>
    </w:p>
    <w:p>
      <w:pPr>
        <w:spacing w:line="600" w:lineRule="exact"/>
        <w:ind w:firstLine="640" w:firstLineChars="200"/>
        <w:rPr>
          <w:rFonts w:ascii="Times New Roman" w:hAnsi="Times New Roman" w:eastAsia="黑体" w:cs="黑体"/>
          <w:kern w:val="0"/>
          <w:sz w:val="32"/>
          <w:szCs w:val="32"/>
        </w:rPr>
      </w:pPr>
      <w:r>
        <w:rPr>
          <w:rFonts w:hint="eastAsia" w:ascii="Times New Roman" w:hAnsi="Times New Roman" w:eastAsia="黑体" w:cs="黑体"/>
          <w:kern w:val="0"/>
          <w:sz w:val="32"/>
          <w:szCs w:val="32"/>
        </w:rPr>
        <w:t>一、</w:t>
      </w:r>
      <w:r>
        <w:rPr>
          <w:rFonts w:ascii="Times New Roman" w:hAnsi="Times New Roman" w:eastAsia="黑体" w:cs="黑体"/>
          <w:kern w:val="0"/>
          <w:sz w:val="32"/>
          <w:szCs w:val="32"/>
        </w:rPr>
        <w:t>支持</w:t>
      </w:r>
      <w:r>
        <w:rPr>
          <w:rFonts w:hint="eastAsia" w:ascii="Times New Roman" w:hAnsi="Times New Roman" w:eastAsia="黑体" w:cs="黑体"/>
          <w:kern w:val="0"/>
          <w:sz w:val="32"/>
          <w:szCs w:val="32"/>
        </w:rPr>
        <w:t>范围</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在大兴区注册并正常经营、信用记录良好、在商业银行办理信贷业务的中小微餐饮企业（企业规模划分参照工信部联企业〔2011〕300号文件）。</w:t>
      </w:r>
    </w:p>
    <w:p>
      <w:pPr>
        <w:spacing w:line="600" w:lineRule="exact"/>
        <w:ind w:firstLine="640" w:firstLineChars="200"/>
        <w:rPr>
          <w:rFonts w:ascii="Times New Roman" w:hAnsi="Times New Roman" w:eastAsia="黑体" w:cs="黑体"/>
          <w:kern w:val="0"/>
          <w:sz w:val="32"/>
          <w:szCs w:val="32"/>
        </w:rPr>
      </w:pPr>
      <w:r>
        <w:rPr>
          <w:rFonts w:hint="eastAsia" w:ascii="Times New Roman" w:hAnsi="Times New Roman" w:eastAsia="黑体" w:cs="黑体"/>
          <w:kern w:val="0"/>
          <w:sz w:val="32"/>
          <w:szCs w:val="32"/>
        </w:rPr>
        <w:t>二、支持标准</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w:t>
      </w:r>
      <w:r>
        <w:rPr>
          <w:rFonts w:hint="eastAsia" w:ascii="仿宋_GB2312" w:hAnsi="仿宋_GB2312" w:eastAsia="仿宋_GB2312" w:cs="仿宋_GB2312"/>
          <w:sz w:val="32"/>
          <w:szCs w:val="32"/>
          <w:lang w:val="en-US" w:eastAsia="zh-CN"/>
        </w:rPr>
        <w:t>对符合条件的中小微餐饮企业，自本细则发布之日至2021年12月31日前提交完整资料的餐饮企业给予贷款担保，</w:t>
      </w:r>
      <w:r>
        <w:rPr>
          <w:rFonts w:hint="eastAsia" w:ascii="仿宋_GB2312" w:hAnsi="仿宋_GB2312" w:eastAsia="仿宋_GB2312" w:cs="仿宋_GB2312"/>
          <w:sz w:val="32"/>
        </w:rPr>
        <w:t>并对因此产生的担保费用给予财政资金支持。申请额度参考《大兴区餐饮企业分类参考表》（见表1），最高不超过200万元，期限不超过12个月。本次担保总规模不超过5000万元，根据企业提交完整材料的顺序、专业担保机构及贷款银行审批通过的顺序，先到先得。</w:t>
      </w:r>
    </w:p>
    <w:p>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2、对按期偿还贷款本息的企业（仅限本政策担保贷款），给予贴息支持，支持标准按贷款实际利率的50%给予贴息。贷款本金超出本政策担保额度产生的利息由企业自行承担。</w:t>
      </w:r>
    </w:p>
    <w:p>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3、</w:t>
      </w:r>
      <w:r>
        <w:rPr>
          <w:rFonts w:hint="eastAsia" w:ascii="仿宋_GB2312" w:hAnsi="仿宋_GB2312" w:eastAsia="仿宋_GB2312" w:cs="仿宋_GB2312"/>
          <w:sz w:val="32"/>
        </w:rPr>
        <w:t>对</w:t>
      </w:r>
      <w:r>
        <w:rPr>
          <w:rFonts w:hint="eastAsia" w:ascii="仿宋_GB2312" w:hAnsi="仿宋_GB2312" w:eastAsia="仿宋_GB2312" w:cs="仿宋_GB2312"/>
          <w:sz w:val="32"/>
          <w:lang w:val="en-US" w:eastAsia="zh-CN"/>
        </w:rPr>
        <w:t>2020年</w:t>
      </w:r>
      <w:r>
        <w:rPr>
          <w:rFonts w:hint="eastAsia" w:ascii="仿宋_GB2312" w:hAnsi="仿宋_GB2312" w:eastAsia="仿宋_GB2312" w:cs="仿宋_GB2312"/>
          <w:sz w:val="32"/>
        </w:rPr>
        <w:t>已享受该政策的餐饮企业，在按时或提前归还贷款本金及利息后，可于2021年12月31日前再次申报担保贷款</w:t>
      </w:r>
      <w:r>
        <w:rPr>
          <w:rFonts w:hint="eastAsia" w:ascii="仿宋_GB2312" w:hAnsi="仿宋_GB2312" w:eastAsia="仿宋_GB2312" w:cs="仿宋_GB2312"/>
          <w:sz w:val="32"/>
          <w:lang w:eastAsia="zh-CN"/>
        </w:rPr>
        <w:t>，</w:t>
      </w:r>
      <w:r>
        <w:rPr>
          <w:rFonts w:hint="eastAsia" w:ascii="仿宋_GB2312" w:hAnsi="仿宋_GB2312" w:eastAsia="仿宋_GB2312" w:cs="仿宋_GB2312"/>
          <w:sz w:val="32"/>
        </w:rPr>
        <w:t>再次申报担保贷款的最长期限不超过12个月。</w:t>
      </w:r>
    </w:p>
    <w:p>
      <w:pPr>
        <w:spacing w:line="600" w:lineRule="exact"/>
        <w:ind w:firstLine="640" w:firstLineChars="200"/>
        <w:rPr>
          <w:rFonts w:ascii="Times New Roman" w:hAnsi="Times New Roman" w:eastAsia="黑体" w:cs="黑体"/>
          <w:kern w:val="0"/>
          <w:sz w:val="32"/>
          <w:szCs w:val="32"/>
        </w:rPr>
      </w:pPr>
      <w:r>
        <w:rPr>
          <w:rFonts w:hint="eastAsia" w:ascii="Times New Roman" w:hAnsi="Times New Roman" w:eastAsia="黑体" w:cs="黑体"/>
          <w:kern w:val="0"/>
          <w:sz w:val="32"/>
          <w:szCs w:val="32"/>
        </w:rPr>
        <w:t>三、资金规模</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区级财政资金1000万元，预计撬动担保规模5000万元。</w:t>
      </w:r>
    </w:p>
    <w:p>
      <w:pPr>
        <w:spacing w:line="600" w:lineRule="exact"/>
        <w:ind w:firstLine="640" w:firstLineChars="200"/>
        <w:rPr>
          <w:rFonts w:ascii="Times New Roman" w:hAnsi="Times New Roman" w:eastAsia="黑体" w:cs="黑体"/>
          <w:kern w:val="0"/>
          <w:sz w:val="32"/>
          <w:szCs w:val="32"/>
        </w:rPr>
      </w:pPr>
      <w:r>
        <w:rPr>
          <w:rFonts w:hint="eastAsia" w:ascii="Times New Roman" w:hAnsi="Times New Roman" w:eastAsia="黑体" w:cs="黑体"/>
          <w:kern w:val="0"/>
          <w:sz w:val="32"/>
          <w:szCs w:val="32"/>
        </w:rPr>
        <w:t>四、运作模式</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大兴区商务局委托专业担保机构北京兴展融达融资担保有限公司（以下简称“融达担保公司”）负责专项资金的账户管理和运营。利用融达担保公司杠杆和纽带作用，引导金融机构将资金投入我区餐饮业。</w:t>
      </w:r>
    </w:p>
    <w:p>
      <w:pPr>
        <w:spacing w:line="600" w:lineRule="exact"/>
        <w:ind w:firstLine="640" w:firstLineChars="200"/>
        <w:rPr>
          <w:rFonts w:ascii="Times New Roman" w:hAnsi="Times New Roman" w:eastAsia="黑体" w:cs="黑体"/>
          <w:kern w:val="0"/>
          <w:sz w:val="32"/>
          <w:szCs w:val="32"/>
        </w:rPr>
      </w:pPr>
      <w:r>
        <w:rPr>
          <w:rFonts w:hint="eastAsia" w:ascii="Times New Roman" w:hAnsi="Times New Roman" w:eastAsia="黑体" w:cs="黑体"/>
          <w:kern w:val="0"/>
          <w:sz w:val="32"/>
          <w:szCs w:val="32"/>
        </w:rPr>
        <w:t>五、申报材料</w:t>
      </w:r>
    </w:p>
    <w:p>
      <w:pPr>
        <w:ind w:firstLine="640" w:firstLineChars="200"/>
        <w:rPr>
          <w:rFonts w:ascii="Times New Roman" w:hAnsi="Times New Roman" w:eastAsia="仿宋_GB2312" w:cs="仿宋_GB2312"/>
          <w:kern w:val="0"/>
          <w:sz w:val="32"/>
          <w:szCs w:val="32"/>
          <w:shd w:val="clear" w:color="auto" w:fill="FFFFFF"/>
        </w:rPr>
      </w:pPr>
      <w:r>
        <w:rPr>
          <w:rFonts w:hint="eastAsia" w:ascii="楷体" w:hAnsi="楷体" w:eastAsia="楷体" w:cs="楷体"/>
          <w:kern w:val="0"/>
          <w:sz w:val="32"/>
          <w:szCs w:val="32"/>
          <w:shd w:val="clear" w:color="auto" w:fill="FFFFFF"/>
        </w:rPr>
        <w:t>（一）担保贷款申报材料</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1、餐饮企业担保贷款项目申请表（包含申请企业名称、成立时间、经营年限、店铺位置、是否为自有房产、店铺面积、就餐座位数、现有在职职工人数、申请借款金额等信息）；</w:t>
      </w:r>
    </w:p>
    <w:p>
      <w:pPr>
        <w:numPr>
          <w:ilvl w:val="0"/>
          <w:numId w:val="1"/>
        </w:num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企业营业执照、法人代表身份证明等材料复印件；</w:t>
      </w:r>
    </w:p>
    <w:p>
      <w:pPr>
        <w:numPr>
          <w:ilvl w:val="0"/>
          <w:numId w:val="1"/>
        </w:numPr>
        <w:ind w:firstLine="640" w:firstLineChars="200"/>
        <w:rPr>
          <w:rFonts w:ascii="仿宋_GB2312" w:hAnsi="仿宋_GB2312" w:eastAsia="仿宋_GB2312" w:cs="仿宋_GB2312"/>
          <w:sz w:val="32"/>
        </w:rPr>
      </w:pPr>
      <w:r>
        <w:rPr>
          <w:rFonts w:hint="eastAsia" w:ascii="Times New Roman" w:hAnsi="Times New Roman" w:eastAsia="仿宋_GB2312" w:cs="仿宋_GB2312"/>
          <w:kern w:val="0"/>
          <w:sz w:val="32"/>
          <w:szCs w:val="32"/>
          <w:shd w:val="clear" w:color="auto" w:fill="FFFFFF"/>
        </w:rPr>
        <w:t>门店经营流水；</w:t>
      </w:r>
    </w:p>
    <w:p>
      <w:pPr>
        <w:numPr>
          <w:ilvl w:val="0"/>
          <w:numId w:val="1"/>
        </w:numPr>
        <w:ind w:firstLine="640" w:firstLineChars="200"/>
        <w:rPr>
          <w:rFonts w:ascii="仿宋_GB2312" w:hAnsi="仿宋_GB2312" w:eastAsia="仿宋_GB2312" w:cs="仿宋_GB2312"/>
          <w:sz w:val="32"/>
        </w:rPr>
      </w:pPr>
      <w:r>
        <w:rPr>
          <w:rFonts w:hint="eastAsia" w:ascii="Times New Roman" w:hAnsi="Times New Roman" w:eastAsia="仿宋_GB2312" w:cs="仿宋_GB2312"/>
          <w:kern w:val="0"/>
          <w:sz w:val="32"/>
          <w:szCs w:val="32"/>
          <w:shd w:val="clear" w:color="auto" w:fill="FFFFFF"/>
        </w:rPr>
        <w:t>食品经营许可证（或同类国家行政机关出具的餐饮类经营资质）；</w:t>
      </w:r>
    </w:p>
    <w:p>
      <w:pPr>
        <w:numPr>
          <w:ilvl w:val="0"/>
          <w:numId w:val="1"/>
        </w:num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企业三年内未受重大行政处罚承诺书</w:t>
      </w:r>
      <w:r>
        <w:rPr>
          <w:rFonts w:hint="eastAsia" w:ascii="Times New Roman" w:hAnsi="Times New Roman" w:eastAsia="仿宋_GB2312" w:cs="仿宋_GB2312"/>
          <w:kern w:val="0"/>
          <w:sz w:val="32"/>
          <w:szCs w:val="32"/>
          <w:shd w:val="clear" w:color="auto" w:fill="FFFFFF"/>
        </w:rPr>
        <w:t>；</w:t>
      </w:r>
    </w:p>
    <w:p>
      <w:pPr>
        <w:numPr>
          <w:ilvl w:val="0"/>
          <w:numId w:val="1"/>
        </w:numPr>
        <w:ind w:firstLine="640" w:firstLineChars="200"/>
        <w:rPr>
          <w:rFonts w:ascii="仿宋_GB2312" w:hAnsi="仿宋_GB2312" w:eastAsia="仿宋_GB2312" w:cs="仿宋_GB2312"/>
          <w:sz w:val="32"/>
        </w:rPr>
      </w:pPr>
      <w:r>
        <w:rPr>
          <w:rFonts w:hint="eastAsia" w:ascii="Times New Roman" w:hAnsi="Times New Roman" w:eastAsia="仿宋_GB2312" w:cs="仿宋_GB2312"/>
          <w:kern w:val="0"/>
          <w:sz w:val="32"/>
          <w:szCs w:val="32"/>
          <w:shd w:val="clear" w:color="auto" w:fill="FFFFFF"/>
        </w:rPr>
        <w:t>融达担保公司及合作贷款银行要求的其他有关材料。</w:t>
      </w:r>
    </w:p>
    <w:p>
      <w:pPr>
        <w:ind w:firstLine="640" w:firstLineChars="200"/>
        <w:rPr>
          <w:rFonts w:ascii="楷体" w:hAnsi="楷体" w:eastAsia="楷体" w:cs="楷体"/>
          <w:kern w:val="0"/>
          <w:sz w:val="32"/>
          <w:szCs w:val="32"/>
          <w:shd w:val="clear" w:color="auto" w:fill="FFFFFF"/>
        </w:rPr>
      </w:pPr>
      <w:r>
        <w:rPr>
          <w:rFonts w:hint="eastAsia" w:ascii="楷体" w:hAnsi="楷体" w:eastAsia="楷体" w:cs="楷体"/>
          <w:kern w:val="0"/>
          <w:sz w:val="32"/>
          <w:szCs w:val="32"/>
          <w:shd w:val="clear" w:color="auto" w:fill="FFFFFF"/>
        </w:rPr>
        <w:t>（二）担保贷款申请企业级别划分</w:t>
      </w:r>
    </w:p>
    <w:p>
      <w:pPr>
        <w:ind w:firstLine="640" w:firstLineChars="200"/>
        <w:rPr>
          <w:rFonts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专项资金所涉及的具体担保贷款额度需要在分级的基础上确定，参考下表对大兴区餐饮企业进行五级分类。</w:t>
      </w:r>
    </w:p>
    <w:p>
      <w:pPr>
        <w:jc w:val="center"/>
        <w:rPr>
          <w:rFonts w:ascii="Times New Roman" w:hAnsi="Times New Roman" w:eastAsia="仿宋_GB2312" w:cs="仿宋_GB2312"/>
          <w:kern w:val="0"/>
          <w:sz w:val="32"/>
          <w:szCs w:val="32"/>
          <w:shd w:val="clear" w:color="auto" w:fill="FFFFFF"/>
        </w:rPr>
      </w:pPr>
      <w:r>
        <w:rPr>
          <w:rFonts w:hint="eastAsia" w:ascii="Times New Roman" w:hAnsi="Times New Roman" w:eastAsia="仿宋_GB2312" w:cs="仿宋_GB2312"/>
          <w:kern w:val="0"/>
          <w:sz w:val="32"/>
          <w:szCs w:val="32"/>
          <w:shd w:val="clear" w:color="auto" w:fill="FFFFFF"/>
        </w:rPr>
        <w:t>表1 大兴区餐饮企业分类参考表</w:t>
      </w:r>
    </w:p>
    <w:tbl>
      <w:tblPr>
        <w:tblStyle w:val="5"/>
        <w:tblW w:w="88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1601"/>
        <w:gridCol w:w="1135"/>
        <w:gridCol w:w="1251"/>
        <w:gridCol w:w="1478"/>
        <w:gridCol w:w="1206"/>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分类</w:t>
            </w:r>
          </w:p>
        </w:tc>
        <w:tc>
          <w:tcPr>
            <w:tcW w:w="1601"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月平均店铺流水（万元）</w:t>
            </w:r>
          </w:p>
        </w:tc>
        <w:tc>
          <w:tcPr>
            <w:tcW w:w="1135"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经营持续时间</w:t>
            </w:r>
          </w:p>
        </w:tc>
        <w:tc>
          <w:tcPr>
            <w:tcW w:w="1251"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经营面积（平方米）</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sz w:val="28"/>
                <w:szCs w:val="28"/>
                <w:highlight w:val="none"/>
                <w:lang w:val="zh-TW" w:eastAsia="zh-TW"/>
              </w:rPr>
              <w:t>固定员</w:t>
            </w:r>
            <w:r>
              <w:rPr>
                <w:rFonts w:hint="eastAsia" w:ascii="仿宋_GB2312" w:hAnsi="仿宋_GB2312" w:eastAsia="仿宋_GB2312" w:cs="仿宋_GB2312"/>
                <w:color w:val="auto"/>
                <w:sz w:val="28"/>
                <w:szCs w:val="28"/>
                <w:highlight w:val="none"/>
                <w:lang w:val="en-US" w:eastAsia="zh-CN"/>
              </w:rPr>
              <w:t>工</w:t>
            </w:r>
          </w:p>
        </w:tc>
        <w:tc>
          <w:tcPr>
            <w:tcW w:w="1206"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就餐座位数（个）</w:t>
            </w:r>
          </w:p>
        </w:tc>
        <w:tc>
          <w:tcPr>
            <w:tcW w:w="1308"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rPr>
              <w:t>担保</w:t>
            </w:r>
            <w:r>
              <w:rPr>
                <w:rFonts w:hint="eastAsia" w:ascii="仿宋_GB2312" w:hAnsi="仿宋_GB2312" w:eastAsia="仿宋_GB2312" w:cs="仿宋_GB2312"/>
                <w:sz w:val="28"/>
                <w:szCs w:val="28"/>
                <w:lang w:val="zh-TW" w:eastAsia="zh-TW"/>
              </w:rPr>
              <w:t>额度</w:t>
            </w:r>
            <w:r>
              <w:rPr>
                <w:rFonts w:hint="eastAsia" w:ascii="仿宋_GB2312" w:hAnsi="仿宋_GB2312" w:eastAsia="仿宋_GB2312" w:cs="仿宋_GB2312"/>
                <w:sz w:val="28"/>
                <w:szCs w:val="28"/>
                <w:lang w:val="zh-TW"/>
              </w:rPr>
              <w:t>上限</w:t>
            </w:r>
            <w:r>
              <w:rPr>
                <w:rFonts w:hint="eastAsia" w:ascii="仿宋_GB2312" w:hAnsi="仿宋_GB2312" w:eastAsia="仿宋_GB2312" w:cs="仿宋_GB2312"/>
                <w:sz w:val="28"/>
                <w:szCs w:val="28"/>
                <w:lang w:val="zh-TW" w:eastAsia="zh-TW"/>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4"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A</w:t>
            </w:r>
          </w:p>
        </w:tc>
        <w:tc>
          <w:tcPr>
            <w:tcW w:w="1601"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eastAsia="zh-TW"/>
              </w:rPr>
              <w:t>不低于</w:t>
            </w:r>
            <w:r>
              <w:rPr>
                <w:rFonts w:hint="eastAsia" w:ascii="仿宋_GB2312" w:hAnsi="仿宋_GB2312" w:eastAsia="仿宋_GB2312" w:cs="仿宋_GB2312"/>
                <w:sz w:val="28"/>
                <w:szCs w:val="28"/>
              </w:rPr>
              <w:t>200</w:t>
            </w:r>
            <w:r>
              <w:rPr>
                <w:rFonts w:hint="eastAsia" w:ascii="仿宋_GB2312" w:hAnsi="仿宋_GB2312" w:eastAsia="仿宋_GB2312" w:cs="仿宋_GB2312"/>
                <w:sz w:val="28"/>
                <w:szCs w:val="28"/>
                <w:lang w:eastAsia="zh-TW"/>
              </w:rPr>
              <w:t>（含</w:t>
            </w:r>
            <w:r>
              <w:rPr>
                <w:rFonts w:hint="eastAsia" w:ascii="仿宋_GB2312" w:hAnsi="仿宋_GB2312" w:eastAsia="仿宋_GB2312" w:cs="仿宋_GB2312"/>
                <w:sz w:val="28"/>
                <w:szCs w:val="28"/>
              </w:rPr>
              <w:t>200</w:t>
            </w:r>
            <w:r>
              <w:rPr>
                <w:rFonts w:hint="eastAsia" w:ascii="仿宋_GB2312" w:hAnsi="仿宋_GB2312" w:eastAsia="仿宋_GB2312" w:cs="仿宋_GB2312"/>
                <w:sz w:val="28"/>
                <w:szCs w:val="28"/>
                <w:lang w:eastAsia="zh-TW"/>
              </w:rPr>
              <w:t>）</w:t>
            </w:r>
          </w:p>
        </w:tc>
        <w:tc>
          <w:tcPr>
            <w:tcW w:w="1135"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rPr>
              <w:t>不低于5年</w:t>
            </w:r>
          </w:p>
        </w:tc>
        <w:tc>
          <w:tcPr>
            <w:tcW w:w="1251" w:type="dxa"/>
            <w:vAlign w:val="center"/>
          </w:tcPr>
          <w:p>
            <w:pPr>
              <w:spacing w:line="480" w:lineRule="exact"/>
              <w:jc w:val="center"/>
              <w:rPr>
                <w:rFonts w:ascii="仿宋_GB2312" w:hAnsi="仿宋_GB2312" w:eastAsia="仿宋_GB2312" w:cs="仿宋_GB2312"/>
                <w:sz w:val="28"/>
                <w:szCs w:val="28"/>
              </w:rPr>
            </w:pPr>
            <w:r>
              <w:rPr>
                <w:rFonts w:hint="eastAsia" w:ascii="仿宋_GB2312" w:hAnsi="宋体" w:eastAsia="仿宋_GB2312" w:cs="仿宋_GB2312"/>
                <w:sz w:val="28"/>
                <w:szCs w:val="28"/>
                <w:lang w:val="zh-TW" w:eastAsia="zh-TW"/>
              </w:rPr>
              <w:t>不低于</w:t>
            </w:r>
            <w:r>
              <w:rPr>
                <w:rFonts w:hint="eastAsia" w:ascii="仿宋_GB2312" w:hAnsi="仿宋_GB2312" w:eastAsia="仿宋_GB2312" w:cs="仿宋_GB2312"/>
                <w:sz w:val="28"/>
                <w:szCs w:val="28"/>
              </w:rPr>
              <w:t>200</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sz w:val="28"/>
                <w:szCs w:val="28"/>
                <w:highlight w:val="none"/>
                <w:lang w:val="zh-TW" w:eastAsia="zh-TW"/>
              </w:rPr>
              <w:t>不低于10</w:t>
            </w:r>
            <w:r>
              <w:rPr>
                <w:rFonts w:hint="eastAsia" w:ascii="仿宋_GB2312" w:hAnsi="仿宋_GB2312" w:eastAsia="仿宋_GB2312" w:cs="仿宋_GB2312"/>
                <w:color w:val="auto"/>
                <w:sz w:val="28"/>
                <w:szCs w:val="28"/>
                <w:highlight w:val="none"/>
                <w:lang w:val="zh-TW" w:eastAsia="zh-CN"/>
              </w:rPr>
              <w:t>人</w:t>
            </w:r>
            <w:r>
              <w:rPr>
                <w:rFonts w:hint="eastAsia" w:ascii="仿宋_GB2312" w:hAnsi="仿宋_GB2312" w:eastAsia="仿宋_GB2312" w:cs="仿宋_GB2312"/>
                <w:color w:val="auto"/>
                <w:sz w:val="28"/>
                <w:szCs w:val="28"/>
                <w:highlight w:val="none"/>
                <w:lang w:val="zh-TW" w:eastAsia="zh-TW"/>
              </w:rPr>
              <w:t xml:space="preserve"> </w:t>
            </w:r>
          </w:p>
        </w:tc>
        <w:tc>
          <w:tcPr>
            <w:tcW w:w="1206"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lang w:val="zh-TW" w:eastAsia="zh-TW"/>
              </w:rPr>
              <w:t>不低于</w:t>
            </w:r>
            <w:r>
              <w:rPr>
                <w:rFonts w:hint="eastAsia" w:ascii="仿宋_GB2312" w:hAnsi="仿宋_GB2312" w:eastAsia="宋体" w:cs="仿宋_GB2312"/>
                <w:sz w:val="28"/>
                <w:szCs w:val="28"/>
              </w:rPr>
              <w:t>100</w:t>
            </w:r>
          </w:p>
        </w:tc>
        <w:tc>
          <w:tcPr>
            <w:tcW w:w="130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864"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B</w:t>
            </w:r>
          </w:p>
        </w:tc>
        <w:tc>
          <w:tcPr>
            <w:tcW w:w="1601" w:type="dxa"/>
            <w:vAlign w:val="center"/>
          </w:tcPr>
          <w:p>
            <w:pPr>
              <w:spacing w:line="480" w:lineRule="exact"/>
              <w:jc w:val="center"/>
              <w:rPr>
                <w:rFonts w:ascii="仿宋_GB2312" w:hAnsi="仿宋_GB2312" w:eastAsia="仿宋_GB2312" w:cs="仿宋_GB2312"/>
                <w:sz w:val="28"/>
                <w:szCs w:val="28"/>
                <w:lang w:eastAsia="zh-TW"/>
              </w:rPr>
            </w:pPr>
            <w:r>
              <w:rPr>
                <w:rFonts w:hint="eastAsia" w:ascii="仿宋_GB2312" w:hAnsi="仿宋_GB2312" w:eastAsia="仿宋_GB2312" w:cs="仿宋_GB2312"/>
                <w:sz w:val="28"/>
                <w:szCs w:val="28"/>
                <w:lang w:eastAsia="zh-TW"/>
              </w:rPr>
              <w:t>不低于100（含1</w:t>
            </w:r>
            <w:r>
              <w:rPr>
                <w:rFonts w:ascii="仿宋_GB2312" w:hAnsi="仿宋_GB2312" w:eastAsia="仿宋_GB2312" w:cs="仿宋_GB2312"/>
                <w:sz w:val="28"/>
                <w:szCs w:val="28"/>
                <w:lang w:eastAsia="zh-TW"/>
              </w:rPr>
              <w:t>00</w:t>
            </w:r>
            <w:r>
              <w:rPr>
                <w:rFonts w:hint="eastAsia" w:ascii="仿宋_GB2312" w:hAnsi="仿宋_GB2312" w:eastAsia="仿宋_GB2312" w:cs="仿宋_GB2312"/>
                <w:sz w:val="28"/>
                <w:szCs w:val="28"/>
                <w:lang w:eastAsia="zh-TW"/>
              </w:rPr>
              <w:t>）</w:t>
            </w:r>
          </w:p>
        </w:tc>
        <w:tc>
          <w:tcPr>
            <w:tcW w:w="1135"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不低于5年</w:t>
            </w:r>
          </w:p>
        </w:tc>
        <w:tc>
          <w:tcPr>
            <w:tcW w:w="1251" w:type="dxa"/>
            <w:vAlign w:val="center"/>
          </w:tcPr>
          <w:p>
            <w:pPr>
              <w:spacing w:line="480" w:lineRule="exact"/>
              <w:jc w:val="center"/>
              <w:rPr>
                <w:rFonts w:ascii="仿宋_GB2312" w:hAnsi="仿宋_GB2312" w:eastAsia="PMingLiU" w:cs="仿宋_GB2312"/>
                <w:sz w:val="28"/>
                <w:szCs w:val="28"/>
                <w:lang w:val="zh-TW" w:eastAsia="zh-TW"/>
              </w:rPr>
            </w:pPr>
            <w:r>
              <w:rPr>
                <w:rFonts w:hint="eastAsia" w:ascii="仿宋_GB2312" w:hAnsi="宋体" w:eastAsia="仿宋_GB2312" w:cs="仿宋_GB2312"/>
                <w:sz w:val="28"/>
                <w:szCs w:val="28"/>
                <w:lang w:val="zh-TW" w:eastAsia="zh-TW"/>
              </w:rPr>
              <w:t>不低于</w:t>
            </w:r>
            <w:r>
              <w:rPr>
                <w:rFonts w:hint="eastAsia" w:ascii="仿宋_GB2312" w:hAnsi="仿宋_GB2312" w:eastAsia="仿宋_GB2312" w:cs="仿宋_GB2312"/>
                <w:sz w:val="28"/>
                <w:szCs w:val="28"/>
                <w:lang w:val="zh-TW" w:eastAsia="zh-TW"/>
              </w:rPr>
              <w:t>1</w:t>
            </w:r>
            <w:r>
              <w:rPr>
                <w:rFonts w:ascii="仿宋_GB2312" w:hAnsi="仿宋_GB2312" w:eastAsia="PMingLiU" w:cs="仿宋_GB2312"/>
                <w:sz w:val="28"/>
                <w:szCs w:val="28"/>
                <w:lang w:val="zh-TW" w:eastAsia="zh-TW"/>
              </w:rPr>
              <w:t>50</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sz w:val="28"/>
                <w:szCs w:val="28"/>
                <w:highlight w:val="none"/>
                <w:lang w:val="zh-TW" w:eastAsia="zh-TW"/>
              </w:rPr>
              <w:t>不低于5</w:t>
            </w:r>
            <w:r>
              <w:rPr>
                <w:rFonts w:hint="eastAsia" w:ascii="仿宋_GB2312" w:hAnsi="仿宋_GB2312" w:eastAsia="仿宋_GB2312" w:cs="仿宋_GB2312"/>
                <w:color w:val="auto"/>
                <w:sz w:val="28"/>
                <w:szCs w:val="28"/>
                <w:highlight w:val="none"/>
                <w:lang w:val="zh-TW" w:eastAsia="zh-CN"/>
              </w:rPr>
              <w:t>人</w:t>
            </w:r>
            <w:r>
              <w:rPr>
                <w:rFonts w:hint="eastAsia" w:ascii="仿宋_GB2312" w:hAnsi="仿宋_GB2312" w:eastAsia="仿宋_GB2312" w:cs="仿宋_GB2312"/>
                <w:color w:val="auto"/>
                <w:sz w:val="28"/>
                <w:szCs w:val="28"/>
                <w:highlight w:val="none"/>
                <w:lang w:val="zh-TW" w:eastAsia="zh-TW"/>
              </w:rPr>
              <w:t xml:space="preserve"> </w:t>
            </w:r>
          </w:p>
        </w:tc>
        <w:tc>
          <w:tcPr>
            <w:tcW w:w="1206"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不低于</w:t>
            </w:r>
            <w:r>
              <w:rPr>
                <w:rFonts w:ascii="仿宋_GB2312" w:hAnsi="仿宋_GB2312" w:eastAsia="PMingLiU" w:cs="仿宋_GB2312"/>
                <w:sz w:val="28"/>
                <w:szCs w:val="28"/>
                <w:lang w:val="zh-TW" w:eastAsia="zh-TW"/>
              </w:rPr>
              <w:t>75</w:t>
            </w:r>
            <w:r>
              <w:rPr>
                <w:rFonts w:hint="eastAsia" w:ascii="仿宋_GB2312" w:hAnsi="仿宋_GB2312" w:eastAsia="仿宋_GB2312" w:cs="仿宋_GB2312"/>
                <w:sz w:val="28"/>
                <w:szCs w:val="28"/>
                <w:lang w:val="zh-TW" w:eastAsia="zh-TW"/>
              </w:rPr>
              <w:t xml:space="preserve"> </w:t>
            </w:r>
          </w:p>
        </w:tc>
        <w:tc>
          <w:tcPr>
            <w:tcW w:w="130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864"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C</w:t>
            </w:r>
          </w:p>
        </w:tc>
        <w:tc>
          <w:tcPr>
            <w:tcW w:w="1601"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rPr>
              <w:t>不低于</w:t>
            </w:r>
            <w:r>
              <w:rPr>
                <w:rFonts w:hint="eastAsia" w:ascii="仿宋_GB2312" w:hAnsi="仿宋_GB2312" w:eastAsia="仿宋_GB2312" w:cs="仿宋_GB2312"/>
                <w:sz w:val="28"/>
                <w:szCs w:val="28"/>
                <w:lang w:val="zh-TW"/>
              </w:rPr>
              <w:t>5</w:t>
            </w:r>
            <w:r>
              <w:rPr>
                <w:rFonts w:hint="eastAsia" w:ascii="仿宋_GB2312" w:hAnsi="仿宋_GB2312" w:eastAsia="仿宋_GB2312" w:cs="仿宋_GB2312"/>
                <w:sz w:val="28"/>
                <w:szCs w:val="28"/>
                <w:lang w:val="zh-TW" w:eastAsia="zh-TW"/>
              </w:rPr>
              <w:t xml:space="preserve">0 </w:t>
            </w:r>
          </w:p>
        </w:tc>
        <w:tc>
          <w:tcPr>
            <w:tcW w:w="1135" w:type="dxa"/>
            <w:vAlign w:val="center"/>
          </w:tcPr>
          <w:p>
            <w:pPr>
              <w:spacing w:line="480" w:lineRule="exact"/>
              <w:jc w:val="center"/>
              <w:rPr>
                <w:rFonts w:ascii="仿宋_GB2312" w:hAnsi="仿宋_GB2312" w:eastAsia="仿宋_GB2312" w:cs="仿宋_GB2312"/>
                <w:sz w:val="28"/>
                <w:szCs w:val="28"/>
              </w:rPr>
            </w:pPr>
            <w:r>
              <w:rPr>
                <w:rFonts w:hint="eastAsia" w:ascii="仿宋_GB2312" w:hAnsi="宋体" w:eastAsia="仿宋_GB2312" w:cs="仿宋_GB2312"/>
                <w:sz w:val="28"/>
                <w:szCs w:val="28"/>
                <w:lang w:val="zh-TW" w:eastAsia="zh-TW"/>
              </w:rPr>
              <w:t>不低于</w:t>
            </w:r>
            <w:r>
              <w:rPr>
                <w:rFonts w:hint="eastAsia" w:ascii="仿宋_GB2312" w:hAnsi="仿宋_GB2312" w:eastAsia="仿宋_GB2312" w:cs="仿宋_GB2312"/>
                <w:sz w:val="28"/>
                <w:szCs w:val="28"/>
              </w:rPr>
              <w:t>3年</w:t>
            </w:r>
          </w:p>
        </w:tc>
        <w:tc>
          <w:tcPr>
            <w:tcW w:w="1251"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宋体" w:eastAsia="仿宋_GB2312" w:cs="仿宋_GB2312"/>
                <w:sz w:val="28"/>
                <w:szCs w:val="28"/>
                <w:lang w:val="zh-TW" w:eastAsia="zh-TW"/>
              </w:rPr>
              <w:t>不低于</w:t>
            </w:r>
            <w:r>
              <w:rPr>
                <w:rFonts w:ascii="仿宋_GB2312" w:hAnsi="仿宋_GB2312" w:eastAsia="PMingLiU" w:cs="仿宋_GB2312"/>
                <w:sz w:val="28"/>
                <w:szCs w:val="28"/>
                <w:lang w:val="zh-TW" w:eastAsia="zh-TW"/>
              </w:rPr>
              <w:t>10</w:t>
            </w:r>
            <w:r>
              <w:rPr>
                <w:rFonts w:hint="eastAsia" w:ascii="仿宋_GB2312" w:hAnsi="仿宋_GB2312" w:eastAsia="仿宋_GB2312" w:cs="仿宋_GB2312"/>
                <w:sz w:val="28"/>
                <w:szCs w:val="28"/>
                <w:lang w:val="zh-TW" w:eastAsia="zh-TW"/>
              </w:rPr>
              <w:t>0</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sz w:val="28"/>
                <w:szCs w:val="28"/>
                <w:highlight w:val="none"/>
                <w:lang w:val="zh-TW" w:eastAsia="zh-TW"/>
              </w:rPr>
              <w:t>不低于</w:t>
            </w:r>
            <w:r>
              <w:rPr>
                <w:rFonts w:hint="eastAsia" w:ascii="仿宋_GB2312" w:hAnsi="仿宋_GB2312" w:eastAsia="仿宋_GB2312" w:cs="仿宋_GB2312"/>
                <w:color w:val="auto"/>
                <w:sz w:val="28"/>
                <w:szCs w:val="28"/>
                <w:highlight w:val="none"/>
                <w:lang w:val="zh-TW"/>
              </w:rPr>
              <w:t xml:space="preserve">3 </w:t>
            </w:r>
            <w:r>
              <w:rPr>
                <w:rFonts w:hint="eastAsia" w:ascii="仿宋_GB2312" w:hAnsi="仿宋_GB2312" w:eastAsia="仿宋_GB2312" w:cs="仿宋_GB2312"/>
                <w:color w:val="auto"/>
                <w:sz w:val="28"/>
                <w:szCs w:val="28"/>
                <w:highlight w:val="none"/>
                <w:lang w:val="zh-TW" w:eastAsia="zh-CN"/>
              </w:rPr>
              <w:t>人</w:t>
            </w:r>
          </w:p>
        </w:tc>
        <w:tc>
          <w:tcPr>
            <w:tcW w:w="1206"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不低于</w:t>
            </w:r>
            <w:r>
              <w:rPr>
                <w:rFonts w:ascii="仿宋_GB2312" w:hAnsi="仿宋_GB2312" w:eastAsia="PMingLiU" w:cs="仿宋_GB2312"/>
                <w:sz w:val="28"/>
                <w:szCs w:val="28"/>
                <w:lang w:val="zh-TW" w:eastAsia="zh-TW"/>
              </w:rPr>
              <w:t>50</w:t>
            </w:r>
            <w:r>
              <w:rPr>
                <w:rFonts w:hint="eastAsia" w:ascii="仿宋_GB2312" w:hAnsi="仿宋_GB2312" w:eastAsia="仿宋_GB2312" w:cs="仿宋_GB2312"/>
                <w:sz w:val="28"/>
                <w:szCs w:val="28"/>
                <w:lang w:val="zh-TW" w:eastAsia="zh-TW"/>
              </w:rPr>
              <w:t xml:space="preserve"> </w:t>
            </w:r>
          </w:p>
        </w:tc>
        <w:tc>
          <w:tcPr>
            <w:tcW w:w="130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64"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rPr>
              <w:t>D</w:t>
            </w:r>
          </w:p>
        </w:tc>
        <w:tc>
          <w:tcPr>
            <w:tcW w:w="1601"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宋体" w:eastAsia="仿宋_GB2312" w:cs="仿宋_GB2312"/>
                <w:sz w:val="28"/>
                <w:szCs w:val="28"/>
                <w:lang w:val="zh-TW" w:eastAsia="zh-TW"/>
              </w:rPr>
              <w:t>不低于</w:t>
            </w:r>
            <w:r>
              <w:rPr>
                <w:rFonts w:hint="eastAsia" w:ascii="仿宋_GB2312" w:hAnsi="仿宋_GB2312" w:eastAsia="仿宋_GB2312" w:cs="仿宋_GB2312"/>
                <w:sz w:val="28"/>
                <w:szCs w:val="28"/>
                <w:lang w:val="zh-TW"/>
              </w:rPr>
              <w:t>2</w:t>
            </w:r>
            <w:r>
              <w:rPr>
                <w:rFonts w:hint="eastAsia" w:ascii="仿宋_GB2312" w:hAnsi="仿宋_GB2312" w:eastAsia="仿宋_GB2312" w:cs="仿宋_GB2312"/>
                <w:sz w:val="28"/>
                <w:szCs w:val="28"/>
                <w:lang w:val="zh-TW" w:eastAsia="zh-TW"/>
              </w:rPr>
              <w:t xml:space="preserve">0 </w:t>
            </w:r>
          </w:p>
        </w:tc>
        <w:tc>
          <w:tcPr>
            <w:tcW w:w="1135"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不低于1年</w:t>
            </w:r>
          </w:p>
        </w:tc>
        <w:tc>
          <w:tcPr>
            <w:tcW w:w="1251" w:type="dxa"/>
            <w:vAlign w:val="center"/>
          </w:tcPr>
          <w:p>
            <w:pPr>
              <w:spacing w:line="480" w:lineRule="exact"/>
              <w:jc w:val="center"/>
              <w:rPr>
                <w:rFonts w:ascii="仿宋_GB2312" w:hAnsi="仿宋_GB2312" w:eastAsia="PMingLiU" w:cs="仿宋_GB2312"/>
                <w:sz w:val="28"/>
                <w:szCs w:val="28"/>
                <w:lang w:val="zh-TW" w:eastAsia="zh-TW"/>
              </w:rPr>
            </w:pPr>
            <w:r>
              <w:rPr>
                <w:rFonts w:hint="eastAsia" w:ascii="仿宋_GB2312" w:hAnsi="宋体" w:eastAsia="仿宋_GB2312" w:cs="仿宋_GB2312"/>
                <w:sz w:val="28"/>
                <w:szCs w:val="28"/>
                <w:lang w:val="zh-TW" w:eastAsia="zh-TW"/>
              </w:rPr>
              <w:t>不低于</w:t>
            </w:r>
            <w:r>
              <w:rPr>
                <w:rFonts w:ascii="仿宋_GB2312" w:hAnsi="仿宋_GB2312" w:eastAsia="PMingLiU" w:cs="仿宋_GB2312"/>
                <w:sz w:val="28"/>
                <w:szCs w:val="28"/>
                <w:lang w:val="zh-TW" w:eastAsia="zh-TW"/>
              </w:rPr>
              <w:t>50</w:t>
            </w:r>
          </w:p>
        </w:tc>
        <w:tc>
          <w:tcPr>
            <w:tcW w:w="1478"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仿宋_GB2312" w:hAnsi="仿宋_GB2312" w:eastAsia="仿宋_GB2312" w:cs="仿宋_GB2312"/>
                <w:color w:val="auto"/>
                <w:kern w:val="2"/>
                <w:sz w:val="28"/>
                <w:szCs w:val="28"/>
                <w:highlight w:val="none"/>
                <w:lang w:val="zh-TW" w:eastAsia="zh-TW" w:bidi="ar-SA"/>
              </w:rPr>
            </w:pPr>
            <w:r>
              <w:rPr>
                <w:rFonts w:hint="eastAsia" w:ascii="仿宋_GB2312" w:hAnsi="仿宋_GB2312" w:eastAsia="仿宋_GB2312" w:cs="仿宋_GB2312"/>
                <w:color w:val="auto"/>
                <w:sz w:val="28"/>
                <w:szCs w:val="28"/>
                <w:highlight w:val="none"/>
                <w:lang w:val="zh-TW" w:eastAsia="zh-CN"/>
              </w:rPr>
              <w:t>不限</w:t>
            </w:r>
          </w:p>
        </w:tc>
        <w:tc>
          <w:tcPr>
            <w:tcW w:w="1206" w:type="dxa"/>
            <w:vAlign w:val="center"/>
          </w:tcPr>
          <w:p>
            <w:pPr>
              <w:spacing w:line="480" w:lineRule="exact"/>
              <w:jc w:val="center"/>
              <w:rPr>
                <w:rFonts w:ascii="仿宋_GB2312" w:hAnsi="仿宋_GB2312" w:eastAsia="仿宋_GB2312" w:cs="仿宋_GB2312"/>
                <w:sz w:val="28"/>
                <w:szCs w:val="28"/>
                <w:lang w:val="zh-TW" w:eastAsia="zh-TW"/>
              </w:rPr>
            </w:pPr>
            <w:r>
              <w:rPr>
                <w:rFonts w:hint="eastAsia" w:ascii="仿宋_GB2312" w:hAnsi="仿宋_GB2312" w:eastAsia="仿宋_GB2312" w:cs="仿宋_GB2312"/>
                <w:sz w:val="28"/>
                <w:szCs w:val="28"/>
                <w:lang w:val="zh-TW" w:eastAsia="zh-TW"/>
              </w:rPr>
              <w:t>不低于</w:t>
            </w:r>
            <w:r>
              <w:rPr>
                <w:rFonts w:ascii="仿宋_GB2312" w:hAnsi="仿宋_GB2312" w:eastAsia="PMingLiU" w:cs="仿宋_GB2312"/>
                <w:sz w:val="28"/>
                <w:szCs w:val="28"/>
                <w:lang w:val="zh-TW" w:eastAsia="zh-TW"/>
              </w:rPr>
              <w:t>25</w:t>
            </w:r>
            <w:r>
              <w:rPr>
                <w:rFonts w:hint="eastAsia" w:ascii="仿宋_GB2312" w:hAnsi="仿宋_GB2312" w:eastAsia="仿宋_GB2312" w:cs="仿宋_GB2312"/>
                <w:sz w:val="28"/>
                <w:szCs w:val="28"/>
                <w:lang w:val="zh-TW" w:eastAsia="zh-TW"/>
              </w:rPr>
              <w:t xml:space="preserve"> </w:t>
            </w:r>
          </w:p>
        </w:tc>
        <w:tc>
          <w:tcPr>
            <w:tcW w:w="130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864"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E</w:t>
            </w:r>
          </w:p>
        </w:tc>
        <w:tc>
          <w:tcPr>
            <w:tcW w:w="1601" w:type="dxa"/>
            <w:vAlign w:val="center"/>
          </w:tcPr>
          <w:p>
            <w:pPr>
              <w:spacing w:line="480" w:lineRule="exact"/>
              <w:jc w:val="center"/>
              <w:rPr>
                <w:rFonts w:ascii="仿宋_GB2312" w:hAnsi="宋体" w:eastAsia="仿宋_GB2312" w:cs="仿宋_GB2312"/>
                <w:sz w:val="28"/>
                <w:szCs w:val="28"/>
                <w:lang w:val="zh-TW" w:eastAsia="zh-TW"/>
              </w:rPr>
            </w:pPr>
            <w:r>
              <w:rPr>
                <w:rFonts w:hint="eastAsia" w:ascii="仿宋_GB2312" w:hAnsi="宋体" w:eastAsia="仿宋_GB2312" w:cs="仿宋_GB2312"/>
                <w:sz w:val="28"/>
                <w:szCs w:val="28"/>
                <w:lang w:val="zh-TW" w:eastAsia="zh-TW"/>
              </w:rPr>
              <w:t>不低于</w:t>
            </w:r>
            <w:r>
              <w:rPr>
                <w:rFonts w:hint="eastAsia" w:ascii="仿宋_GB2312" w:hAnsi="仿宋_GB2312" w:eastAsia="仿宋_GB2312" w:cs="仿宋_GB2312"/>
                <w:sz w:val="28"/>
                <w:szCs w:val="28"/>
              </w:rPr>
              <w:t>10</w:t>
            </w:r>
            <w:r>
              <w:rPr>
                <w:rFonts w:hint="eastAsia" w:ascii="仿宋_GB2312" w:hAnsi="仿宋_GB2312" w:eastAsia="仿宋_GB2312" w:cs="仿宋_GB2312"/>
                <w:sz w:val="28"/>
                <w:szCs w:val="28"/>
                <w:lang w:val="zh-TW" w:eastAsia="zh-TW"/>
              </w:rPr>
              <w:t xml:space="preserve"> </w:t>
            </w:r>
          </w:p>
        </w:tc>
        <w:tc>
          <w:tcPr>
            <w:tcW w:w="1135"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不低于1年</w:t>
            </w:r>
          </w:p>
        </w:tc>
        <w:tc>
          <w:tcPr>
            <w:tcW w:w="1251" w:type="dxa"/>
            <w:vAlign w:val="center"/>
          </w:tcPr>
          <w:p>
            <w:pPr>
              <w:spacing w:line="480" w:lineRule="exact"/>
              <w:jc w:val="center"/>
              <w:rPr>
                <w:rFonts w:ascii="仿宋_GB2312" w:hAnsi="宋体" w:eastAsia="仿宋_GB2312" w:cs="仿宋_GB2312"/>
                <w:sz w:val="28"/>
                <w:szCs w:val="28"/>
                <w:lang w:val="zh-TW" w:eastAsia="zh-TW"/>
              </w:rPr>
            </w:pPr>
            <w:r>
              <w:rPr>
                <w:rFonts w:hint="eastAsia" w:ascii="仿宋_GB2312" w:hAnsi="宋体" w:eastAsia="仿宋_GB2312" w:cs="仿宋_GB2312"/>
                <w:sz w:val="28"/>
                <w:szCs w:val="28"/>
                <w:lang w:val="zh-TW" w:eastAsia="zh-TW"/>
              </w:rPr>
              <w:t>不低于</w:t>
            </w:r>
            <w:r>
              <w:rPr>
                <w:rFonts w:ascii="仿宋_GB2312" w:hAnsi="仿宋_GB2312" w:eastAsia="PMingLiU" w:cs="仿宋_GB2312"/>
                <w:sz w:val="28"/>
                <w:szCs w:val="28"/>
                <w:lang w:val="zh-TW" w:eastAsia="zh-TW"/>
              </w:rPr>
              <w:t>50</w:t>
            </w:r>
          </w:p>
        </w:tc>
        <w:tc>
          <w:tcPr>
            <w:tcW w:w="1478" w:type="dxa"/>
            <w:vAlign w:val="center"/>
          </w:tcPr>
          <w:p>
            <w:pPr>
              <w:jc w:val="center"/>
              <w:rPr>
                <w:rFonts w:hint="eastAsia" w:ascii="仿宋_GB2312" w:hAnsi="仿宋_GB2312" w:eastAsia="仿宋_GB2312" w:cs="仿宋_GB2312"/>
                <w:kern w:val="2"/>
                <w:sz w:val="28"/>
                <w:szCs w:val="28"/>
                <w:lang w:val="zh-TW" w:eastAsia="zh-CN" w:bidi="ar-SA"/>
              </w:rPr>
            </w:pPr>
            <w:r>
              <w:rPr>
                <w:rFonts w:hint="eastAsia" w:ascii="仿宋_GB2312" w:hAnsi="仿宋_GB2312" w:eastAsia="仿宋_GB2312" w:cs="仿宋_GB2312"/>
                <w:sz w:val="28"/>
                <w:szCs w:val="28"/>
                <w:lang w:val="en-US" w:eastAsia="zh-CN"/>
              </w:rPr>
              <w:t>不限</w:t>
            </w:r>
          </w:p>
        </w:tc>
        <w:tc>
          <w:tcPr>
            <w:tcW w:w="1206" w:type="dxa"/>
            <w:vAlign w:val="center"/>
          </w:tcPr>
          <w:p>
            <w:pPr>
              <w:spacing w:line="480" w:lineRule="exact"/>
              <w:jc w:val="center"/>
              <w:rPr>
                <w:rFonts w:ascii="仿宋_GB2312" w:hAnsi="仿宋_GB2312" w:eastAsia="仿宋_GB2312" w:cs="仿宋_GB2312"/>
                <w:sz w:val="28"/>
                <w:szCs w:val="28"/>
                <w:lang w:val="zh-TW"/>
              </w:rPr>
            </w:pPr>
            <w:r>
              <w:rPr>
                <w:rFonts w:hint="eastAsia" w:ascii="仿宋_GB2312" w:hAnsi="仿宋_GB2312" w:eastAsia="仿宋_GB2312" w:cs="仿宋_GB2312"/>
                <w:sz w:val="28"/>
                <w:szCs w:val="28"/>
                <w:lang w:val="zh-TW"/>
              </w:rPr>
              <w:t>不限</w:t>
            </w:r>
          </w:p>
        </w:tc>
        <w:tc>
          <w:tcPr>
            <w:tcW w:w="1308" w:type="dxa"/>
            <w:vAlign w:val="center"/>
          </w:tcPr>
          <w:p>
            <w:pPr>
              <w:spacing w:line="48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20</w:t>
            </w:r>
          </w:p>
        </w:tc>
      </w:tr>
    </w:tbl>
    <w:p>
      <w:pPr>
        <w:rPr>
          <w:rFonts w:ascii="仿宋_GB2312" w:hAnsi="仿宋_GB2312" w:eastAsia="仿宋_GB2312" w:cs="仿宋_GB2312"/>
          <w:sz w:val="28"/>
          <w:szCs w:val="28"/>
        </w:rPr>
      </w:pPr>
      <w:r>
        <w:rPr>
          <w:rFonts w:hint="eastAsia" w:ascii="仿宋_GB2312" w:hAnsi="仿宋_GB2312" w:eastAsia="仿宋_GB2312" w:cs="仿宋_GB2312"/>
          <w:sz w:val="28"/>
          <w:szCs w:val="28"/>
        </w:rPr>
        <w:t>说明：重点商圈内餐饮商户，自商圈开业以来持续经营的，可不受上表“经营持续时间”的限制</w:t>
      </w:r>
    </w:p>
    <w:p>
      <w:pPr>
        <w:ind w:firstLine="640" w:firstLineChars="200"/>
        <w:rPr>
          <w:rFonts w:ascii="Times New Roman" w:hAnsi="Times New Roman" w:eastAsia="仿宋_GB2312" w:cs="仿宋_GB2312"/>
          <w:kern w:val="0"/>
          <w:sz w:val="32"/>
          <w:szCs w:val="32"/>
          <w:shd w:val="clear" w:color="auto" w:fill="FFFFFF"/>
        </w:rPr>
      </w:pPr>
      <w:r>
        <w:rPr>
          <w:rFonts w:hint="eastAsia" w:ascii="楷体" w:hAnsi="楷体" w:eastAsia="楷体" w:cs="楷体"/>
          <w:kern w:val="0"/>
          <w:sz w:val="32"/>
          <w:szCs w:val="32"/>
          <w:shd w:val="clear" w:color="auto" w:fill="FFFFFF"/>
        </w:rPr>
        <w:t>（三）贴息申请材料</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1、餐饮企业担保贷款项目贴息申请表（含借款人信息、担保贷款金额、利率、担保期限等信息）；</w:t>
      </w:r>
    </w:p>
    <w:p>
      <w:pPr>
        <w:numPr>
          <w:ilvl w:val="0"/>
          <w:numId w:val="2"/>
        </w:num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企业营业执照、法人代表身份证明等材料复印件：</w:t>
      </w:r>
    </w:p>
    <w:p>
      <w:pPr>
        <w:rPr>
          <w:rFonts w:ascii="仿宋_GB2312" w:hAnsi="仿宋_GB2312" w:eastAsia="仿宋_GB2312" w:cs="仿宋_GB2312"/>
          <w:sz w:val="32"/>
        </w:rPr>
      </w:pPr>
      <w:r>
        <w:rPr>
          <w:rFonts w:hint="eastAsia" w:ascii="仿宋_GB2312" w:hAnsi="仿宋_GB2312" w:eastAsia="仿宋_GB2312" w:cs="仿宋_GB2312"/>
          <w:sz w:val="32"/>
        </w:rPr>
        <w:t xml:space="preserve">    3、原始贷款担保函复印件；</w:t>
      </w:r>
    </w:p>
    <w:p>
      <w:pPr>
        <w:rPr>
          <w:rFonts w:ascii="仿宋_GB2312" w:hAnsi="仿宋_GB2312" w:eastAsia="仿宋_GB2312" w:cs="仿宋_GB2312"/>
          <w:sz w:val="32"/>
        </w:rPr>
      </w:pPr>
      <w:r>
        <w:rPr>
          <w:rFonts w:hint="eastAsia" w:ascii="仿宋_GB2312" w:hAnsi="仿宋_GB2312" w:eastAsia="仿宋_GB2312" w:cs="仿宋_GB2312"/>
          <w:sz w:val="32"/>
        </w:rPr>
        <w:t xml:space="preserve">    4、银行贷款协议复印件；</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5、银行出具的还款明细（或其他按期还本付息完毕有关凭证，需含本金及利息金额）；</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6、其他有关材料。</w:t>
      </w:r>
    </w:p>
    <w:p>
      <w:pPr>
        <w:spacing w:line="600" w:lineRule="exact"/>
        <w:ind w:firstLine="640" w:firstLineChars="200"/>
        <w:rPr>
          <w:rFonts w:ascii="Times New Roman" w:hAnsi="Times New Roman" w:eastAsia="黑体" w:cs="黑体"/>
          <w:kern w:val="0"/>
          <w:sz w:val="32"/>
          <w:szCs w:val="32"/>
        </w:rPr>
      </w:pPr>
      <w:r>
        <w:rPr>
          <w:rFonts w:hint="eastAsia" w:ascii="Times New Roman" w:hAnsi="Times New Roman" w:eastAsia="黑体" w:cs="黑体"/>
          <w:kern w:val="0"/>
          <w:sz w:val="32"/>
          <w:szCs w:val="32"/>
        </w:rPr>
        <w:t>六、申报流程</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区商务局面向社会公开征集，有意向的中小微餐饮企业将所需材料提交至融达担保公司，融达担保公司对企业申报材料进行审核，综合审定具体担保额度，出具贷款担保函。申请企业凭贷款担保函向合作银行申请贷款。</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借款企业在按期完成还本付息后，可在三个月内向大兴区商务局提出贴息申请，并提交相关材料，综合审定具体贴息额度后，经区商务局同意，由融达担保公司向申请企业发放贴息资金。</w:t>
      </w:r>
    </w:p>
    <w:p>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借款企业应按照银行贷款协议约定，按期还本付息，若未能按期还本付息，且银行催告、追索期届满之后仍未能足额偿还，将由融达担保公司进行代偿并依法进行追偿，违约信息将被记入人民银行的征信系统。</w:t>
      </w:r>
    </w:p>
    <w:p>
      <w:pPr>
        <w:spacing w:line="600" w:lineRule="exact"/>
        <w:ind w:firstLine="640" w:firstLineChars="200"/>
        <w:rPr>
          <w:rFonts w:ascii="Times New Roman" w:hAnsi="Times New Roman" w:eastAsia="黑体" w:cs="黑体"/>
          <w:kern w:val="0"/>
          <w:sz w:val="32"/>
          <w:szCs w:val="32"/>
        </w:rPr>
      </w:pPr>
      <w:r>
        <w:rPr>
          <w:rFonts w:hint="eastAsia" w:ascii="Times New Roman" w:hAnsi="Times New Roman" w:eastAsia="黑体" w:cs="黑体"/>
          <w:kern w:val="0"/>
          <w:sz w:val="32"/>
          <w:szCs w:val="32"/>
        </w:rPr>
        <w:t>七、资金用途及监管</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企业贷款资金须用于餐饮企业持续经营。由合作银行对借款人在本机构的账户及贷款资金用途进行监管，确保专款专用。</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rPr>
        <w:t>区级财政担保资金（1000万元）由融达担保公司设立专项资金账户，负责其日常管理，用于大兴区中小微餐饮企业贷款担保，包括支付担保费用、本金代偿、贴息、追偿及其他相关费用。账户资金专款专用，按季度向大兴区商务局报送专项资金相关资料，并接受区商务局对专项资金的监督。若根据资金正常使用需要，企业申请贴息时专项资金支出已超出1000万元财政资金额度，则由大兴区商务局申请追加财政资金用于贴息支持。</w:t>
      </w:r>
    </w:p>
    <w:p>
      <w:pPr>
        <w:ind w:firstLine="640" w:firstLineChars="200"/>
        <w:rPr>
          <w:rFonts w:ascii="仿宋_GB2312" w:hAnsi="仿宋_GB2312" w:eastAsia="仿宋_GB2312" w:cs="仿宋_GB2312"/>
          <w:sz w:val="32"/>
        </w:rPr>
      </w:pPr>
      <w:r>
        <w:rPr>
          <w:rFonts w:hint="eastAsia" w:ascii="仿宋_GB2312" w:hAnsi="仿宋_GB2312" w:eastAsia="仿宋_GB2312" w:cs="仿宋_GB2312"/>
          <w:sz w:val="32"/>
          <w:szCs w:val="32"/>
          <w:lang w:val="zh-TW" w:eastAsia="zh-TW"/>
        </w:rPr>
        <w:t>大兴区商务局负责在相关条件成熟后及时拨款到专项账户</w:t>
      </w:r>
      <w:r>
        <w:rPr>
          <w:rFonts w:hint="eastAsia" w:ascii="仿宋_GB2312" w:hAnsi="仿宋_GB2312" w:eastAsia="仿宋_GB2312" w:cs="仿宋_GB2312"/>
          <w:sz w:val="32"/>
          <w:szCs w:val="32"/>
          <w:lang w:val="zh-TW"/>
        </w:rPr>
        <w:t>，并</w:t>
      </w:r>
      <w:r>
        <w:rPr>
          <w:rFonts w:hint="eastAsia" w:ascii="仿宋_GB2312" w:hAnsi="仿宋_GB2312" w:eastAsia="仿宋_GB2312" w:cs="仿宋_GB2312"/>
          <w:sz w:val="32"/>
          <w:szCs w:val="32"/>
          <w:lang w:val="zh-TW" w:eastAsia="zh-TW"/>
        </w:rPr>
        <w:t>在专项资金成立运作后，对专项资金的运作进行监督</w:t>
      </w:r>
      <w:r>
        <w:rPr>
          <w:rFonts w:hint="eastAsia" w:ascii="仿宋_GB2312" w:hAnsi="仿宋_GB2312" w:eastAsia="仿宋_GB2312" w:cs="仿宋_GB2312"/>
          <w:sz w:val="32"/>
          <w:szCs w:val="32"/>
          <w:lang w:val="zh-TW"/>
        </w:rPr>
        <w:t>。同时，</w:t>
      </w:r>
      <w:r>
        <w:rPr>
          <w:rFonts w:hint="eastAsia" w:ascii="仿宋_GB2312" w:hAnsi="仿宋_GB2312" w:eastAsia="仿宋_GB2312" w:cs="仿宋_GB2312"/>
          <w:sz w:val="32"/>
          <w:szCs w:val="32"/>
          <w:lang w:val="zh-TW" w:eastAsia="zh-TW"/>
        </w:rPr>
        <w:t>做好大兴区餐饮业专项资金担保贷款的宣传工作。</w:t>
      </w:r>
    </w:p>
    <w:p>
      <w:pPr>
        <w:ind w:firstLine="640" w:firstLineChars="200"/>
        <w:rPr>
          <w:rFonts w:hint="eastAsia" w:ascii="仿宋_GB2312" w:hAnsi="仿宋_GB2312" w:eastAsia="仿宋_GB2312" w:cs="仿宋_GB2312"/>
          <w:sz w:val="32"/>
        </w:rPr>
      </w:pPr>
      <w:r>
        <w:rPr>
          <w:rFonts w:hint="eastAsia" w:ascii="仿宋_GB2312" w:hAnsi="仿宋_GB2312" w:eastAsia="仿宋_GB2312" w:cs="仿宋_GB2312"/>
          <w:sz w:val="32"/>
        </w:rPr>
        <w:t>本项目将在结束后委托专业第三方公司对实际发生的财政资金进行审计。</w:t>
      </w:r>
      <w:bookmarkStart w:id="0" w:name="_GoBack"/>
      <w:bookmarkEnd w:id="0"/>
    </w:p>
    <w:sectPr>
      <w:footerReference r:id="rId3" w:type="default"/>
      <w:pgSz w:w="11906" w:h="16838"/>
      <w:pgMar w:top="1440" w:right="1474" w:bottom="1440" w:left="1474"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script"/>
    <w:pitch w:val="default"/>
    <w:sig w:usb0="00000001" w:usb1="080E0000" w:usb2="00000000" w:usb3="00000000" w:csb0="00040000" w:csb1="00000000"/>
  </w:font>
  <w:font w:name="文星标宋">
    <w:altName w:val="Arial Unicode MS"/>
    <w:panose1 w:val="0201060900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posOffset>2604770</wp:posOffset>
              </wp:positionH>
              <wp:positionV relativeFrom="paragraph">
                <wp:posOffset>6350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5.1pt;margin-top:0.5pt;height:144pt;width:144pt;mso-position-horizontal-relative:margin;mso-wrap-style:none;z-index:251659264;mso-width-relative:page;mso-height-relative:page;" filled="f" stroked="f" coordsize="21600,21600" o:gfxdata="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qMfTzUAAAACQEAAA8AAAAAAAAAAQAgAAAAIgAAAGRycy9kb3ducmV2LnhtbFBLAQIUABQAAAAI&#10;AIdO4kCM1w58KgIAAFUEAAAOAAAAAAAAAAEAIAAAACMBAABkcnMvZTJvRG9jLnhtbFBLBQYAAAAA&#10;BgAGAFkBAAC/BQAAAAA=&#10;">
              <v:fill on="f" focussize="0,0"/>
              <v:stroke on="f" weight="0.5pt"/>
              <v:imagedata o:title=""/>
              <o:lock v:ext="edit" aspectratio="f"/>
              <v:textbox inset="0mm,0mm,0mm,0mm" style="mso-fit-shape-to-text:t;">
                <w:txbxContent>
                  <w:p>
                    <w:pPr>
                      <w:snapToGrid w:val="0"/>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A53F10"/>
    <w:multiLevelType w:val="singleLevel"/>
    <w:tmpl w:val="5EA53F10"/>
    <w:lvl w:ilvl="0" w:tentative="0">
      <w:start w:val="2"/>
      <w:numFmt w:val="decimal"/>
      <w:suff w:val="nothing"/>
      <w:lvlText w:val="%1、"/>
      <w:lvlJc w:val="left"/>
    </w:lvl>
  </w:abstractNum>
  <w:abstractNum w:abstractNumId="1">
    <w:nsid w:val="5EBE47FB"/>
    <w:multiLevelType w:val="singleLevel"/>
    <w:tmpl w:val="5EBE47FB"/>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A7E"/>
    <w:rsid w:val="00006343"/>
    <w:rsid w:val="00010B06"/>
    <w:rsid w:val="000217EF"/>
    <w:rsid w:val="0002691A"/>
    <w:rsid w:val="00026FB9"/>
    <w:rsid w:val="00040894"/>
    <w:rsid w:val="000530C4"/>
    <w:rsid w:val="000566A5"/>
    <w:rsid w:val="00057041"/>
    <w:rsid w:val="00057D65"/>
    <w:rsid w:val="00057D9B"/>
    <w:rsid w:val="00057FEC"/>
    <w:rsid w:val="00061E76"/>
    <w:rsid w:val="00063991"/>
    <w:rsid w:val="000750D7"/>
    <w:rsid w:val="0007752F"/>
    <w:rsid w:val="000837FD"/>
    <w:rsid w:val="00085AFD"/>
    <w:rsid w:val="00090E64"/>
    <w:rsid w:val="000934CA"/>
    <w:rsid w:val="000962C2"/>
    <w:rsid w:val="000A10B3"/>
    <w:rsid w:val="000A68D3"/>
    <w:rsid w:val="000A7882"/>
    <w:rsid w:val="000B2C97"/>
    <w:rsid w:val="000B5175"/>
    <w:rsid w:val="000C260C"/>
    <w:rsid w:val="000C3CA2"/>
    <w:rsid w:val="000C4193"/>
    <w:rsid w:val="000D26DC"/>
    <w:rsid w:val="000E1222"/>
    <w:rsid w:val="000E187D"/>
    <w:rsid w:val="000E2335"/>
    <w:rsid w:val="000E2DED"/>
    <w:rsid w:val="000E6282"/>
    <w:rsid w:val="000F38D9"/>
    <w:rsid w:val="000F568F"/>
    <w:rsid w:val="000F787D"/>
    <w:rsid w:val="00100488"/>
    <w:rsid w:val="001008CA"/>
    <w:rsid w:val="00101B2F"/>
    <w:rsid w:val="001107AA"/>
    <w:rsid w:val="00120B9D"/>
    <w:rsid w:val="0013308F"/>
    <w:rsid w:val="00133F3C"/>
    <w:rsid w:val="001363D7"/>
    <w:rsid w:val="0013662D"/>
    <w:rsid w:val="00160D8B"/>
    <w:rsid w:val="001667B6"/>
    <w:rsid w:val="001741A4"/>
    <w:rsid w:val="001776D0"/>
    <w:rsid w:val="0018169F"/>
    <w:rsid w:val="001832AB"/>
    <w:rsid w:val="00193038"/>
    <w:rsid w:val="00193C80"/>
    <w:rsid w:val="001A0FFC"/>
    <w:rsid w:val="001A2FA1"/>
    <w:rsid w:val="001A2FCC"/>
    <w:rsid w:val="001A3939"/>
    <w:rsid w:val="001A4148"/>
    <w:rsid w:val="001A453F"/>
    <w:rsid w:val="001A45A8"/>
    <w:rsid w:val="001A67BB"/>
    <w:rsid w:val="001A7B14"/>
    <w:rsid w:val="001B1908"/>
    <w:rsid w:val="001B2624"/>
    <w:rsid w:val="001B3E9C"/>
    <w:rsid w:val="001B712E"/>
    <w:rsid w:val="001C2BD5"/>
    <w:rsid w:val="001C3484"/>
    <w:rsid w:val="001C4468"/>
    <w:rsid w:val="001C542E"/>
    <w:rsid w:val="001E0570"/>
    <w:rsid w:val="001E2640"/>
    <w:rsid w:val="001E3294"/>
    <w:rsid w:val="001E54DE"/>
    <w:rsid w:val="001E6B86"/>
    <w:rsid w:val="001E717D"/>
    <w:rsid w:val="001E7703"/>
    <w:rsid w:val="001F12A9"/>
    <w:rsid w:val="001F3665"/>
    <w:rsid w:val="001F5BD3"/>
    <w:rsid w:val="001F74AC"/>
    <w:rsid w:val="00201FAD"/>
    <w:rsid w:val="00201FF2"/>
    <w:rsid w:val="0020546E"/>
    <w:rsid w:val="00210728"/>
    <w:rsid w:val="002127D8"/>
    <w:rsid w:val="00213C9D"/>
    <w:rsid w:val="00214BD4"/>
    <w:rsid w:val="0022090F"/>
    <w:rsid w:val="00220EC1"/>
    <w:rsid w:val="00222590"/>
    <w:rsid w:val="00222948"/>
    <w:rsid w:val="00224B5B"/>
    <w:rsid w:val="00237341"/>
    <w:rsid w:val="00237D79"/>
    <w:rsid w:val="0024340C"/>
    <w:rsid w:val="00250D56"/>
    <w:rsid w:val="002514F4"/>
    <w:rsid w:val="00260FBA"/>
    <w:rsid w:val="0026101C"/>
    <w:rsid w:val="00261512"/>
    <w:rsid w:val="00263F82"/>
    <w:rsid w:val="002755BA"/>
    <w:rsid w:val="00277B5D"/>
    <w:rsid w:val="0028139A"/>
    <w:rsid w:val="00286625"/>
    <w:rsid w:val="002877C6"/>
    <w:rsid w:val="00287FE6"/>
    <w:rsid w:val="00297E5B"/>
    <w:rsid w:val="002A3569"/>
    <w:rsid w:val="002A49D4"/>
    <w:rsid w:val="002A548C"/>
    <w:rsid w:val="002A65F6"/>
    <w:rsid w:val="002A7260"/>
    <w:rsid w:val="002B1F9B"/>
    <w:rsid w:val="002B6C33"/>
    <w:rsid w:val="002B726F"/>
    <w:rsid w:val="002C2754"/>
    <w:rsid w:val="002C2EEE"/>
    <w:rsid w:val="002C3B8E"/>
    <w:rsid w:val="002C4239"/>
    <w:rsid w:val="002C55B7"/>
    <w:rsid w:val="002D7AD9"/>
    <w:rsid w:val="002E599A"/>
    <w:rsid w:val="002E6381"/>
    <w:rsid w:val="002F3D83"/>
    <w:rsid w:val="002F442F"/>
    <w:rsid w:val="002F6312"/>
    <w:rsid w:val="002F731F"/>
    <w:rsid w:val="0030577D"/>
    <w:rsid w:val="00305FCF"/>
    <w:rsid w:val="00306573"/>
    <w:rsid w:val="00311C47"/>
    <w:rsid w:val="00314F32"/>
    <w:rsid w:val="00316549"/>
    <w:rsid w:val="003365A9"/>
    <w:rsid w:val="0034025E"/>
    <w:rsid w:val="00341720"/>
    <w:rsid w:val="003444F4"/>
    <w:rsid w:val="00344DA0"/>
    <w:rsid w:val="0035401C"/>
    <w:rsid w:val="00367C56"/>
    <w:rsid w:val="00375CB5"/>
    <w:rsid w:val="003859D3"/>
    <w:rsid w:val="00387EAD"/>
    <w:rsid w:val="00392262"/>
    <w:rsid w:val="00397ACE"/>
    <w:rsid w:val="003A7B05"/>
    <w:rsid w:val="003B2097"/>
    <w:rsid w:val="003B51BE"/>
    <w:rsid w:val="003C2FF5"/>
    <w:rsid w:val="003D0B4E"/>
    <w:rsid w:val="003D380F"/>
    <w:rsid w:val="003D41F7"/>
    <w:rsid w:val="003E736F"/>
    <w:rsid w:val="003F5CFA"/>
    <w:rsid w:val="003F7B1A"/>
    <w:rsid w:val="00400BCD"/>
    <w:rsid w:val="004053E5"/>
    <w:rsid w:val="00406D86"/>
    <w:rsid w:val="00410D07"/>
    <w:rsid w:val="00412741"/>
    <w:rsid w:val="00415036"/>
    <w:rsid w:val="00420F18"/>
    <w:rsid w:val="00421DFC"/>
    <w:rsid w:val="004320F7"/>
    <w:rsid w:val="00436A74"/>
    <w:rsid w:val="0044231B"/>
    <w:rsid w:val="004425D8"/>
    <w:rsid w:val="00444CE4"/>
    <w:rsid w:val="00454A17"/>
    <w:rsid w:val="00457289"/>
    <w:rsid w:val="004621FB"/>
    <w:rsid w:val="00463BD0"/>
    <w:rsid w:val="00464A14"/>
    <w:rsid w:val="00465E6C"/>
    <w:rsid w:val="00470B7D"/>
    <w:rsid w:val="00471694"/>
    <w:rsid w:val="00471DF5"/>
    <w:rsid w:val="00474273"/>
    <w:rsid w:val="0049023A"/>
    <w:rsid w:val="00491039"/>
    <w:rsid w:val="00495B47"/>
    <w:rsid w:val="004A527C"/>
    <w:rsid w:val="004A642C"/>
    <w:rsid w:val="004A78AE"/>
    <w:rsid w:val="004B1F87"/>
    <w:rsid w:val="004C19AD"/>
    <w:rsid w:val="004C200F"/>
    <w:rsid w:val="004C212D"/>
    <w:rsid w:val="004D0B98"/>
    <w:rsid w:val="004D1723"/>
    <w:rsid w:val="004D1D09"/>
    <w:rsid w:val="004D536A"/>
    <w:rsid w:val="004F1BE6"/>
    <w:rsid w:val="004F3D68"/>
    <w:rsid w:val="004F60F2"/>
    <w:rsid w:val="005034D3"/>
    <w:rsid w:val="0051338B"/>
    <w:rsid w:val="0051363A"/>
    <w:rsid w:val="00513DEF"/>
    <w:rsid w:val="00514C8E"/>
    <w:rsid w:val="0051532B"/>
    <w:rsid w:val="00530051"/>
    <w:rsid w:val="0053027F"/>
    <w:rsid w:val="00544C24"/>
    <w:rsid w:val="00545FE9"/>
    <w:rsid w:val="00546033"/>
    <w:rsid w:val="005614FD"/>
    <w:rsid w:val="00561C45"/>
    <w:rsid w:val="0056680E"/>
    <w:rsid w:val="00566D22"/>
    <w:rsid w:val="0057396A"/>
    <w:rsid w:val="00573C02"/>
    <w:rsid w:val="005856B2"/>
    <w:rsid w:val="005914CB"/>
    <w:rsid w:val="0059470E"/>
    <w:rsid w:val="005A5FA8"/>
    <w:rsid w:val="005B185E"/>
    <w:rsid w:val="005C4CB5"/>
    <w:rsid w:val="005D0A05"/>
    <w:rsid w:val="005D0CA5"/>
    <w:rsid w:val="005D31F0"/>
    <w:rsid w:val="005D47BF"/>
    <w:rsid w:val="005D5296"/>
    <w:rsid w:val="005E0E9E"/>
    <w:rsid w:val="005E1776"/>
    <w:rsid w:val="005E3556"/>
    <w:rsid w:val="005F2570"/>
    <w:rsid w:val="005F48CC"/>
    <w:rsid w:val="006008A9"/>
    <w:rsid w:val="00601628"/>
    <w:rsid w:val="00601E57"/>
    <w:rsid w:val="00610276"/>
    <w:rsid w:val="00611782"/>
    <w:rsid w:val="00614AF0"/>
    <w:rsid w:val="00617AD9"/>
    <w:rsid w:val="00617BB9"/>
    <w:rsid w:val="006218FB"/>
    <w:rsid w:val="00624458"/>
    <w:rsid w:val="0062789B"/>
    <w:rsid w:val="00627EE0"/>
    <w:rsid w:val="006300FE"/>
    <w:rsid w:val="00632CC3"/>
    <w:rsid w:val="00633D50"/>
    <w:rsid w:val="00640B62"/>
    <w:rsid w:val="00645EEF"/>
    <w:rsid w:val="00652F76"/>
    <w:rsid w:val="00663605"/>
    <w:rsid w:val="0067279A"/>
    <w:rsid w:val="0067453F"/>
    <w:rsid w:val="00674923"/>
    <w:rsid w:val="0067710F"/>
    <w:rsid w:val="006829DE"/>
    <w:rsid w:val="0068303B"/>
    <w:rsid w:val="00686731"/>
    <w:rsid w:val="00692681"/>
    <w:rsid w:val="00693A36"/>
    <w:rsid w:val="00695FC7"/>
    <w:rsid w:val="006B0C3D"/>
    <w:rsid w:val="006C398D"/>
    <w:rsid w:val="006D107C"/>
    <w:rsid w:val="006E2C36"/>
    <w:rsid w:val="006E5C53"/>
    <w:rsid w:val="006F1388"/>
    <w:rsid w:val="007012AF"/>
    <w:rsid w:val="00704922"/>
    <w:rsid w:val="00707DED"/>
    <w:rsid w:val="0071256F"/>
    <w:rsid w:val="00715BAB"/>
    <w:rsid w:val="00715C59"/>
    <w:rsid w:val="00716304"/>
    <w:rsid w:val="00720B26"/>
    <w:rsid w:val="00720DA5"/>
    <w:rsid w:val="00722A79"/>
    <w:rsid w:val="00732260"/>
    <w:rsid w:val="0073247E"/>
    <w:rsid w:val="00741EA8"/>
    <w:rsid w:val="007437FF"/>
    <w:rsid w:val="00743EE4"/>
    <w:rsid w:val="00745304"/>
    <w:rsid w:val="007454BD"/>
    <w:rsid w:val="00750CCA"/>
    <w:rsid w:val="007616C3"/>
    <w:rsid w:val="00770C55"/>
    <w:rsid w:val="007753AE"/>
    <w:rsid w:val="00786A5E"/>
    <w:rsid w:val="00787349"/>
    <w:rsid w:val="007A0A85"/>
    <w:rsid w:val="007C1FEC"/>
    <w:rsid w:val="007C2949"/>
    <w:rsid w:val="007C4EB9"/>
    <w:rsid w:val="007C5B12"/>
    <w:rsid w:val="007C617C"/>
    <w:rsid w:val="007C6371"/>
    <w:rsid w:val="007D5BE2"/>
    <w:rsid w:val="007D6C4D"/>
    <w:rsid w:val="007E1ED8"/>
    <w:rsid w:val="007F23AD"/>
    <w:rsid w:val="007F530D"/>
    <w:rsid w:val="0081012F"/>
    <w:rsid w:val="00811018"/>
    <w:rsid w:val="0081263A"/>
    <w:rsid w:val="00814A85"/>
    <w:rsid w:val="00820EAB"/>
    <w:rsid w:val="00830962"/>
    <w:rsid w:val="0083161D"/>
    <w:rsid w:val="00842D70"/>
    <w:rsid w:val="00844AE0"/>
    <w:rsid w:val="00844CB0"/>
    <w:rsid w:val="00844E31"/>
    <w:rsid w:val="00845DBC"/>
    <w:rsid w:val="00847782"/>
    <w:rsid w:val="00850173"/>
    <w:rsid w:val="008512EC"/>
    <w:rsid w:val="00853ECD"/>
    <w:rsid w:val="00854C68"/>
    <w:rsid w:val="00854E95"/>
    <w:rsid w:val="00854F88"/>
    <w:rsid w:val="008577F0"/>
    <w:rsid w:val="00863692"/>
    <w:rsid w:val="00864A21"/>
    <w:rsid w:val="00865FB5"/>
    <w:rsid w:val="00866DA6"/>
    <w:rsid w:val="008775E0"/>
    <w:rsid w:val="008822AF"/>
    <w:rsid w:val="0088308A"/>
    <w:rsid w:val="00884315"/>
    <w:rsid w:val="00884349"/>
    <w:rsid w:val="0089238D"/>
    <w:rsid w:val="008A54E8"/>
    <w:rsid w:val="008A5899"/>
    <w:rsid w:val="008A5AD3"/>
    <w:rsid w:val="008A5F7D"/>
    <w:rsid w:val="008B0736"/>
    <w:rsid w:val="008B3032"/>
    <w:rsid w:val="008C42C0"/>
    <w:rsid w:val="008C7833"/>
    <w:rsid w:val="008C79FD"/>
    <w:rsid w:val="008D21BC"/>
    <w:rsid w:val="008E3030"/>
    <w:rsid w:val="008E507F"/>
    <w:rsid w:val="008E50C9"/>
    <w:rsid w:val="008E7DE2"/>
    <w:rsid w:val="008F0A24"/>
    <w:rsid w:val="008F0F76"/>
    <w:rsid w:val="008F27AB"/>
    <w:rsid w:val="00901486"/>
    <w:rsid w:val="0091510C"/>
    <w:rsid w:val="0091569A"/>
    <w:rsid w:val="00917BB2"/>
    <w:rsid w:val="0092063C"/>
    <w:rsid w:val="009210CD"/>
    <w:rsid w:val="00921791"/>
    <w:rsid w:val="00927588"/>
    <w:rsid w:val="00930B4F"/>
    <w:rsid w:val="00931926"/>
    <w:rsid w:val="009336AB"/>
    <w:rsid w:val="0094636A"/>
    <w:rsid w:val="00950310"/>
    <w:rsid w:val="00956C72"/>
    <w:rsid w:val="00957EF1"/>
    <w:rsid w:val="00964CAA"/>
    <w:rsid w:val="009657BD"/>
    <w:rsid w:val="00975110"/>
    <w:rsid w:val="00975E27"/>
    <w:rsid w:val="00982639"/>
    <w:rsid w:val="009907D6"/>
    <w:rsid w:val="009A0AB2"/>
    <w:rsid w:val="009A301F"/>
    <w:rsid w:val="009A6189"/>
    <w:rsid w:val="009B1320"/>
    <w:rsid w:val="009B1367"/>
    <w:rsid w:val="009B17C5"/>
    <w:rsid w:val="009C3741"/>
    <w:rsid w:val="009C41EC"/>
    <w:rsid w:val="009E3D4F"/>
    <w:rsid w:val="009F169B"/>
    <w:rsid w:val="009F334F"/>
    <w:rsid w:val="00A008E7"/>
    <w:rsid w:val="00A03190"/>
    <w:rsid w:val="00A031A3"/>
    <w:rsid w:val="00A07707"/>
    <w:rsid w:val="00A108AC"/>
    <w:rsid w:val="00A17225"/>
    <w:rsid w:val="00A20DED"/>
    <w:rsid w:val="00A2187D"/>
    <w:rsid w:val="00A327B7"/>
    <w:rsid w:val="00A32F5A"/>
    <w:rsid w:val="00A4468B"/>
    <w:rsid w:val="00A55C16"/>
    <w:rsid w:val="00A616E4"/>
    <w:rsid w:val="00A61948"/>
    <w:rsid w:val="00A61AB3"/>
    <w:rsid w:val="00A721AD"/>
    <w:rsid w:val="00A72C2B"/>
    <w:rsid w:val="00A76230"/>
    <w:rsid w:val="00A77D98"/>
    <w:rsid w:val="00A82A8B"/>
    <w:rsid w:val="00A84D2A"/>
    <w:rsid w:val="00A97636"/>
    <w:rsid w:val="00AA02CE"/>
    <w:rsid w:val="00AA2BE2"/>
    <w:rsid w:val="00AA514C"/>
    <w:rsid w:val="00AB2676"/>
    <w:rsid w:val="00AB272A"/>
    <w:rsid w:val="00AB314D"/>
    <w:rsid w:val="00AD7B5B"/>
    <w:rsid w:val="00AE0FF3"/>
    <w:rsid w:val="00AE15D5"/>
    <w:rsid w:val="00B03FEC"/>
    <w:rsid w:val="00B05229"/>
    <w:rsid w:val="00B06C68"/>
    <w:rsid w:val="00B203BF"/>
    <w:rsid w:val="00B21B4E"/>
    <w:rsid w:val="00B30C4E"/>
    <w:rsid w:val="00B3435C"/>
    <w:rsid w:val="00B35857"/>
    <w:rsid w:val="00B44A1C"/>
    <w:rsid w:val="00B45AB3"/>
    <w:rsid w:val="00B51996"/>
    <w:rsid w:val="00B56DAF"/>
    <w:rsid w:val="00B65768"/>
    <w:rsid w:val="00B6640D"/>
    <w:rsid w:val="00B75329"/>
    <w:rsid w:val="00B76FAE"/>
    <w:rsid w:val="00B87178"/>
    <w:rsid w:val="00BB0F9B"/>
    <w:rsid w:val="00BB2569"/>
    <w:rsid w:val="00BB4A3B"/>
    <w:rsid w:val="00BB53F6"/>
    <w:rsid w:val="00BB6536"/>
    <w:rsid w:val="00BC33DC"/>
    <w:rsid w:val="00BC66D6"/>
    <w:rsid w:val="00BD06A4"/>
    <w:rsid w:val="00BD1341"/>
    <w:rsid w:val="00BD1AE6"/>
    <w:rsid w:val="00BD5D4F"/>
    <w:rsid w:val="00BD75FE"/>
    <w:rsid w:val="00BE2A02"/>
    <w:rsid w:val="00BE6446"/>
    <w:rsid w:val="00BE75F5"/>
    <w:rsid w:val="00BF20FD"/>
    <w:rsid w:val="00BF4A4A"/>
    <w:rsid w:val="00C05A3A"/>
    <w:rsid w:val="00C11AEA"/>
    <w:rsid w:val="00C12A8A"/>
    <w:rsid w:val="00C14447"/>
    <w:rsid w:val="00C17404"/>
    <w:rsid w:val="00C240F3"/>
    <w:rsid w:val="00C26656"/>
    <w:rsid w:val="00C26DB5"/>
    <w:rsid w:val="00C272D5"/>
    <w:rsid w:val="00C42AD8"/>
    <w:rsid w:val="00C540A4"/>
    <w:rsid w:val="00C540A5"/>
    <w:rsid w:val="00C57C11"/>
    <w:rsid w:val="00C62DC9"/>
    <w:rsid w:val="00C63DEF"/>
    <w:rsid w:val="00C658FE"/>
    <w:rsid w:val="00C66525"/>
    <w:rsid w:val="00C80B86"/>
    <w:rsid w:val="00C8386A"/>
    <w:rsid w:val="00C83F0E"/>
    <w:rsid w:val="00C85DA2"/>
    <w:rsid w:val="00C8683A"/>
    <w:rsid w:val="00C86B78"/>
    <w:rsid w:val="00C90BAF"/>
    <w:rsid w:val="00C92DD1"/>
    <w:rsid w:val="00CB10A7"/>
    <w:rsid w:val="00CB1A40"/>
    <w:rsid w:val="00CB6232"/>
    <w:rsid w:val="00CB7148"/>
    <w:rsid w:val="00CC188C"/>
    <w:rsid w:val="00CC3D5E"/>
    <w:rsid w:val="00CC443D"/>
    <w:rsid w:val="00CD01E3"/>
    <w:rsid w:val="00CD18A9"/>
    <w:rsid w:val="00CD2B90"/>
    <w:rsid w:val="00CD3E8B"/>
    <w:rsid w:val="00CE443E"/>
    <w:rsid w:val="00CE6B0C"/>
    <w:rsid w:val="00CF2481"/>
    <w:rsid w:val="00CF71D0"/>
    <w:rsid w:val="00D00079"/>
    <w:rsid w:val="00D040B6"/>
    <w:rsid w:val="00D120C1"/>
    <w:rsid w:val="00D13373"/>
    <w:rsid w:val="00D13C4A"/>
    <w:rsid w:val="00D31D8A"/>
    <w:rsid w:val="00D328FA"/>
    <w:rsid w:val="00D3635E"/>
    <w:rsid w:val="00D3639D"/>
    <w:rsid w:val="00D4071F"/>
    <w:rsid w:val="00D40B15"/>
    <w:rsid w:val="00D441A9"/>
    <w:rsid w:val="00D457A3"/>
    <w:rsid w:val="00D61308"/>
    <w:rsid w:val="00D61B0A"/>
    <w:rsid w:val="00D62A7A"/>
    <w:rsid w:val="00D657CC"/>
    <w:rsid w:val="00D6600F"/>
    <w:rsid w:val="00D669BB"/>
    <w:rsid w:val="00D76C35"/>
    <w:rsid w:val="00D84558"/>
    <w:rsid w:val="00D86570"/>
    <w:rsid w:val="00DA1CF2"/>
    <w:rsid w:val="00DA7265"/>
    <w:rsid w:val="00DB2C0A"/>
    <w:rsid w:val="00DB40C2"/>
    <w:rsid w:val="00DB480D"/>
    <w:rsid w:val="00DB749F"/>
    <w:rsid w:val="00DB7BBB"/>
    <w:rsid w:val="00DC2944"/>
    <w:rsid w:val="00DD374E"/>
    <w:rsid w:val="00DF18EA"/>
    <w:rsid w:val="00DF64A5"/>
    <w:rsid w:val="00DF7DF5"/>
    <w:rsid w:val="00E03831"/>
    <w:rsid w:val="00E038C0"/>
    <w:rsid w:val="00E05197"/>
    <w:rsid w:val="00E160A5"/>
    <w:rsid w:val="00E23ECB"/>
    <w:rsid w:val="00E260A0"/>
    <w:rsid w:val="00E36353"/>
    <w:rsid w:val="00E3656E"/>
    <w:rsid w:val="00E36A9C"/>
    <w:rsid w:val="00E43515"/>
    <w:rsid w:val="00E5231B"/>
    <w:rsid w:val="00E73840"/>
    <w:rsid w:val="00E7500D"/>
    <w:rsid w:val="00E80170"/>
    <w:rsid w:val="00E80D21"/>
    <w:rsid w:val="00E833F9"/>
    <w:rsid w:val="00E86B8D"/>
    <w:rsid w:val="00E87106"/>
    <w:rsid w:val="00E925AC"/>
    <w:rsid w:val="00EA2E94"/>
    <w:rsid w:val="00EB1B37"/>
    <w:rsid w:val="00EB1F53"/>
    <w:rsid w:val="00EC022C"/>
    <w:rsid w:val="00EC540B"/>
    <w:rsid w:val="00ED01C2"/>
    <w:rsid w:val="00ED45CC"/>
    <w:rsid w:val="00EE3CF0"/>
    <w:rsid w:val="00EF0BCD"/>
    <w:rsid w:val="00EF4D23"/>
    <w:rsid w:val="00EF7893"/>
    <w:rsid w:val="00F04210"/>
    <w:rsid w:val="00F0465A"/>
    <w:rsid w:val="00F04992"/>
    <w:rsid w:val="00F051A7"/>
    <w:rsid w:val="00F05E2F"/>
    <w:rsid w:val="00F06A93"/>
    <w:rsid w:val="00F10FE2"/>
    <w:rsid w:val="00F30520"/>
    <w:rsid w:val="00F342D8"/>
    <w:rsid w:val="00F4066E"/>
    <w:rsid w:val="00F41887"/>
    <w:rsid w:val="00F41D1D"/>
    <w:rsid w:val="00F45470"/>
    <w:rsid w:val="00F45E74"/>
    <w:rsid w:val="00F47922"/>
    <w:rsid w:val="00F60F04"/>
    <w:rsid w:val="00F70043"/>
    <w:rsid w:val="00F73681"/>
    <w:rsid w:val="00F769BB"/>
    <w:rsid w:val="00F802E5"/>
    <w:rsid w:val="00F80367"/>
    <w:rsid w:val="00F8422B"/>
    <w:rsid w:val="00F86BBA"/>
    <w:rsid w:val="00F8758C"/>
    <w:rsid w:val="00F930A4"/>
    <w:rsid w:val="00F93249"/>
    <w:rsid w:val="00F933D5"/>
    <w:rsid w:val="00F96775"/>
    <w:rsid w:val="00FA041E"/>
    <w:rsid w:val="00FA5EBA"/>
    <w:rsid w:val="00FB1EA8"/>
    <w:rsid w:val="00FB1ED2"/>
    <w:rsid w:val="00FB3A7E"/>
    <w:rsid w:val="00FB428F"/>
    <w:rsid w:val="00FB567F"/>
    <w:rsid w:val="00FB75B9"/>
    <w:rsid w:val="00FC164F"/>
    <w:rsid w:val="00FC3F04"/>
    <w:rsid w:val="00FC4B76"/>
    <w:rsid w:val="00FC6482"/>
    <w:rsid w:val="00FD7B36"/>
    <w:rsid w:val="00FE2B94"/>
    <w:rsid w:val="00FE7651"/>
    <w:rsid w:val="00FF25A1"/>
    <w:rsid w:val="00FF4665"/>
    <w:rsid w:val="00FF4722"/>
    <w:rsid w:val="00FF5B62"/>
    <w:rsid w:val="00FF6BAF"/>
    <w:rsid w:val="01310E6C"/>
    <w:rsid w:val="031019C1"/>
    <w:rsid w:val="03CE7509"/>
    <w:rsid w:val="04E637A5"/>
    <w:rsid w:val="08021231"/>
    <w:rsid w:val="08E23223"/>
    <w:rsid w:val="09B455BA"/>
    <w:rsid w:val="0AAF1910"/>
    <w:rsid w:val="0B1369C9"/>
    <w:rsid w:val="0BDC1359"/>
    <w:rsid w:val="0BFF71E1"/>
    <w:rsid w:val="0C9761BC"/>
    <w:rsid w:val="0CEA6064"/>
    <w:rsid w:val="102D76A0"/>
    <w:rsid w:val="132B521E"/>
    <w:rsid w:val="184002BE"/>
    <w:rsid w:val="191D57A7"/>
    <w:rsid w:val="1B285D8C"/>
    <w:rsid w:val="21340CDC"/>
    <w:rsid w:val="24844A9C"/>
    <w:rsid w:val="27B20DEF"/>
    <w:rsid w:val="27C74237"/>
    <w:rsid w:val="280633C6"/>
    <w:rsid w:val="2806425F"/>
    <w:rsid w:val="284C142C"/>
    <w:rsid w:val="29296800"/>
    <w:rsid w:val="2A7335FE"/>
    <w:rsid w:val="2C8A0F45"/>
    <w:rsid w:val="2CF63145"/>
    <w:rsid w:val="2DFC7069"/>
    <w:rsid w:val="30BC7DFC"/>
    <w:rsid w:val="314505A5"/>
    <w:rsid w:val="329E7998"/>
    <w:rsid w:val="33421204"/>
    <w:rsid w:val="378A6849"/>
    <w:rsid w:val="39062897"/>
    <w:rsid w:val="3C33348B"/>
    <w:rsid w:val="3D2817B8"/>
    <w:rsid w:val="41BA4E66"/>
    <w:rsid w:val="41FA23F0"/>
    <w:rsid w:val="43631C44"/>
    <w:rsid w:val="44830FAE"/>
    <w:rsid w:val="44B04729"/>
    <w:rsid w:val="455652C4"/>
    <w:rsid w:val="478E641F"/>
    <w:rsid w:val="48096591"/>
    <w:rsid w:val="4BD83FD9"/>
    <w:rsid w:val="50164B04"/>
    <w:rsid w:val="52667C06"/>
    <w:rsid w:val="527F6F3C"/>
    <w:rsid w:val="52AA186A"/>
    <w:rsid w:val="52E825BF"/>
    <w:rsid w:val="532A4EB7"/>
    <w:rsid w:val="538C607B"/>
    <w:rsid w:val="53F741AD"/>
    <w:rsid w:val="54DD2D46"/>
    <w:rsid w:val="59BE2D60"/>
    <w:rsid w:val="59F77134"/>
    <w:rsid w:val="5A124DAA"/>
    <w:rsid w:val="5BB16770"/>
    <w:rsid w:val="5CA72AA5"/>
    <w:rsid w:val="5F172BBD"/>
    <w:rsid w:val="60B53AE2"/>
    <w:rsid w:val="61E17343"/>
    <w:rsid w:val="61E579A6"/>
    <w:rsid w:val="628D2EBD"/>
    <w:rsid w:val="62DA79A7"/>
    <w:rsid w:val="62F71AD6"/>
    <w:rsid w:val="645342B6"/>
    <w:rsid w:val="6B6C4230"/>
    <w:rsid w:val="703018D2"/>
    <w:rsid w:val="70AF54BA"/>
    <w:rsid w:val="70C158BA"/>
    <w:rsid w:val="717963BD"/>
    <w:rsid w:val="7241444E"/>
    <w:rsid w:val="73C24F56"/>
    <w:rsid w:val="74EF691B"/>
    <w:rsid w:val="77106D06"/>
    <w:rsid w:val="777C31DC"/>
    <w:rsid w:val="77B74305"/>
    <w:rsid w:val="78E75066"/>
    <w:rsid w:val="7BF83EE8"/>
    <w:rsid w:val="7D8250B0"/>
    <w:rsid w:val="7F2A7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列表段落1"/>
    <w:basedOn w:val="1"/>
    <w:qFormat/>
    <w:uiPriority w:val="34"/>
    <w:pPr>
      <w:ind w:firstLine="420" w:firstLineChars="200"/>
    </w:pPr>
  </w:style>
  <w:style w:type="character" w:customStyle="1" w:styleId="9">
    <w:name w:val="批注框文本 字符"/>
    <w:basedOn w:val="7"/>
    <w:link w:val="2"/>
    <w:semiHidden/>
    <w:qFormat/>
    <w:uiPriority w:val="99"/>
    <w:rPr>
      <w:sz w:val="18"/>
      <w:szCs w:val="18"/>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2C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7233994-AF96-4DE2-90D1-C4608A2AF7B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305</Words>
  <Characters>1740</Characters>
  <Lines>14</Lines>
  <Paragraphs>4</Paragraphs>
  <TotalTime>3</TotalTime>
  <ScaleCrop>false</ScaleCrop>
  <LinksUpToDate>false</LinksUpToDate>
  <CharactersWithSpaces>2041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2020-04-13T09:23:00Z</dcterms:created>
  <dc:creator>大兴支行公司及机构业务中心</dc:creator>
  <cp:lastModifiedBy>商务局</cp:lastModifiedBy>
  <cp:lastPrinted>2020-12-25T09:07:00Z</cp:lastPrinted>
  <dcterms:modified xsi:type="dcterms:W3CDTF">2021-12-28T06:34:59Z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7A15DC22FF2F4CB3864165CF78BDBC26</vt:lpwstr>
  </property>
</Properties>
</file>