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bookmarkStart w:id="0" w:name="_GoBack"/>
    </w:p>
    <w:p>
      <w:pPr>
        <w:spacing w:line="560" w:lineRule="exact"/>
        <w:jc w:val="center"/>
        <w:rPr>
          <w:rFonts w:hint="eastAsia" w:ascii="方正小标宋简体" w:hAnsi="华文中宋" w:eastAsia="方正小标宋简体"/>
          <w:sz w:val="44"/>
          <w:szCs w:val="44"/>
          <w:lang w:eastAsia="zh-CN"/>
        </w:rPr>
      </w:pPr>
      <w:r>
        <w:rPr>
          <w:rFonts w:hint="eastAsia" w:ascii="方正小标宋简体" w:hAnsi="华文中宋" w:eastAsia="方正小标宋简体"/>
          <w:sz w:val="44"/>
          <w:szCs w:val="44"/>
          <w:lang w:eastAsia="zh-CN"/>
        </w:rPr>
        <w:t>关于《大兴区中小微餐饮企业担保贷款政策</w:t>
      </w:r>
    </w:p>
    <w:p>
      <w:pPr>
        <w:spacing w:line="560" w:lineRule="exact"/>
        <w:jc w:val="center"/>
        <w:rPr>
          <w:sz w:val="44"/>
          <w:szCs w:val="44"/>
        </w:rPr>
      </w:pPr>
      <w:r>
        <w:rPr>
          <w:rFonts w:hint="eastAsia" w:ascii="方正小标宋简体" w:hAnsi="华文中宋" w:eastAsia="方正小标宋简体"/>
          <w:sz w:val="44"/>
          <w:szCs w:val="44"/>
          <w:lang w:eastAsia="zh-CN"/>
        </w:rPr>
        <w:t>实施细则（修订版V2.0）》的</w:t>
      </w:r>
      <w:r>
        <w:rPr>
          <w:rFonts w:hint="eastAsia" w:ascii="方正小标宋简体" w:hAnsi="华文中宋" w:eastAsia="方正小标宋简体"/>
          <w:sz w:val="44"/>
          <w:szCs w:val="44"/>
        </w:rPr>
        <w:t>起草说明</w:t>
      </w:r>
    </w:p>
    <w:bookmarkEnd w:id="0"/>
    <w:p>
      <w:pPr>
        <w:spacing w:line="560" w:lineRule="exact"/>
        <w:jc w:val="left"/>
        <w:rPr>
          <w:rFonts w:ascii="黑体" w:hAnsi="黑体" w:eastAsia="黑体"/>
          <w:szCs w:val="32"/>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宋体"/>
          <w:kern w:val="0"/>
          <w:szCs w:val="32"/>
          <w:lang w:eastAsia="zh-CN"/>
        </w:rPr>
      </w:pPr>
      <w:r>
        <w:rPr>
          <w:rFonts w:hint="eastAsia" w:ascii="黑体" w:hAnsi="宋体" w:eastAsia="黑体" w:cs="宋体"/>
          <w:kern w:val="0"/>
          <w:szCs w:val="32"/>
          <w:lang w:eastAsia="zh-CN"/>
        </w:rPr>
        <w:t>工作背景</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eastAsia="zh-CN"/>
        </w:rPr>
      </w:pPr>
      <w:r>
        <w:rPr>
          <w:rFonts w:hint="eastAsia" w:ascii="仿宋_GB2312" w:hAnsi="仿宋_GB2312" w:cs="仿宋_GB2312"/>
          <w:color w:val="000000"/>
          <w:sz w:val="32"/>
          <w:szCs w:val="32"/>
          <w:lang w:eastAsia="zh-CN"/>
        </w:rPr>
        <w:t>2020年，为落实《大兴区关于进一步支持中小微企业应对疫情影响保持平稳发展的若干措施》（京兴政办发〔2020〕13号）文件精神，降低疫情对餐饮企业的影响，解决企业融资难、融资贵问题，帮助企业渡过难关。大兴区商务局组织实施了大兴区中小微餐饮企业专项资金担保贷款项目，并制定了《大兴区中小微餐饮企业担保贷款政策实施细则》（以下简称实施细则），安排1000万财政资金，撬动担保公司提供了5000万的贷款担保规模，最大限度发挥财政资金的引导作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宋体"/>
          <w:kern w:val="0"/>
          <w:szCs w:val="32"/>
          <w:lang w:eastAsia="zh-CN"/>
        </w:rPr>
      </w:pPr>
      <w:r>
        <w:rPr>
          <w:rFonts w:hint="eastAsia" w:ascii="黑体" w:hAnsi="宋体" w:eastAsia="黑体" w:cs="宋体"/>
          <w:kern w:val="0"/>
          <w:szCs w:val="32"/>
        </w:rPr>
        <w:t>二、</w:t>
      </w:r>
      <w:r>
        <w:rPr>
          <w:rFonts w:hint="eastAsia" w:ascii="黑体" w:hAnsi="宋体" w:eastAsia="黑体" w:cs="宋体"/>
          <w:kern w:val="0"/>
          <w:szCs w:val="32"/>
          <w:lang w:eastAsia="zh-CN"/>
        </w:rPr>
        <w:t>修订原因</w:t>
      </w:r>
    </w:p>
    <w:p>
      <w:pPr>
        <w:ind w:firstLine="640"/>
        <w:rPr>
          <w:rFonts w:hint="eastAsia" w:hAnsi="仿宋_GB2312" w:cs="仿宋_GB2312"/>
          <w:kern w:val="2"/>
          <w:sz w:val="32"/>
          <w:szCs w:val="32"/>
          <w:lang w:val="en-US" w:eastAsia="zh-CN" w:bidi="ar-SA"/>
        </w:rPr>
      </w:pPr>
      <w:r>
        <w:rPr>
          <w:rFonts w:hint="eastAsia" w:ascii="仿宋_GB2312" w:hAnsi="仿宋_GB2312" w:cs="仿宋_GB2312"/>
          <w:color w:val="000000"/>
          <w:sz w:val="32"/>
          <w:szCs w:val="32"/>
          <w:lang w:eastAsia="zh-CN"/>
        </w:rPr>
        <w:t>为保证政策的稳定性、持续性，2020年12月将实施期限由2020年12月31日延长至2021年6月8日。现为进一步稳定餐饮行业，促进中小微餐饮企业发展，建议对实施细则再次进行修订</w:t>
      </w:r>
      <w:r>
        <w:rPr>
          <w:rFonts w:hint="eastAsia" w:hAnsi="仿宋_GB2312" w:cs="仿宋_GB2312"/>
          <w:kern w:val="2"/>
          <w:sz w:val="32"/>
          <w:szCs w:val="32"/>
          <w:lang w:val="en-US" w:eastAsia="zh-CN" w:bidi="ar-SA"/>
        </w:rPr>
        <w:t>。</w:t>
      </w:r>
    </w:p>
    <w:p>
      <w:pPr>
        <w:pStyle w:val="2"/>
        <w:ind w:firstLine="640"/>
        <w:rPr>
          <w:rFonts w:hint="eastAsia" w:ascii="黑体" w:hAnsi="宋体" w:eastAsia="黑体" w:cs="宋体"/>
          <w:kern w:val="0"/>
          <w:sz w:val="32"/>
          <w:szCs w:val="32"/>
          <w:lang w:val="en-US" w:eastAsia="zh-CN" w:bidi="ar-SA"/>
        </w:rPr>
      </w:pPr>
      <w:r>
        <w:rPr>
          <w:rFonts w:hint="eastAsia" w:ascii="黑体" w:hAnsi="宋体" w:eastAsia="黑体" w:cs="宋体"/>
          <w:kern w:val="0"/>
          <w:sz w:val="32"/>
          <w:szCs w:val="32"/>
          <w:lang w:val="en-US" w:eastAsia="zh-CN" w:bidi="ar-SA"/>
        </w:rPr>
        <w:t>三、修订内容</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eastAsia="zh-CN"/>
        </w:rPr>
        <w:t>一、将实施细则的期限延续至2021年12月31日，“对符合条件的中小微餐饮企业，自本细则发布之日至2021年6月8日期间新办理的贷款业务给予担保”，修改为“对符合条件的中小微餐饮企业，自本细则发布之日至2021年12月31日前提交完整资料的餐饮企业给予贷款担保”。</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eastAsia="zh-CN"/>
        </w:rPr>
        <w:t>二、因餐饮企业在2020年遭遇多次疫情反复，为鼓励餐饮企业复工复产，对已享受该政策的餐饮企业，在其按时或提前归还贷款本金及利息后，可于2021年12月31日前再次申报担保贷款。再次申报担保贷款的最长期限不超过12个月。</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outlineLvl w:val="9"/>
        <w:rPr>
          <w:rFonts w:hint="default"/>
          <w:lang w:val="en-US" w:eastAsia="zh-CN"/>
        </w:rPr>
      </w:pPr>
      <w:r>
        <w:rPr>
          <w:rFonts w:hint="eastAsia" w:ascii="仿宋_GB2312" w:hAnsi="仿宋_GB2312" w:cs="仿宋_GB2312"/>
          <w:color w:val="000000"/>
          <w:sz w:val="32"/>
          <w:szCs w:val="32"/>
          <w:lang w:eastAsia="zh-CN"/>
        </w:rPr>
        <w:t>三、为综合考察餐饮企业经营能力，“大兴区餐饮企业分类参考表”中对企业月均流水的审核不再仅限于2019年度</w:t>
      </w:r>
      <w:r>
        <w:rPr>
          <w:rFonts w:hint="eastAsia" w:ascii="仿宋_GB2312" w:eastAsia="仿宋_GB2312" w:cs="仿宋_GB2312"/>
          <w:sz w:val="32"/>
          <w:szCs w:val="32"/>
          <w:lang w:bidi="ar-SA"/>
        </w:rPr>
        <w:t>。</w:t>
      </w:r>
    </w:p>
    <w:p>
      <w:pPr>
        <w:pStyle w:val="5"/>
        <w:rPr>
          <w:rFonts w:hint="eastAsia" w:ascii="仿宋_GB2312" w:hAnsi="仿宋_GB2312" w:cs="仿宋_GB2312"/>
          <w:b w:val="0"/>
          <w:bCs w:val="0"/>
          <w:sz w:val="32"/>
          <w:szCs w:val="32"/>
          <w:lang w:val="en-US" w:eastAsia="zh-CN"/>
        </w:rPr>
      </w:pPr>
    </w:p>
    <w:p>
      <w:pPr>
        <w:rPr>
          <w:rFonts w:hint="eastAsia" w:ascii="仿宋_GB2312" w:hAnsi="仿宋_GB2312" w:cs="仿宋_GB2312"/>
          <w:b w:val="0"/>
          <w:bCs w:val="0"/>
          <w:sz w:val="32"/>
          <w:szCs w:val="32"/>
          <w:lang w:val="en-US" w:eastAsia="zh-CN"/>
        </w:rPr>
      </w:pPr>
    </w:p>
    <w:p>
      <w:pPr>
        <w:spacing w:line="560" w:lineRule="exact"/>
        <w:ind w:left="4800" w:leftChars="200" w:hanging="4160" w:hangingChars="1300"/>
        <w:jc w:val="left"/>
        <w:rPr>
          <w:rFonts w:hint="eastAsia" w:hAnsi="仿宋_GB2312" w:cs="仿宋_GB2312"/>
          <w:color w:val="000000"/>
          <w:kern w:val="2"/>
          <w:sz w:val="32"/>
          <w:szCs w:val="32"/>
          <w:lang w:val="en-US" w:eastAsia="zh-CN" w:bidi="ar-SA"/>
        </w:rPr>
      </w:pPr>
      <w:r>
        <w:rPr>
          <w:rFonts w:hint="eastAsia"/>
          <w:lang w:val="en-US" w:eastAsia="zh-CN"/>
        </w:rPr>
        <w:t xml:space="preserve">                         </w:t>
      </w:r>
      <w:r>
        <w:rPr>
          <w:rFonts w:hint="eastAsia" w:hAnsi="仿宋_GB2312" w:cs="仿宋_GB2312"/>
          <w:color w:val="000000"/>
          <w:kern w:val="2"/>
          <w:sz w:val="32"/>
          <w:szCs w:val="32"/>
          <w:lang w:val="en-US" w:eastAsia="zh-CN" w:bidi="ar-SA"/>
        </w:rPr>
        <w:t>北京市大兴区商务局</w:t>
      </w:r>
    </w:p>
    <w:p>
      <w:pPr>
        <w:spacing w:line="560" w:lineRule="exact"/>
        <w:ind w:left="4800" w:leftChars="1500" w:firstLine="320" w:firstLineChars="100"/>
        <w:jc w:val="left"/>
        <w:rPr>
          <w:rFonts w:hint="default" w:hAnsi="仿宋_GB2312" w:cs="仿宋_GB2312"/>
          <w:color w:val="000000"/>
          <w:kern w:val="2"/>
          <w:sz w:val="32"/>
          <w:szCs w:val="32"/>
          <w:lang w:val="en-US" w:eastAsia="zh-CN" w:bidi="ar-SA"/>
        </w:rPr>
      </w:pPr>
      <w:r>
        <w:rPr>
          <w:rFonts w:hint="eastAsia" w:hAnsi="仿宋_GB2312" w:cs="仿宋_GB2312"/>
          <w:color w:val="000000"/>
          <w:kern w:val="2"/>
          <w:sz w:val="32"/>
          <w:szCs w:val="32"/>
          <w:lang w:val="en-US" w:eastAsia="zh-CN" w:bidi="ar-SA"/>
        </w:rPr>
        <w:t>2021年6月24日</w:t>
      </w:r>
    </w:p>
    <w:p>
      <w:pPr>
        <w:pStyle w:val="5"/>
        <w:rPr>
          <w:rFonts w:hint="default"/>
          <w:lang w:val="en-US" w:eastAsia="zh-CN"/>
        </w:rPr>
      </w:pPr>
    </w:p>
    <w:sectPr>
      <w:footerReference r:id="rId3" w:type="default"/>
      <w:footerReference r:id="rId4" w:type="even"/>
      <w:pgSz w:w="11906" w:h="16838"/>
      <w:pgMar w:top="1458"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15"/>
                              <w:rFonts w:asciiTheme="minorEastAsia" w:hAnsiTheme="minorEastAsia" w:eastAsiaTheme="minorEastAsia"/>
                              <w:sz w:val="28"/>
                              <w:szCs w:val="28"/>
                            </w:rPr>
                          </w:pPr>
                          <w:r>
                            <w:rPr>
                              <w:rStyle w:val="15"/>
                              <w:rFonts w:asciiTheme="minorEastAsia" w:hAnsiTheme="minorEastAsia" w:eastAsiaTheme="minorEastAsia"/>
                              <w:sz w:val="28"/>
                              <w:szCs w:val="28"/>
                            </w:rPr>
                            <w:fldChar w:fldCharType="begin"/>
                          </w:r>
                          <w:r>
                            <w:rPr>
                              <w:rStyle w:val="15"/>
                              <w:rFonts w:asciiTheme="minorEastAsia" w:hAnsiTheme="minorEastAsia" w:eastAsiaTheme="minorEastAsia"/>
                              <w:sz w:val="28"/>
                              <w:szCs w:val="28"/>
                            </w:rPr>
                            <w:instrText xml:space="preserve">PAGE  </w:instrText>
                          </w:r>
                          <w:r>
                            <w:rPr>
                              <w:rStyle w:val="15"/>
                              <w:rFonts w:asciiTheme="minorEastAsia" w:hAnsiTheme="minorEastAsia" w:eastAsiaTheme="minorEastAsia"/>
                              <w:sz w:val="28"/>
                              <w:szCs w:val="28"/>
                            </w:rPr>
                            <w:fldChar w:fldCharType="separate"/>
                          </w:r>
                          <w:r>
                            <w:rPr>
                              <w:rStyle w:val="15"/>
                              <w:rFonts w:asciiTheme="minorEastAsia" w:hAnsiTheme="minorEastAsia" w:eastAsiaTheme="minorEastAsia"/>
                              <w:sz w:val="28"/>
                              <w:szCs w:val="28"/>
                            </w:rPr>
                            <w:t>- 3 -</w:t>
                          </w:r>
                          <w:r>
                            <w:rPr>
                              <w:rStyle w:val="15"/>
                              <w:rFonts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15"/>
                        <w:rFonts w:asciiTheme="minorEastAsia" w:hAnsiTheme="minorEastAsia" w:eastAsiaTheme="minorEastAsia"/>
                        <w:sz w:val="28"/>
                        <w:szCs w:val="28"/>
                      </w:rPr>
                    </w:pPr>
                    <w:r>
                      <w:rPr>
                        <w:rStyle w:val="15"/>
                        <w:rFonts w:asciiTheme="minorEastAsia" w:hAnsiTheme="minorEastAsia" w:eastAsiaTheme="minorEastAsia"/>
                        <w:sz w:val="28"/>
                        <w:szCs w:val="28"/>
                      </w:rPr>
                      <w:fldChar w:fldCharType="begin"/>
                    </w:r>
                    <w:r>
                      <w:rPr>
                        <w:rStyle w:val="15"/>
                        <w:rFonts w:asciiTheme="minorEastAsia" w:hAnsiTheme="minorEastAsia" w:eastAsiaTheme="minorEastAsia"/>
                        <w:sz w:val="28"/>
                        <w:szCs w:val="28"/>
                      </w:rPr>
                      <w:instrText xml:space="preserve">PAGE  </w:instrText>
                    </w:r>
                    <w:r>
                      <w:rPr>
                        <w:rStyle w:val="15"/>
                        <w:rFonts w:asciiTheme="minorEastAsia" w:hAnsiTheme="minorEastAsia" w:eastAsiaTheme="minorEastAsia"/>
                        <w:sz w:val="28"/>
                        <w:szCs w:val="28"/>
                      </w:rPr>
                      <w:fldChar w:fldCharType="separate"/>
                    </w:r>
                    <w:r>
                      <w:rPr>
                        <w:rStyle w:val="15"/>
                        <w:rFonts w:asciiTheme="minorEastAsia" w:hAnsiTheme="minorEastAsia" w:eastAsiaTheme="minorEastAsia"/>
                        <w:sz w:val="28"/>
                        <w:szCs w:val="28"/>
                      </w:rPr>
                      <w:t>- 3 -</w:t>
                    </w:r>
                    <w:r>
                      <w:rPr>
                        <w:rStyle w:val="15"/>
                        <w:rFonts w:asciiTheme="minorEastAsia" w:hAnsiTheme="minorEastAsia" w:eastAsia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5D0D9"/>
    <w:multiLevelType w:val="singleLevel"/>
    <w:tmpl w:val="C565D0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B1"/>
    <w:rsid w:val="0000051D"/>
    <w:rsid w:val="00003EAE"/>
    <w:rsid w:val="00052147"/>
    <w:rsid w:val="000C6E2C"/>
    <w:rsid w:val="000F2BA3"/>
    <w:rsid w:val="0011018C"/>
    <w:rsid w:val="00110A26"/>
    <w:rsid w:val="001751E8"/>
    <w:rsid w:val="00195DC1"/>
    <w:rsid w:val="00280958"/>
    <w:rsid w:val="002A1952"/>
    <w:rsid w:val="002A71E8"/>
    <w:rsid w:val="002C042B"/>
    <w:rsid w:val="002C3B2B"/>
    <w:rsid w:val="003055E1"/>
    <w:rsid w:val="00313696"/>
    <w:rsid w:val="00320789"/>
    <w:rsid w:val="003634DA"/>
    <w:rsid w:val="003717CD"/>
    <w:rsid w:val="003C1A6A"/>
    <w:rsid w:val="004051E0"/>
    <w:rsid w:val="00441EEF"/>
    <w:rsid w:val="00456E63"/>
    <w:rsid w:val="0049734C"/>
    <w:rsid w:val="004B4958"/>
    <w:rsid w:val="004D1502"/>
    <w:rsid w:val="004F158B"/>
    <w:rsid w:val="005357D8"/>
    <w:rsid w:val="00541DBD"/>
    <w:rsid w:val="0055148B"/>
    <w:rsid w:val="00551F3E"/>
    <w:rsid w:val="00574009"/>
    <w:rsid w:val="00576214"/>
    <w:rsid w:val="005C38A3"/>
    <w:rsid w:val="005D33A4"/>
    <w:rsid w:val="005E4AF5"/>
    <w:rsid w:val="0061439F"/>
    <w:rsid w:val="00620132"/>
    <w:rsid w:val="006A56CE"/>
    <w:rsid w:val="006C624F"/>
    <w:rsid w:val="006D3907"/>
    <w:rsid w:val="006E3AE5"/>
    <w:rsid w:val="006F51DA"/>
    <w:rsid w:val="007374E7"/>
    <w:rsid w:val="007459DA"/>
    <w:rsid w:val="00753763"/>
    <w:rsid w:val="00781B0C"/>
    <w:rsid w:val="007A3F25"/>
    <w:rsid w:val="007B002F"/>
    <w:rsid w:val="007E06D2"/>
    <w:rsid w:val="007E15CE"/>
    <w:rsid w:val="007F5352"/>
    <w:rsid w:val="0081108A"/>
    <w:rsid w:val="00851C49"/>
    <w:rsid w:val="00864540"/>
    <w:rsid w:val="00877E86"/>
    <w:rsid w:val="00891F8B"/>
    <w:rsid w:val="008A6897"/>
    <w:rsid w:val="008B0BBB"/>
    <w:rsid w:val="008B6A02"/>
    <w:rsid w:val="00962CDA"/>
    <w:rsid w:val="00970746"/>
    <w:rsid w:val="009B2A61"/>
    <w:rsid w:val="009B7540"/>
    <w:rsid w:val="00A003BB"/>
    <w:rsid w:val="00A07C6D"/>
    <w:rsid w:val="00A14D04"/>
    <w:rsid w:val="00A34A11"/>
    <w:rsid w:val="00A47107"/>
    <w:rsid w:val="00A6744A"/>
    <w:rsid w:val="00A719D0"/>
    <w:rsid w:val="00A9058B"/>
    <w:rsid w:val="00AC4746"/>
    <w:rsid w:val="00AD1FA3"/>
    <w:rsid w:val="00AD3626"/>
    <w:rsid w:val="00AD38A2"/>
    <w:rsid w:val="00B5301C"/>
    <w:rsid w:val="00B84A6D"/>
    <w:rsid w:val="00BA35E4"/>
    <w:rsid w:val="00BD165B"/>
    <w:rsid w:val="00BE425F"/>
    <w:rsid w:val="00BF684B"/>
    <w:rsid w:val="00C0081F"/>
    <w:rsid w:val="00CA6FCC"/>
    <w:rsid w:val="00CC3B74"/>
    <w:rsid w:val="00D03E1D"/>
    <w:rsid w:val="00D514B0"/>
    <w:rsid w:val="00D51871"/>
    <w:rsid w:val="00D64B0D"/>
    <w:rsid w:val="00D65041"/>
    <w:rsid w:val="00D7177E"/>
    <w:rsid w:val="00DA4441"/>
    <w:rsid w:val="00DB7791"/>
    <w:rsid w:val="00E57D2C"/>
    <w:rsid w:val="00E64AB1"/>
    <w:rsid w:val="00E73A65"/>
    <w:rsid w:val="00ED6C66"/>
    <w:rsid w:val="00EE154A"/>
    <w:rsid w:val="00F312CB"/>
    <w:rsid w:val="00F47630"/>
    <w:rsid w:val="00F63842"/>
    <w:rsid w:val="00F63871"/>
    <w:rsid w:val="00F96F13"/>
    <w:rsid w:val="00FA480D"/>
    <w:rsid w:val="012D5827"/>
    <w:rsid w:val="0360105B"/>
    <w:rsid w:val="038566F4"/>
    <w:rsid w:val="07D042DF"/>
    <w:rsid w:val="0D0A0B3B"/>
    <w:rsid w:val="10BB3667"/>
    <w:rsid w:val="12375F4B"/>
    <w:rsid w:val="166F79BB"/>
    <w:rsid w:val="22CD759D"/>
    <w:rsid w:val="24A90EFE"/>
    <w:rsid w:val="28AF7B50"/>
    <w:rsid w:val="294977B3"/>
    <w:rsid w:val="33FA0B39"/>
    <w:rsid w:val="3A8C231F"/>
    <w:rsid w:val="43784D6B"/>
    <w:rsid w:val="4AA30192"/>
    <w:rsid w:val="4B9506B1"/>
    <w:rsid w:val="4EE41018"/>
    <w:rsid w:val="57FF33EC"/>
    <w:rsid w:val="59A527C3"/>
    <w:rsid w:val="609D67EF"/>
    <w:rsid w:val="60C96FCD"/>
    <w:rsid w:val="6617509C"/>
    <w:rsid w:val="690F58B3"/>
    <w:rsid w:val="6C14773F"/>
    <w:rsid w:val="6C430811"/>
    <w:rsid w:val="6D232782"/>
    <w:rsid w:val="71B32E91"/>
    <w:rsid w:val="74497842"/>
    <w:rsid w:val="7C7F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仿宋_GB2312"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24"/>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pPr>
    <w:rPr>
      <w:rFonts w:ascii="Times New Roman" w:eastAsia="宋体"/>
      <w:szCs w:val="20"/>
    </w:rPr>
  </w:style>
  <w:style w:type="paragraph" w:styleId="4">
    <w:name w:val="Body Text"/>
    <w:basedOn w:val="1"/>
    <w:link w:val="16"/>
    <w:qFormat/>
    <w:uiPriority w:val="0"/>
    <w:pPr>
      <w:jc w:val="center"/>
    </w:pPr>
    <w:rPr>
      <w:rFonts w:ascii="宋体" w:hAnsi="宋体" w:eastAsia="宋体"/>
      <w:kern w:val="0"/>
      <w:sz w:val="44"/>
      <w:szCs w:val="44"/>
    </w:rPr>
  </w:style>
  <w:style w:type="paragraph" w:styleId="5">
    <w:name w:val="Plain Text"/>
    <w:basedOn w:val="1"/>
    <w:next w:val="1"/>
    <w:qFormat/>
    <w:uiPriority w:val="0"/>
    <w:rPr>
      <w:rFonts w:ascii="宋体" w:hAnsi="Courier New"/>
      <w:szCs w:val="21"/>
    </w:r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30"/>
    <w:qFormat/>
    <w:uiPriority w:val="0"/>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rFonts w:ascii="Times New Roman" w:eastAsia="宋体"/>
      <w:sz w:val="18"/>
      <w:szCs w:val="18"/>
    </w:rPr>
  </w:style>
  <w:style w:type="paragraph" w:styleId="9">
    <w:name w:val="Body Text 2"/>
    <w:basedOn w:val="1"/>
    <w:qFormat/>
    <w:uiPriority w:val="0"/>
    <w:pPr>
      <w:spacing w:after="120" w:line="480" w:lineRule="auto"/>
    </w:pPr>
    <w:rPr>
      <w:rFonts w:ascii="Times New Roman" w:eastAsia="宋体"/>
      <w:sz w:val="21"/>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color w:val="000000"/>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正文文本 Char"/>
    <w:basedOn w:val="14"/>
    <w:link w:val="4"/>
    <w:qFormat/>
    <w:uiPriority w:val="0"/>
    <w:rPr>
      <w:rFonts w:ascii="宋体" w:hAnsi="宋体" w:eastAsia="宋体"/>
      <w:sz w:val="44"/>
      <w:szCs w:val="44"/>
      <w:lang w:bidi="ar-SA"/>
    </w:rPr>
  </w:style>
  <w:style w:type="paragraph" w:customStyle="1" w:styleId="17">
    <w:name w:val="Char1"/>
    <w:basedOn w:val="1"/>
    <w:qFormat/>
    <w:uiPriority w:val="0"/>
  </w:style>
  <w:style w:type="paragraph" w:customStyle="1" w:styleId="18">
    <w:name w:val="Char1 Char Char Char"/>
    <w:basedOn w:val="1"/>
    <w:qFormat/>
    <w:uiPriority w:val="0"/>
    <w:rPr>
      <w:rFonts w:ascii="Tahoma" w:hAnsi="Tahoma" w:eastAsia="宋体"/>
      <w:sz w:val="24"/>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20">
    <w:name w:val="Char"/>
    <w:basedOn w:val="1"/>
    <w:qFormat/>
    <w:uiPriority w:val="0"/>
    <w:pPr>
      <w:widowControl/>
      <w:spacing w:after="160" w:line="240" w:lineRule="exact"/>
      <w:jc w:val="left"/>
    </w:pPr>
    <w:rPr>
      <w:rFonts w:ascii="Times New Roman" w:eastAsia="宋体"/>
      <w:sz w:val="21"/>
      <w:szCs w:val="20"/>
    </w:rPr>
  </w:style>
  <w:style w:type="paragraph" w:customStyle="1" w:styleId="21">
    <w:name w:val="普通文字"/>
    <w:basedOn w:val="1"/>
    <w:next w:val="1"/>
    <w:qFormat/>
    <w:uiPriority w:val="0"/>
    <w:pPr>
      <w:widowControl/>
    </w:pPr>
    <w:rPr>
      <w:rFonts w:ascii="宋体" w:eastAsia="宋体"/>
      <w:color w:val="000000"/>
      <w:sz w:val="21"/>
      <w:szCs w:val="20"/>
    </w:rPr>
  </w:style>
  <w:style w:type="character" w:customStyle="1" w:styleId="22">
    <w:name w:val="f14b1"/>
    <w:basedOn w:val="14"/>
    <w:qFormat/>
    <w:uiPriority w:val="0"/>
    <w:rPr>
      <w:b/>
      <w:bCs/>
      <w:sz w:val="21"/>
      <w:szCs w:val="21"/>
    </w:rPr>
  </w:style>
  <w:style w:type="paragraph" w:customStyle="1" w:styleId="23">
    <w:name w:val="p0"/>
    <w:basedOn w:val="1"/>
    <w:qFormat/>
    <w:uiPriority w:val="0"/>
    <w:pPr>
      <w:widowControl/>
    </w:pPr>
    <w:rPr>
      <w:rFonts w:ascii="Times New Roman" w:eastAsia="宋体"/>
      <w:kern w:val="0"/>
      <w:sz w:val="21"/>
      <w:szCs w:val="21"/>
    </w:rPr>
  </w:style>
  <w:style w:type="character" w:customStyle="1" w:styleId="24">
    <w:name w:val="页脚 Char"/>
    <w:basedOn w:val="14"/>
    <w:link w:val="2"/>
    <w:qFormat/>
    <w:uiPriority w:val="99"/>
    <w:rPr>
      <w:rFonts w:ascii="仿宋_GB2312" w:eastAsia="仿宋_GB2312"/>
      <w:kern w:val="2"/>
      <w:sz w:val="18"/>
      <w:szCs w:val="18"/>
    </w:rPr>
  </w:style>
  <w:style w:type="character" w:customStyle="1" w:styleId="25">
    <w:name w:val="页眉 Char"/>
    <w:basedOn w:val="14"/>
    <w:link w:val="8"/>
    <w:qFormat/>
    <w:uiPriority w:val="0"/>
    <w:rPr>
      <w:kern w:val="2"/>
      <w:sz w:val="18"/>
      <w:szCs w:val="18"/>
    </w:rPr>
  </w:style>
  <w:style w:type="paragraph" w:customStyle="1" w:styleId="26">
    <w:name w:val="List Paragraph"/>
    <w:basedOn w:val="1"/>
    <w:qFormat/>
    <w:uiPriority w:val="0"/>
    <w:pPr>
      <w:ind w:firstLine="420" w:firstLineChars="200"/>
    </w:pPr>
    <w:rPr>
      <w:rFonts w:ascii="Calibri" w:hAnsi="Calibri" w:eastAsia="宋体"/>
      <w:sz w:val="21"/>
      <w:szCs w:val="22"/>
    </w:rPr>
  </w:style>
  <w:style w:type="paragraph" w:customStyle="1" w:styleId="27">
    <w:name w:val="印发机关"/>
    <w:basedOn w:val="1"/>
    <w:link w:val="28"/>
    <w:qFormat/>
    <w:uiPriority w:val="0"/>
    <w:pPr>
      <w:ind w:left="255" w:right="255"/>
    </w:pPr>
    <w:rPr>
      <w:rFonts w:ascii="Times New Roman"/>
      <w:sz w:val="28"/>
      <w:szCs w:val="20"/>
    </w:rPr>
  </w:style>
  <w:style w:type="character" w:customStyle="1" w:styleId="28">
    <w:name w:val="印发机关 Char"/>
    <w:link w:val="27"/>
    <w:qFormat/>
    <w:uiPriority w:val="0"/>
    <w:rPr>
      <w:rFonts w:eastAsia="仿宋_GB2312"/>
      <w:kern w:val="2"/>
      <w:sz w:val="28"/>
    </w:rPr>
  </w:style>
  <w:style w:type="paragraph" w:customStyle="1" w:styleId="29">
    <w:name w:val="正文1"/>
    <w:basedOn w:val="1"/>
    <w:qFormat/>
    <w:uiPriority w:val="0"/>
    <w:pPr>
      <w:adjustRightInd w:val="0"/>
      <w:textAlignment w:val="baseline"/>
    </w:pPr>
    <w:rPr>
      <w:rFonts w:ascii="楷体_GB2312" w:eastAsia="楷体_GB2312"/>
      <w:kern w:val="0"/>
      <w:szCs w:val="32"/>
    </w:rPr>
  </w:style>
  <w:style w:type="character" w:customStyle="1" w:styleId="30">
    <w:name w:val="批注框文本 Char"/>
    <w:basedOn w:val="14"/>
    <w:link w:val="7"/>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3</Pages>
  <Words>100</Words>
  <Characters>570</Characters>
  <Lines>4</Lines>
  <Paragraphs>1</Paragraphs>
  <TotalTime>2</TotalTime>
  <ScaleCrop>false</ScaleCrop>
  <LinksUpToDate>false</LinksUpToDate>
  <CharactersWithSpaces>669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2019-04-10T03:37:00Z</dcterms:created>
  <dc:creator>番茄花园</dc:creator>
  <cp:lastModifiedBy>派小星</cp:lastModifiedBy>
  <cp:lastPrinted>2021-09-07T02:44:00Z</cp:lastPrinted>
  <dcterms:modified xsi:type="dcterms:W3CDTF">2021-09-10T07:48:01Z</dcterms:modified>
  <dc:title>北京市石景山区人民政府文件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30EB66F880C74D73BC03BDA7DCFF28EF</vt:lpwstr>
  </property>
</Properties>
</file>