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hint="eastAsia" w:ascii="方正小标宋简体" w:hAnsi="方正小标宋简体" w:eastAsia="方正小标宋简体" w:cs="方正小标宋简体"/>
          <w:sz w:val="44"/>
          <w:szCs w:val="44"/>
          <w:lang w:val="en-US" w:eastAsia="zh-CN"/>
        </w:rPr>
        <w:t>大兴区</w:t>
      </w:r>
      <w:r>
        <w:rPr>
          <w:rFonts w:hint="eastAsia" w:eastAsia="方正小标宋简体"/>
          <w:sz w:val="44"/>
          <w:szCs w:val="44"/>
        </w:rPr>
        <w:t>推进</w:t>
      </w:r>
      <w:r>
        <w:rPr>
          <w:rFonts w:hint="eastAsia" w:eastAsia="方正小标宋简体"/>
          <w:sz w:val="44"/>
          <w:szCs w:val="44"/>
          <w:lang w:val="en-US" w:eastAsia="zh-CN"/>
        </w:rPr>
        <w:t>镇街</w:t>
      </w:r>
      <w:r>
        <w:rPr>
          <w:rFonts w:eastAsia="方正小标宋简体"/>
          <w:sz w:val="44"/>
          <w:szCs w:val="44"/>
        </w:rPr>
        <w:t>养老服务</w:t>
      </w:r>
      <w:r>
        <w:rPr>
          <w:rFonts w:hint="eastAsia" w:eastAsia="方正小标宋简体"/>
          <w:sz w:val="44"/>
          <w:szCs w:val="44"/>
          <w:lang w:val="en-US" w:eastAsia="zh-CN"/>
        </w:rPr>
        <w:t>联合体</w:t>
      </w:r>
      <w:r>
        <w:rPr>
          <w:rFonts w:eastAsia="方正小标宋简体"/>
          <w:sz w:val="44"/>
          <w:szCs w:val="44"/>
        </w:rPr>
        <w:t>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eastAsia="方正小标宋简体"/>
          <w:sz w:val="44"/>
          <w:szCs w:val="44"/>
          <w:lang w:eastAsia="zh-CN"/>
        </w:rPr>
        <w:t>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w:t>
      </w:r>
      <w:bookmarkStart w:id="0" w:name="_GoBack"/>
      <w:bookmarkEnd w:id="0"/>
      <w:r>
        <w:rPr>
          <w:rFonts w:hint="eastAsia" w:ascii="仿宋_GB2312" w:hAnsi="仿宋_GB2312" w:eastAsia="仿宋_GB2312" w:cs="仿宋_GB2312"/>
          <w:sz w:val="32"/>
          <w:szCs w:val="32"/>
          <w:lang w:eastAsia="zh-CN"/>
        </w:rPr>
        <w:t>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深化</w:t>
      </w:r>
      <w:r>
        <w:rPr>
          <w:rFonts w:hint="eastAsia" w:ascii="仿宋_GB2312" w:hAnsi="仿宋_GB2312" w:eastAsia="仿宋_GB2312" w:cs="仿宋_GB2312"/>
          <w:sz w:val="32"/>
          <w:szCs w:val="32"/>
          <w:lang w:eastAsia="zh-CN"/>
        </w:rPr>
        <w:t>基层</w:t>
      </w:r>
      <w:r>
        <w:rPr>
          <w:rFonts w:hint="eastAsia" w:ascii="仿宋_GB2312" w:hAnsi="仿宋_GB2312" w:eastAsia="仿宋_GB2312" w:cs="仿宋_GB2312"/>
          <w:sz w:val="32"/>
          <w:szCs w:val="32"/>
        </w:rPr>
        <w:t>社会治理改革，压实</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基本养老服务属地责任，</w:t>
      </w:r>
      <w:r>
        <w:rPr>
          <w:rFonts w:hint="eastAsia" w:ascii="仿宋_GB2312" w:hAnsi="仿宋_GB2312" w:eastAsia="仿宋_GB2312" w:cs="仿宋_GB2312"/>
          <w:sz w:val="32"/>
          <w:szCs w:val="32"/>
          <w:lang w:val="en-US" w:eastAsia="zh-CN"/>
        </w:rPr>
        <w:t>统筹服务资源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创新供给机制，实现供需精准对接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《中共北京市委办公厅 北京市人民政府办公厅印发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关于推进街道乡镇养老服务</w:t>
      </w:r>
      <w:r>
        <w:rPr>
          <w:rFonts w:hint="eastAsia" w:ascii="仿宋_GB2312" w:hAnsi="仿宋_GB2312" w:eastAsia="仿宋_GB2312" w:cs="仿宋_GB2312"/>
          <w:sz w:val="32"/>
          <w:szCs w:val="32"/>
          <w:lang w:val="en-US" w:eastAsia="zh-CN"/>
        </w:rPr>
        <w:t>联合体</w:t>
      </w:r>
      <w:r>
        <w:rPr>
          <w:rFonts w:hint="eastAsia" w:ascii="仿宋_GB2312" w:hAnsi="仿宋_GB2312" w:eastAsia="仿宋_GB2312" w:cs="仿宋_GB2312"/>
          <w:sz w:val="32"/>
          <w:szCs w:val="32"/>
          <w:lang w:eastAsia="zh-CN"/>
        </w:rPr>
        <w:t>建设的指导意见</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的通知》，结合我区实际，制定本方案。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（一）指导思想</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以习近平新时代中国特色社会主义思想为指导，深入学习贯彻习近平总书记关于积极应对人口老龄化重要指示，坚决落实区委“三落一提”工作要求，立足“新大兴·新国门”发展机遇，坚持党建引领，满足大兴区养老服务需求为出发点，确保政策落实和服务落地，压实镇街基本养老服务责任，建立健全各类养老服务资源统筹机制，鼓励引导专业社会力量参与，实现供需精准对接，推动养老服务和养老产业</w:t>
      </w:r>
      <w:r>
        <w:rPr>
          <w:rFonts w:hint="eastAsia" w:ascii="仿宋_GB2312" w:hAnsi="仿宋_GB2312" w:eastAsia="仿宋_GB2312" w:cs="仿宋_GB2312"/>
          <w:sz w:val="32"/>
          <w:szCs w:val="32"/>
          <w:lang w:val="en-US" w:eastAsia="zh-CN"/>
        </w:rPr>
        <w:t>协同发展</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（二）工作原则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 xml:space="preserve"> ——高位统筹，健全机制。坚持镇党委（街道工委）领导，聚焦辖区老年人服务需求，建立健全老年人问题发现和综合解决机制，统筹政策、资金、技术、人才等要素，形成镇街对辖区养老服务工作的总抓手。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——兜好底线，广泛普惠。坚持深化镇街养老服务体系建设，强化政府保基本兜底线职能，促进资源均衡配置，确保基本养老服务保障到位。充分调动社会力量积极性，为辖区老年人提供质量有保障的养老服务。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人为本，鼓励创新。坚持以人民为中心的发展思想，聚焦老年人在养老上的“急难愁盼”问题，鼓励镇街积极创新，探索符合实际的养老服务联合体建设路径，建成精准对接辖区老年人服务需求的区域养老新模式。</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主要目标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按照党委领导、政府主导、社会协同、因地制宜的思路，</w:t>
      </w:r>
      <w:r>
        <w:rPr>
          <w:rFonts w:hint="eastAsia" w:ascii="仿宋_GB2312" w:hAnsi="仿宋_GB2312" w:eastAsia="仿宋_GB2312" w:cs="仿宋_GB2312"/>
          <w:sz w:val="32"/>
          <w:szCs w:val="32"/>
          <w:lang w:eastAsia="zh-CN"/>
        </w:rPr>
        <w:t>“十四五”期间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分类分层有序推进</w:t>
      </w:r>
      <w:r>
        <w:rPr>
          <w:rFonts w:hint="eastAsia" w:ascii="仿宋_GB2312" w:hAnsi="仿宋_GB2312" w:eastAsia="仿宋_GB2312" w:cs="仿宋_GB2312"/>
          <w:sz w:val="32"/>
          <w:szCs w:val="32"/>
          <w:lang w:val="en-US" w:eastAsia="zh-CN"/>
        </w:rPr>
        <w:t>镇街</w:t>
      </w:r>
      <w:r>
        <w:rPr>
          <w:rFonts w:hint="eastAsia" w:ascii="仿宋_GB2312" w:hAnsi="仿宋_GB2312" w:eastAsia="仿宋_GB2312" w:cs="仿宋_GB2312"/>
          <w:sz w:val="32"/>
          <w:szCs w:val="32"/>
          <w:lang w:eastAsia="zh-CN"/>
        </w:rPr>
        <w:t>养老服务联合体（以下简称“老联体”）建设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2022年，老联体运行机制基本建立，依托党建协调工作委员会，聚焦区域内老年人诉求发现解决机制，形成老联体常态运行机制，有效满足老年人需求；至2025年底，老联体基本建成，管理和运行机制基本成熟，区域内老年服务设施均衡布局，涉老资源有效整合和利用，涉老政策应享尽享，供需顺畅衔接，运行平稳有序，老年人获得感不断提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lang w:val="en-US" w:eastAsia="zh-CN"/>
        </w:rPr>
        <w:t>二</w:t>
      </w:r>
      <w:r>
        <w:rPr>
          <w:rFonts w:hint="eastAsia" w:ascii="黑体" w:hAnsi="黑体" w:eastAsia="黑体" w:cs="黑体"/>
          <w:sz w:val="32"/>
          <w:szCs w:val="32"/>
        </w:rPr>
        <w:t>、重点任务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（一）全面推进老联体建设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auto"/>
          <w:sz w:val="32"/>
          <w:szCs w:val="32"/>
          <w:highlight w:val="none"/>
          <w:lang w:val="en-US" w:eastAsia="zh-CN"/>
        </w:rPr>
        <w:t>1.建立区级老联体。</w:t>
      </w:r>
      <w:r>
        <w:rPr>
          <w:rFonts w:hint="eastAsia" w:ascii="仿宋_GB2312" w:hAnsi="仿宋_GB2312" w:eastAsia="仿宋_GB2312" w:cs="仿宋_GB2312"/>
          <w:color w:val="auto"/>
          <w:sz w:val="32"/>
          <w:szCs w:val="32"/>
          <w:highlight w:val="none"/>
          <w:lang w:val="en-US" w:eastAsia="zh-CN"/>
        </w:rPr>
        <w:t>完善区级养老服务部门联席会议制度，建立区级老联体，</w:t>
      </w:r>
      <w:r>
        <w:rPr>
          <w:rFonts w:hint="eastAsia" w:ascii="仿宋_GB2312" w:hAnsi="仿宋_GB2312" w:eastAsia="仿宋_GB2312" w:cs="仿宋_GB2312"/>
          <w:b w:val="0"/>
          <w:bCs w:val="0"/>
          <w:color w:val="auto"/>
          <w:sz w:val="32"/>
          <w:szCs w:val="32"/>
          <w:lang w:eastAsia="zh-CN"/>
        </w:rPr>
        <w:t>研究养老</w:t>
      </w:r>
      <w:r>
        <w:rPr>
          <w:rFonts w:hint="eastAsia" w:ascii="仿宋_GB2312" w:hAnsi="仿宋_GB2312" w:eastAsia="仿宋_GB2312" w:cs="仿宋_GB2312"/>
          <w:b w:val="0"/>
          <w:bCs w:val="0"/>
          <w:color w:val="auto"/>
          <w:sz w:val="32"/>
          <w:szCs w:val="32"/>
          <w:lang w:val="en-US" w:eastAsia="zh-CN"/>
        </w:rPr>
        <w:t>服务发展规划</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编</w:t>
      </w:r>
      <w:r>
        <w:rPr>
          <w:rFonts w:hint="eastAsia" w:ascii="仿宋_GB2312" w:hAnsi="仿宋_GB2312" w:eastAsia="仿宋_GB2312" w:cs="仿宋_GB2312"/>
          <w:color w:val="auto"/>
          <w:sz w:val="32"/>
          <w:szCs w:val="32"/>
          <w:highlight w:val="none"/>
          <w:lang w:val="en-US" w:eastAsia="zh-CN"/>
        </w:rPr>
        <w:t>制实施方案，</w:t>
      </w:r>
      <w:r>
        <w:rPr>
          <w:rFonts w:hint="eastAsia" w:ascii="仿宋_GB2312" w:hAnsi="仿宋_GB2312" w:eastAsia="仿宋_GB2312" w:cs="仿宋_GB2312"/>
          <w:color w:val="auto"/>
          <w:sz w:val="32"/>
          <w:szCs w:val="32"/>
          <w:lang w:val="en-US" w:eastAsia="zh-CN"/>
        </w:rPr>
        <w:t>指导建立镇街养老工作指标体系（附件）。</w:t>
      </w:r>
      <w:r>
        <w:rPr>
          <w:rFonts w:hint="eastAsia" w:ascii="仿宋_GB2312" w:hAnsi="仿宋_GB2312" w:eastAsia="仿宋_GB2312" w:cs="仿宋_GB2312"/>
          <w:color w:val="auto"/>
          <w:sz w:val="32"/>
          <w:szCs w:val="32"/>
          <w:highlight w:val="none"/>
          <w:lang w:val="en-US" w:eastAsia="zh-CN"/>
        </w:rPr>
        <w:t>依托大兴区大数据平台，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升</w:t>
      </w:r>
      <w:r>
        <w:rPr>
          <w:rFonts w:hint="eastAsia" w:ascii="仿宋_GB2312" w:hAnsi="仿宋_GB2312" w:eastAsia="仿宋_GB2312" w:cs="仿宋_GB2312"/>
          <w:color w:val="auto"/>
          <w:sz w:val="32"/>
          <w:szCs w:val="32"/>
          <w:highlight w:val="none"/>
          <w:lang w:val="en-US" w:eastAsia="zh-CN"/>
        </w:rPr>
        <w:t>级智慧养老服务信息平台，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整合养老服务资源，实现区、镇街信息共享，</w:t>
      </w:r>
      <w:r>
        <w:rPr>
          <w:rFonts w:hint="eastAsia" w:ascii="仿宋_GB2312" w:hAnsi="仿宋_GB2312" w:eastAsia="仿宋_GB2312" w:cs="仿宋_GB2312"/>
          <w:color w:val="auto"/>
          <w:sz w:val="32"/>
          <w:szCs w:val="32"/>
          <w:highlight w:val="none"/>
          <w:lang w:val="en-US" w:eastAsia="zh-CN"/>
        </w:rPr>
        <w:t>作为信息化支撑，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支持镇街老联体建设，形成需求、服务、监管一体化</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区级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智慧养老服务体系。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2.组建镇街老联体。</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党委(街道工委)负总责，民生保障部门牵头，组织规划建设、市场监管、应急管理等部门，统筹辖区内养老服务机构、社区卫生服务中心（站）、已登记备案的服务商、开展养老服务的社会组织等各类公共服务资源组建镇街老联体，履行养老服务属地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（二）确立老联体运营方式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3.鼓励专业组织运营。</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组建区级养老服务联合体运营中心。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镇街老联体可由民生保障部门直接运营，可引入第三方公益组织或专业服务机构实体化运营，实现服务标识、服务理念、服务平台及评价标准“四统一”，推动养老服务镇街全覆盖。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（三）建立需求精准对接机制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4.建立需求发现机制。</w:t>
      </w:r>
      <w:r>
        <w:rPr>
          <w:rFonts w:hint="eastAsia" w:ascii="仿宋_GB2312" w:hAnsi="仿宋_GB2312" w:eastAsia="仿宋_GB2312" w:cs="仿宋_GB2312"/>
          <w:b w:val="0"/>
          <w:bCs w:val="0"/>
          <w:color w:val="auto"/>
          <w:kern w:val="2"/>
          <w:sz w:val="32"/>
          <w:szCs w:val="32"/>
          <w:lang w:val="en-US" w:eastAsia="zh-CN" w:bidi="ar-SA"/>
        </w:rPr>
        <w:t>通过</w:t>
      </w:r>
      <w:r>
        <w:rPr>
          <w:rFonts w:hint="eastAsia" w:ascii="仿宋_GB2312" w:hAnsi="仿宋_GB2312" w:eastAsia="仿宋_GB2312" w:cs="仿宋_GB2312"/>
          <w:b w:val="0"/>
          <w:bCs w:val="0"/>
          <w:color w:val="auto"/>
          <w:sz w:val="32"/>
          <w:szCs w:val="32"/>
          <w:lang w:val="en-US" w:eastAsia="zh-CN"/>
        </w:rPr>
        <w:t>村（居）委会及社区服务站，联动养老服务机构</w:t>
      </w:r>
      <w:r>
        <w:rPr>
          <w:rFonts w:hint="eastAsia" w:ascii="仿宋_GB2312" w:hAnsi="仿宋_GB2312" w:eastAsia="仿宋_GB2312" w:cs="仿宋_GB2312"/>
          <w:b w:val="0"/>
          <w:bCs w:val="0"/>
          <w:color w:val="0000FF"/>
          <w:sz w:val="32"/>
          <w:szCs w:val="32"/>
          <w:lang w:val="en-US" w:eastAsia="zh-CN"/>
        </w:rPr>
        <w:t>，</w:t>
      </w:r>
      <w:r>
        <w:rPr>
          <w:rFonts w:hint="eastAsia" w:ascii="仿宋_GB2312" w:hAnsi="仿宋_GB2312" w:eastAsia="仿宋_GB2312" w:cs="仿宋_GB2312"/>
          <w:b w:val="0"/>
          <w:bCs w:val="0"/>
          <w:color w:val="auto"/>
          <w:sz w:val="32"/>
          <w:szCs w:val="32"/>
          <w:lang w:val="en-US" w:eastAsia="zh-CN"/>
        </w:rPr>
        <w:t>统筹基层“五老”人员，老年协会、“拉家常”议事会等自治组织成员纳入养老服务顾问队伍，主动发现，收集、挖掘养老服务需求，确保辖区涉老政策应享尽享。</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eastAsia" w:ascii="仿宋_GB2312" w:hAnsi="仿宋_GB2312" w:eastAsia="仿宋_GB2312" w:cs="仿宋_GB2312"/>
          <w:b/>
          <w:bCs/>
          <w:color w:val="auto"/>
          <w:sz w:val="32"/>
          <w:szCs w:val="32"/>
          <w:lang w:val="en-US" w:eastAsia="zh-CN"/>
        </w:rPr>
        <w:t>5.建立综合解决机制</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发挥</w:t>
      </w:r>
      <w:r>
        <w:rPr>
          <w:rFonts w:hint="eastAsia" w:ascii="仿宋_GB2312" w:hAnsi="仿宋_GB2312" w:eastAsia="仿宋_GB2312" w:cs="仿宋_GB2312"/>
          <w:color w:val="auto"/>
          <w:sz w:val="32"/>
          <w:szCs w:val="32"/>
        </w:rPr>
        <w:t>党建工作协调委员会</w:t>
      </w:r>
      <w:r>
        <w:rPr>
          <w:rFonts w:hint="eastAsia" w:ascii="仿宋_GB2312" w:hAnsi="仿宋_GB2312" w:eastAsia="仿宋_GB2312" w:cs="仿宋_GB2312"/>
          <w:color w:val="auto"/>
          <w:sz w:val="32"/>
          <w:szCs w:val="32"/>
          <w:lang w:eastAsia="zh-CN"/>
        </w:rPr>
        <w:t>作用，</w:t>
      </w:r>
      <w:r>
        <w:rPr>
          <w:rFonts w:hint="eastAsia" w:ascii="仿宋_GB2312" w:hAnsi="仿宋_GB2312" w:eastAsia="仿宋_GB2312" w:cs="仿宋_GB2312"/>
          <w:color w:val="auto"/>
          <w:sz w:val="32"/>
          <w:szCs w:val="32"/>
          <w:lang w:val="en-US" w:eastAsia="zh-CN"/>
        </w:rPr>
        <w:t>建立</w:t>
      </w:r>
      <w:r>
        <w:rPr>
          <w:rFonts w:hint="eastAsia" w:ascii="仿宋_GB2312" w:hAnsi="仿宋_GB2312" w:eastAsia="仿宋_GB2312" w:cs="仿宋_GB2312"/>
          <w:b w:val="0"/>
          <w:bCs w:val="0"/>
          <w:color w:val="auto"/>
          <w:sz w:val="32"/>
          <w:szCs w:val="32"/>
          <w:lang w:val="en-US" w:eastAsia="zh-CN"/>
        </w:rPr>
        <w:t>镇街老联体</w:t>
      </w:r>
      <w:r>
        <w:rPr>
          <w:rFonts w:hint="eastAsia" w:ascii="仿宋_GB2312" w:hAnsi="仿宋_GB2312" w:eastAsia="仿宋_GB2312" w:cs="仿宋_GB2312"/>
          <w:b w:val="0"/>
          <w:bCs w:val="0"/>
          <w:color w:val="auto"/>
          <w:sz w:val="32"/>
          <w:szCs w:val="32"/>
          <w:lang w:eastAsia="zh-CN"/>
        </w:rPr>
        <w:t>议事协商</w:t>
      </w:r>
      <w:r>
        <w:rPr>
          <w:rFonts w:hint="eastAsia" w:ascii="仿宋_GB2312" w:hAnsi="仿宋_GB2312" w:eastAsia="仿宋_GB2312" w:cs="仿宋_GB2312"/>
          <w:b w:val="0"/>
          <w:bCs w:val="0"/>
          <w:color w:val="auto"/>
          <w:sz w:val="32"/>
          <w:szCs w:val="32"/>
          <w:lang w:val="en-US" w:eastAsia="zh-CN"/>
        </w:rPr>
        <w:t>制度，研究解决老联体建设运行过程中的重点难点问题。分析本镇街老年人反映的诉求和问题，调动辖区资源精准对接需求诉求，推动问题有效解决。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（四）优化养老服务发展格局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均衡布局养老设施。</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落实镇街</w:t>
      </w:r>
      <w:r>
        <w:rPr>
          <w:rFonts w:hint="eastAsia" w:ascii="仿宋_GB2312" w:hAnsi="仿宋_GB2312" w:eastAsia="仿宋_GB2312" w:cs="仿宋_GB2312"/>
          <w:color w:val="auto"/>
          <w:kern w:val="2"/>
          <w:sz w:val="32"/>
          <w:szCs w:val="32"/>
          <w:highlight w:val="none"/>
          <w:lang w:val="en-US" w:eastAsia="zh-CN" w:bidi="ar-SA"/>
        </w:rPr>
        <w:t>公办敬老院管理体制改革，</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加强养老照料中心建设，鼓励</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照料中心承接社区养老驿站运营，</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强化居家养老服务</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辐射</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功能，利用辖区各类设施资源，</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补齐床位短板，均衡布局机构集中养老床位、驿站临时托养床位、养老家庭照护床位“三张床”。</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7.完善“一刻钟居家养老服务圈”。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推广“互联网+社区（村）+养老服务”驿站连锁化运营模式，</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落实驿站准入、退出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机制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鼓励镇街采取本地孵化与市场引入相结合的方式，提升养老服务驿站运营水平。</w:t>
      </w:r>
      <w:r>
        <w:rPr>
          <w:rFonts w:hint="eastAsia" w:ascii="仿宋_GB2312" w:hAnsi="仿宋_GB2312" w:eastAsia="仿宋_GB2312" w:cs="仿宋_GB2312"/>
          <w:b w:val="0"/>
          <w:bCs w:val="0"/>
          <w:color w:val="auto"/>
          <w:sz w:val="32"/>
          <w:szCs w:val="32"/>
          <w:lang w:val="en-US" w:eastAsia="zh-CN"/>
        </w:rPr>
        <w:t>科学划分责任片区，确保基本养老服务对象服务</w:t>
      </w:r>
      <w:r>
        <w:rPr>
          <w:rFonts w:hint="eastAsia" w:ascii="仿宋_GB2312" w:hAnsi="仿宋_GB2312" w:eastAsia="仿宋_GB2312" w:cs="仿宋_GB2312"/>
          <w:b w:val="0"/>
          <w:bCs w:val="0"/>
          <w:color w:val="auto"/>
          <w:kern w:val="2"/>
          <w:sz w:val="32"/>
          <w:szCs w:val="32"/>
          <w:lang w:val="en-US" w:eastAsia="zh-CN" w:bidi="ar-SA"/>
        </w:rPr>
        <w:t>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auto"/>
          <w:kern w:val="2"/>
          <w:sz w:val="32"/>
          <w:szCs w:val="32"/>
          <w:highlight w:val="none"/>
          <w:lang w:val="en-US" w:eastAsia="zh-CN" w:bidi="ar-SA"/>
        </w:rPr>
        <w:t>8.提升养老配建使用效能。</w:t>
      </w:r>
      <w:r>
        <w:rPr>
          <w:rFonts w:hint="eastAsia" w:ascii="仿宋_GB2312" w:hAnsi="仿宋_GB2312" w:eastAsia="仿宋_GB2312" w:cs="仿宋_GB2312"/>
          <w:b w:val="0"/>
          <w:bCs w:val="0"/>
          <w:color w:val="auto"/>
          <w:kern w:val="2"/>
          <w:sz w:val="32"/>
          <w:szCs w:val="32"/>
          <w:highlight w:val="none"/>
          <w:lang w:val="en-US" w:eastAsia="zh-CN" w:bidi="ar-SA"/>
        </w:rPr>
        <w:t>发挥区级养老服务示范中心示范引领作用及大兴区社会福利院兜底保障职能，合理利用</w:t>
      </w:r>
      <w:r>
        <w:rPr>
          <w:rFonts w:hint="eastAsia" w:ascii="仿宋_GB2312" w:hAnsi="仿宋_GB2312" w:eastAsia="仿宋_GB2312" w:cs="仿宋_GB2312"/>
          <w:color w:val="auto"/>
          <w:kern w:val="2"/>
          <w:sz w:val="32"/>
          <w:szCs w:val="32"/>
          <w:highlight w:val="none"/>
          <w:lang w:val="en-US" w:eastAsia="zh-CN" w:bidi="ar-SA"/>
        </w:rPr>
        <w:t>现有养老用地、社区养老配建资源，作为镇街养老设施的有益补充。引入优质社会资本</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推动实现品牌化、连锁化、规范化、市场化运营，带动区域养老机构结构性调整。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（五）创建老年友好型镇街、社区</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9.推进老年无障碍环境建设。</w:t>
      </w:r>
      <w:r>
        <w:rPr>
          <w:rFonts w:hint="eastAsia" w:ascii="仿宋_GB2312" w:hAnsi="仿宋_GB2312" w:eastAsia="仿宋_GB2312" w:cs="仿宋_GB2312"/>
          <w:b w:val="0"/>
          <w:bCs w:val="0"/>
          <w:color w:val="auto"/>
          <w:kern w:val="2"/>
          <w:sz w:val="32"/>
          <w:szCs w:val="32"/>
          <w:lang w:val="en-US" w:eastAsia="zh-CN" w:bidi="ar-SA"/>
        </w:rPr>
        <w:t>推动老旧小区加装电梯及困境老年人家庭适老化改造，确保有意愿老年人家庭愿改尽改，实现老年人居家生活和交通出行无障碍。</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10.积极孵化培育公益社会组织。</w:t>
      </w:r>
      <w:r>
        <w:rPr>
          <w:rFonts w:hint="eastAsia" w:ascii="仿宋_GB2312" w:hAnsi="仿宋_GB2312" w:eastAsia="仿宋_GB2312" w:cs="仿宋_GB2312"/>
          <w:b w:val="0"/>
          <w:bCs w:val="0"/>
          <w:color w:val="auto"/>
          <w:kern w:val="2"/>
          <w:sz w:val="32"/>
          <w:szCs w:val="32"/>
          <w:lang w:val="en-US" w:eastAsia="zh-CN" w:bidi="ar-SA"/>
        </w:rPr>
        <w:t>提高镇街老年协会组建率，动员辖区60岁以上老年人成为协会会员。以社区为平台，培养社会工作专业人才队伍，深入社区、村开展为老服务。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11.推广“时间银行”互助养老模式。</w:t>
      </w:r>
      <w:r>
        <w:rPr>
          <w:rFonts w:hint="eastAsia" w:ascii="仿宋_GB2312" w:hAnsi="仿宋_GB2312" w:eastAsia="仿宋_GB2312" w:cs="仿宋_GB2312"/>
          <w:b w:val="0"/>
          <w:bCs w:val="0"/>
          <w:color w:val="auto"/>
          <w:kern w:val="2"/>
          <w:sz w:val="32"/>
          <w:szCs w:val="32"/>
          <w:lang w:val="en-US" w:eastAsia="zh-CN" w:bidi="ar-SA"/>
        </w:rPr>
        <w:t>加强志愿服务组织建设，广泛宣传动员，发展壮大志愿服务队伍，推动老年志愿者注册人数不低于辖区老年人口总数的30%，提升养老服务时间银行储蓄率，引导社会大众支持家庭养老及老年社会工作。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三、保障措施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w:t>
      </w:r>
      <w:r>
        <w:rPr>
          <w:rFonts w:hint="eastAsia" w:ascii="楷体_GB2312" w:hAnsi="楷体_GB2312" w:eastAsia="楷体_GB2312" w:cs="楷体_GB2312"/>
          <w:sz w:val="32"/>
          <w:szCs w:val="32"/>
          <w:lang w:val="en-US" w:eastAsia="zh-CN"/>
        </w:rPr>
        <w:t>高度重视，强化落实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镇街高度重视养老服务工作，将推进老联体建设作为属地落实养老服务工作的重要抓手，列入党委重点工作议事日程，建立健全工作机制，明确工作任务，加大政策执行、资源统筹、资金支持力度。将养老服务驿站纳入社区治理体系，理顺各类组织在老联体中的功能定位，形成养老服务整体合力，确保各项任务落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（二）保障到位，强化统筹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ascii="仿宋_GB2312" w:hAnsi="仿宋_GB2312" w:eastAsia="仿宋_GB2312" w:cs="仿宋_GB2312"/>
          <w:b w:val="0"/>
          <w:bCs w:val="0"/>
          <w:color w:val="auto"/>
          <w:sz w:val="32"/>
          <w:szCs w:val="32"/>
          <w:highlight w:val="none"/>
          <w:lang w:val="en-US" w:eastAsia="zh-CN"/>
        </w:rPr>
        <w:t>将老联体建设运营纳入政府购买服务重点内容，引导品牌化公益或专业组织参与老联体运行管理。加强绩效跟踪评估，确保资金投入取得实效。强化统筹协调，用足用好现有政策，</w:t>
      </w:r>
      <w:r>
        <w:rPr>
          <w:rFonts w:hAnsi="仿宋_GB2312" w:eastAsia="仿宋_GB2312"/>
          <w:sz w:val="32"/>
          <w:szCs w:val="32"/>
          <w:highlight w:val="none"/>
        </w:rPr>
        <w:t>整合区域优质资源，</w:t>
      </w:r>
      <w:r>
        <w:rPr>
          <w:rFonts w:hint="eastAsia" w:hAnsi="仿宋_GB2312" w:eastAsia="仿宋_GB2312"/>
          <w:sz w:val="32"/>
          <w:szCs w:val="32"/>
          <w:highlight w:val="none"/>
          <w:lang w:val="en-US" w:eastAsia="zh-CN"/>
        </w:rPr>
        <w:t>满足多样化养老服务需求</w:t>
      </w:r>
      <w:r>
        <w:rPr>
          <w:rFonts w:hint="eastAsia" w:hAnsi="仿宋_GB2312" w:eastAsia="仿宋_GB2312"/>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（三）总结经验，强化宣传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eastAsia="仿宋_GB2312"/>
          <w:sz w:val="32"/>
          <w:szCs w:val="32"/>
        </w:rPr>
      </w:pPr>
      <w:r>
        <w:rPr>
          <w:rFonts w:hAnsi="仿宋_GB2312" w:eastAsia="仿宋_GB2312"/>
          <w:bCs/>
          <w:sz w:val="32"/>
          <w:szCs w:val="32"/>
        </w:rPr>
        <w:t>根据</w:t>
      </w:r>
      <w:r>
        <w:rPr>
          <w:rFonts w:hint="eastAsia" w:hAnsi="仿宋_GB2312" w:eastAsia="仿宋_GB2312"/>
          <w:bCs/>
          <w:sz w:val="32"/>
          <w:szCs w:val="32"/>
          <w:lang w:val="en-US" w:eastAsia="zh-CN"/>
        </w:rPr>
        <w:t>老联体</w:t>
      </w:r>
      <w:r>
        <w:rPr>
          <w:rFonts w:hAnsi="仿宋_GB2312" w:eastAsia="仿宋_GB2312"/>
          <w:bCs/>
          <w:sz w:val="32"/>
          <w:szCs w:val="32"/>
        </w:rPr>
        <w:t>建设</w:t>
      </w:r>
      <w:r>
        <w:rPr>
          <w:rFonts w:hint="eastAsia" w:hAnsi="仿宋_GB2312" w:eastAsia="仿宋_GB2312"/>
          <w:bCs/>
          <w:sz w:val="32"/>
          <w:szCs w:val="32"/>
          <w:lang w:eastAsia="zh-CN"/>
        </w:rPr>
        <w:t>实际情况，</w:t>
      </w:r>
      <w:r>
        <w:rPr>
          <w:rFonts w:hAnsi="仿宋_GB2312" w:eastAsia="仿宋_GB2312"/>
          <w:sz w:val="32"/>
          <w:szCs w:val="32"/>
        </w:rPr>
        <w:t>及时总结</w:t>
      </w:r>
      <w:r>
        <w:rPr>
          <w:rFonts w:hint="eastAsia" w:hAnsi="仿宋_GB2312" w:eastAsia="仿宋_GB2312"/>
          <w:sz w:val="32"/>
          <w:szCs w:val="32"/>
          <w:lang w:eastAsia="zh-CN"/>
        </w:rPr>
        <w:t>建设</w:t>
      </w:r>
      <w:r>
        <w:rPr>
          <w:rFonts w:hAnsi="仿宋_GB2312" w:eastAsia="仿宋_GB2312"/>
          <w:sz w:val="32"/>
          <w:szCs w:val="32"/>
        </w:rPr>
        <w:t>成效、</w:t>
      </w:r>
      <w:r>
        <w:rPr>
          <w:rFonts w:hint="eastAsia" w:hAnsi="仿宋_GB2312" w:eastAsia="仿宋_GB2312"/>
          <w:sz w:val="32"/>
          <w:szCs w:val="32"/>
          <w:lang w:eastAsia="zh-CN"/>
        </w:rPr>
        <w:t>区域</w:t>
      </w:r>
      <w:r>
        <w:rPr>
          <w:rFonts w:hAnsi="仿宋_GB2312" w:eastAsia="仿宋_GB2312"/>
          <w:sz w:val="32"/>
          <w:szCs w:val="32"/>
        </w:rPr>
        <w:t>亮点</w:t>
      </w:r>
      <w:r>
        <w:rPr>
          <w:rFonts w:hint="eastAsia" w:hAnsi="仿宋_GB2312" w:eastAsia="仿宋_GB2312"/>
          <w:sz w:val="32"/>
          <w:szCs w:val="32"/>
          <w:lang w:eastAsia="zh-CN"/>
        </w:rPr>
        <w:t>，形成大兴区特色品牌</w:t>
      </w:r>
      <w:r>
        <w:rPr>
          <w:rFonts w:hAnsi="仿宋_GB2312" w:eastAsia="仿宋_GB2312"/>
          <w:sz w:val="32"/>
          <w:szCs w:val="32"/>
        </w:rPr>
        <w:t>。</w:t>
      </w:r>
      <w:r>
        <w:rPr>
          <w:rFonts w:hAnsi="仿宋_GB2312" w:eastAsia="仿宋_GB2312"/>
          <w:bCs/>
          <w:sz w:val="32"/>
          <w:szCs w:val="32"/>
        </w:rPr>
        <w:t>开展区域养老服务联合体主题活动宣传，增加公众认知，凝聚社会共识，营造</w:t>
      </w:r>
      <w:r>
        <w:rPr>
          <w:rFonts w:eastAsia="仿宋_GB2312"/>
          <w:bCs/>
          <w:sz w:val="32"/>
          <w:szCs w:val="32"/>
        </w:rPr>
        <w:t>“</w:t>
      </w:r>
      <w:r>
        <w:rPr>
          <w:rFonts w:hAnsi="仿宋_GB2312" w:eastAsia="仿宋_GB2312"/>
          <w:bCs/>
          <w:sz w:val="32"/>
          <w:szCs w:val="32"/>
        </w:rPr>
        <w:t>社会资源优势互补，集中力量助力养老</w:t>
      </w:r>
      <w:r>
        <w:rPr>
          <w:rFonts w:eastAsia="仿宋_GB2312"/>
          <w:bCs/>
          <w:sz w:val="32"/>
          <w:szCs w:val="32"/>
        </w:rPr>
        <w:t>”</w:t>
      </w:r>
      <w:r>
        <w:rPr>
          <w:rFonts w:hAnsi="仿宋_GB2312" w:eastAsia="仿宋_GB2312"/>
          <w:bCs/>
          <w:sz w:val="32"/>
          <w:szCs w:val="32"/>
        </w:rPr>
        <w:t>的社会氛围。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（四）规范管理，强化考核</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老联体</w:t>
      </w:r>
      <w:r>
        <w:rPr>
          <w:rFonts w:hint="eastAsia" w:ascii="仿宋_GB2312" w:hAnsi="仿宋_GB2312" w:eastAsia="仿宋_GB2312" w:cs="仿宋_GB2312"/>
          <w:sz w:val="32"/>
          <w:szCs w:val="32"/>
        </w:rPr>
        <w:t>建设纳入“七有”“五性”监测评价指标体系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以区域老年人满意度、各部门涉老相关政策和任务清单落实情况为重要指标，</w:t>
      </w:r>
      <w:r>
        <w:rPr>
          <w:rFonts w:hint="eastAsia" w:ascii="仿宋_GB2312" w:hAnsi="仿宋_GB2312" w:eastAsia="仿宋_GB2312" w:cs="仿宋_GB2312"/>
          <w:sz w:val="32"/>
          <w:szCs w:val="32"/>
          <w:lang w:val="en-US" w:eastAsia="zh-CN"/>
        </w:rPr>
        <w:t>每年进行考核排名。建立健全服务商准入准出及社会评价机制，保障联合体服务质量，</w:t>
      </w:r>
      <w:r>
        <w:rPr>
          <w:rFonts w:hAnsi="仿宋_GB2312" w:eastAsia="仿宋_GB2312"/>
          <w:bCs/>
          <w:sz w:val="32"/>
          <w:szCs w:val="32"/>
        </w:rPr>
        <w:t>加强运营过程监督</w:t>
      </w:r>
      <w:r>
        <w:rPr>
          <w:rFonts w:hint="eastAsia" w:hAnsi="仿宋_GB2312" w:eastAsia="仿宋_GB2312"/>
          <w:bCs/>
          <w:sz w:val="32"/>
          <w:szCs w:val="32"/>
          <w:lang w:eastAsia="zh-CN"/>
        </w:rPr>
        <w:t>，</w:t>
      </w:r>
      <w:r>
        <w:rPr>
          <w:rFonts w:hAnsi="仿宋_GB2312" w:eastAsia="仿宋_GB2312"/>
          <w:bCs/>
          <w:sz w:val="32"/>
          <w:szCs w:val="32"/>
        </w:rPr>
        <w:t>跟踪指导</w:t>
      </w:r>
      <w:r>
        <w:rPr>
          <w:rFonts w:hint="eastAsia" w:hAnsi="仿宋_GB2312" w:eastAsia="仿宋_GB2312"/>
          <w:bCs/>
          <w:sz w:val="32"/>
          <w:szCs w:val="32"/>
          <w:lang w:eastAsia="zh-CN"/>
        </w:rPr>
        <w:t>老联体</w:t>
      </w:r>
      <w:r>
        <w:rPr>
          <w:rFonts w:hAnsi="仿宋_GB2312" w:eastAsia="仿宋_GB2312"/>
          <w:bCs/>
          <w:sz w:val="32"/>
          <w:szCs w:val="32"/>
        </w:rPr>
        <w:t>规范运行和有序发展</w:t>
      </w:r>
      <w:r>
        <w:rPr>
          <w:rFonts w:hint="eastAsia" w:hAnsi="仿宋_GB2312" w:eastAsia="仿宋_GB2312"/>
          <w:bCs/>
          <w:sz w:val="32"/>
          <w:szCs w:val="32"/>
          <w:lang w:eastAsia="zh-CN"/>
        </w:rPr>
        <w:t>，</w:t>
      </w:r>
      <w:r>
        <w:rPr>
          <w:rFonts w:hint="eastAsia" w:ascii="仿宋_GB2312" w:hAnsi="仿宋_GB2312" w:eastAsia="仿宋_GB2312" w:cs="仿宋_GB2312"/>
          <w:sz w:val="32"/>
          <w:szCs w:val="32"/>
          <w:lang w:val="en-US" w:eastAsia="zh-CN"/>
        </w:rPr>
        <w:t>维护老年人合法权益。</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附件：大兴区街镇养老服务联合体建设任务清单暨养老服务工作指标体系（2022年）</w:t>
      </w:r>
    </w:p>
    <w:p>
      <w:pPr>
        <w:rPr>
          <w:rFonts w:hint="default"/>
          <w:lang w:val="en-US" w:eastAsia="zh-CN"/>
        </w:rPr>
        <w:sectPr>
          <w:footerReference r:id="rId3" w:type="default"/>
          <w:pgSz w:w="11906" w:h="16838"/>
          <w:pgMar w:top="1440" w:right="1474" w:bottom="1440" w:left="1587" w:header="851" w:footer="992" w:gutter="0"/>
          <w:pgNumType w:fmt="numberInDash"/>
          <w:cols w:space="0" w:num="1"/>
          <w:rtlGutter w:val="0"/>
          <w:docGrid w:type="lines" w:linePitch="319" w:charSpace="0"/>
        </w:sectPr>
      </w:pPr>
    </w:p>
    <w:p>
      <w:pPr>
        <w:spacing w:line="560" w:lineRule="exact"/>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黑体" w:hAnsi="黑体" w:eastAsia="黑体" w:cs="黑体"/>
          <w:sz w:val="32"/>
          <w:szCs w:val="32"/>
          <w:lang w:val="en-US" w:eastAsia="zh-CN"/>
        </w:rPr>
        <w:t xml:space="preserve"> </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大兴区</w:t>
      </w:r>
      <w:r>
        <w:rPr>
          <w:rFonts w:hint="eastAsia" w:ascii="方正小标宋简体" w:hAnsi="方正小标宋简体" w:eastAsia="方正小标宋简体" w:cs="方正小标宋简体"/>
          <w:sz w:val="44"/>
          <w:szCs w:val="44"/>
        </w:rPr>
        <w:t>街镇养老服务联合体建设任务清单</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暨养老服务工作</w:t>
      </w:r>
      <w:r>
        <w:rPr>
          <w:rFonts w:hint="eastAsia" w:ascii="方正小标宋简体" w:hAnsi="方正小标宋简体" w:eastAsia="方正小标宋简体" w:cs="方正小标宋简体"/>
          <w:sz w:val="44"/>
          <w:szCs w:val="44"/>
          <w:lang w:val="en-US" w:eastAsia="zh-CN"/>
        </w:rPr>
        <w:t>指标体系（2022年）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说明：本指标体系对镇街老联体2022年考核指标、建设任务清单，大兴区镇街绩效考核指标以及“七有”“五性”监测评价指标进行了有机整合，共计40项综合指标，其中包括2022年度市级评价指标11个，“七有”“五性”考核评价指标7个，区级绩效考核指标2个，老联体建设市级任务清单20个，指标体系的确定、调整将与市、区具体任务指标同步更新。</w:t>
      </w:r>
    </w:p>
    <w:tbl>
      <w:tblPr>
        <w:tblStyle w:val="8"/>
        <w:tblpPr w:leftFromText="180" w:rightFromText="180" w:vertAnchor="text" w:horzAnchor="page" w:tblpX="1567" w:tblpY="715"/>
        <w:tblOverlap w:val="never"/>
        <w:tblW w:w="14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95"/>
        <w:gridCol w:w="1330"/>
        <w:gridCol w:w="8469"/>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2" w:hRule="atLeast"/>
        </w:trPr>
        <w:tc>
          <w:tcPr>
            <w:tcW w:w="1295" w:type="dxa"/>
            <w:shd w:val="clear" w:color="auto" w:fill="FFFFFF"/>
            <w:noWrap w:val="0"/>
            <w:vAlign w:val="center"/>
          </w:tcPr>
          <w:p>
            <w:pPr>
              <w:snapToGrid w:val="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维  度</w:t>
            </w:r>
          </w:p>
        </w:tc>
        <w:tc>
          <w:tcPr>
            <w:tcW w:w="1330" w:type="dxa"/>
            <w:shd w:val="clear" w:color="auto" w:fill="FFFFFF"/>
            <w:noWrap w:val="0"/>
            <w:vAlign w:val="center"/>
          </w:tcPr>
          <w:p>
            <w:pPr>
              <w:snapToGrid w:val="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序号</w:t>
            </w:r>
          </w:p>
        </w:tc>
        <w:tc>
          <w:tcPr>
            <w:tcW w:w="8469" w:type="dxa"/>
            <w:shd w:val="clear" w:color="auto" w:fill="FFFFFF"/>
            <w:noWrap w:val="0"/>
            <w:vAlign w:val="center"/>
          </w:tcPr>
          <w:p>
            <w:pPr>
              <w:snapToGrid w:val="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重点任务</w:t>
            </w:r>
          </w:p>
        </w:tc>
        <w:tc>
          <w:tcPr>
            <w:tcW w:w="3105" w:type="dxa"/>
            <w:shd w:val="clear" w:color="auto" w:fill="FFFFFF"/>
            <w:noWrap w:val="0"/>
            <w:vAlign w:val="center"/>
          </w:tcPr>
          <w:p>
            <w:pPr>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2" w:hRule="atLeast"/>
        </w:trPr>
        <w:tc>
          <w:tcPr>
            <w:tcW w:w="1295" w:type="dxa"/>
            <w:vMerge w:val="restart"/>
            <w:shd w:val="clear" w:color="auto" w:fill="FFFFFF"/>
            <w:noWrap w:val="0"/>
            <w:vAlign w:val="center"/>
          </w:tcPr>
          <w:p>
            <w:pPr>
              <w:snapToGrid w:val="0"/>
              <w:jc w:val="center"/>
              <w:rPr>
                <w:rFonts w:hint="eastAsia" w:ascii="黑体" w:hAnsi="黑体" w:eastAsia="黑体" w:cs="黑体"/>
                <w:sz w:val="24"/>
                <w:szCs w:val="24"/>
                <w:lang w:eastAsia="zh-CN"/>
              </w:rPr>
            </w:pPr>
          </w:p>
          <w:p>
            <w:pPr>
              <w:snapToGrid w:val="0"/>
              <w:jc w:val="center"/>
              <w:rPr>
                <w:rFonts w:hint="eastAsia" w:ascii="黑体" w:hAnsi="黑体" w:eastAsia="黑体" w:cs="黑体"/>
                <w:sz w:val="24"/>
                <w:szCs w:val="24"/>
                <w:lang w:eastAsia="zh-CN"/>
              </w:rPr>
            </w:pPr>
          </w:p>
          <w:p>
            <w:pPr>
              <w:snapToGrid w:val="0"/>
              <w:jc w:val="center"/>
              <w:rPr>
                <w:rFonts w:hint="eastAsia" w:ascii="黑体" w:hAnsi="黑体" w:eastAsia="黑体" w:cs="黑体"/>
                <w:sz w:val="24"/>
                <w:szCs w:val="24"/>
                <w:lang w:eastAsia="zh-CN"/>
              </w:rPr>
            </w:pPr>
          </w:p>
          <w:p>
            <w:pPr>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建设任务</w:t>
            </w:r>
          </w:p>
          <w:p>
            <w:pPr>
              <w:snapToGrid w:val="0"/>
              <w:jc w:val="center"/>
              <w:rPr>
                <w:rFonts w:hint="default" w:ascii="宋体" w:hAnsi="宋体" w:eastAsia="宋体" w:cs="宋体"/>
                <w:sz w:val="24"/>
                <w:szCs w:val="24"/>
                <w:lang w:val="en-US" w:eastAsia="zh-CN"/>
              </w:rPr>
            </w:pPr>
          </w:p>
          <w:p>
            <w:pPr>
              <w:snapToGrid w:val="0"/>
              <w:jc w:val="center"/>
              <w:rPr>
                <w:rFonts w:hint="default" w:ascii="宋体" w:hAnsi="宋体" w:eastAsia="宋体" w:cs="宋体"/>
                <w:sz w:val="24"/>
                <w:szCs w:val="24"/>
                <w:lang w:val="en-US" w:eastAsia="zh-CN"/>
              </w:rPr>
            </w:pPr>
          </w:p>
          <w:p>
            <w:pPr>
              <w:snapToGrid w:val="0"/>
              <w:jc w:val="center"/>
              <w:rPr>
                <w:rFonts w:hint="default" w:ascii="宋体" w:hAnsi="宋体" w:eastAsia="宋体" w:cs="宋体"/>
                <w:sz w:val="24"/>
                <w:szCs w:val="24"/>
                <w:lang w:val="en-US" w:eastAsia="zh-CN"/>
              </w:rPr>
            </w:pPr>
          </w:p>
        </w:tc>
        <w:tc>
          <w:tcPr>
            <w:tcW w:w="1330" w:type="dxa"/>
            <w:shd w:val="clear" w:color="auto" w:fill="FFFFFF"/>
            <w:noWrap w:val="0"/>
            <w:vAlign w:val="center"/>
          </w:tcPr>
          <w:p>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8469" w:type="dxa"/>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制定老联体建设计划</w:t>
            </w:r>
          </w:p>
        </w:tc>
        <w:tc>
          <w:tcPr>
            <w:tcW w:w="3105" w:type="dxa"/>
            <w:shd w:val="clear" w:color="auto" w:fill="FFFFFF"/>
            <w:noWrap w:val="0"/>
            <w:vAlign w:val="center"/>
          </w:tcPr>
          <w:p>
            <w:pPr>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市级2022年度评价指标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2" w:hRule="atLeast"/>
        </w:trPr>
        <w:tc>
          <w:tcPr>
            <w:tcW w:w="1295" w:type="dxa"/>
            <w:vMerge w:val="continue"/>
            <w:shd w:val="clear" w:color="auto" w:fill="FFFFFF"/>
            <w:noWrap w:val="0"/>
            <w:vAlign w:val="center"/>
          </w:tcPr>
          <w:p>
            <w:pPr>
              <w:snapToGrid w:val="0"/>
              <w:jc w:val="center"/>
              <w:rPr>
                <w:rFonts w:hint="default" w:ascii="宋体" w:hAnsi="宋体" w:eastAsia="宋体" w:cs="宋体"/>
                <w:sz w:val="24"/>
                <w:szCs w:val="24"/>
                <w:lang w:val="en-US" w:eastAsia="zh-CN"/>
              </w:rPr>
            </w:pPr>
          </w:p>
        </w:tc>
        <w:tc>
          <w:tcPr>
            <w:tcW w:w="1330" w:type="dxa"/>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469" w:type="dxa"/>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已纳入老联体的养老服务机构、医疗机构、为老服务商比例达到</w:t>
            </w:r>
            <w:r>
              <w:rPr>
                <w:rFonts w:hint="eastAsia" w:ascii="宋体" w:hAnsi="宋体" w:eastAsia="宋体" w:cs="宋体"/>
                <w:sz w:val="24"/>
                <w:szCs w:val="24"/>
                <w:lang w:val="en-US" w:eastAsia="zh-CN"/>
              </w:rPr>
              <w:t>100%</w:t>
            </w:r>
          </w:p>
        </w:tc>
        <w:tc>
          <w:tcPr>
            <w:tcW w:w="3105" w:type="dxa"/>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市级2022年度评价指标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7" w:hRule="atLeast"/>
        </w:trPr>
        <w:tc>
          <w:tcPr>
            <w:tcW w:w="1295" w:type="dxa"/>
            <w:vMerge w:val="continue"/>
            <w:shd w:val="clear" w:color="auto" w:fill="FFFFFF"/>
            <w:noWrap w:val="0"/>
            <w:vAlign w:val="center"/>
          </w:tcPr>
          <w:p>
            <w:pPr>
              <w:snapToGrid w:val="0"/>
              <w:jc w:val="center"/>
              <w:rPr>
                <w:rFonts w:hint="default" w:ascii="宋体" w:hAnsi="宋体" w:eastAsia="宋体" w:cs="宋体"/>
                <w:sz w:val="24"/>
                <w:szCs w:val="24"/>
                <w:lang w:val="en-US" w:eastAsia="zh-CN"/>
              </w:rPr>
            </w:pPr>
          </w:p>
        </w:tc>
        <w:tc>
          <w:tcPr>
            <w:tcW w:w="1330" w:type="dxa"/>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8469" w:type="dxa"/>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为老公共服务资源整合率达到</w:t>
            </w:r>
            <w:r>
              <w:rPr>
                <w:rFonts w:hint="eastAsia" w:ascii="宋体" w:hAnsi="宋体" w:eastAsia="宋体" w:cs="宋体"/>
                <w:sz w:val="24"/>
                <w:szCs w:val="24"/>
                <w:lang w:val="en-US" w:eastAsia="zh-CN"/>
              </w:rPr>
              <w:t>100%</w:t>
            </w:r>
          </w:p>
        </w:tc>
        <w:tc>
          <w:tcPr>
            <w:tcW w:w="3105" w:type="dxa"/>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市级2022年度评价指标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shd w:val="clear" w:color="auto" w:fill="FFFFFF"/>
            <w:noWrap w:val="0"/>
            <w:vAlign w:val="center"/>
          </w:tcPr>
          <w:p>
            <w:pPr>
              <w:snapToGrid w:val="0"/>
              <w:jc w:val="center"/>
              <w:rPr>
                <w:rFonts w:hint="default" w:ascii="宋体" w:hAnsi="宋体" w:eastAsia="宋体" w:cs="宋体"/>
                <w:sz w:val="24"/>
                <w:szCs w:val="24"/>
                <w:lang w:val="en-US" w:eastAsia="zh-CN"/>
              </w:rPr>
            </w:pPr>
          </w:p>
        </w:tc>
        <w:tc>
          <w:tcPr>
            <w:tcW w:w="1330" w:type="dxa"/>
            <w:shd w:val="clear" w:color="auto" w:fill="FFFFFF"/>
            <w:noWrap w:val="0"/>
            <w:vAlign w:val="center"/>
          </w:tcPr>
          <w:p>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8469" w:type="dxa"/>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对各成员单位的服务质量、消防安全、食品安全等日常监管覆盖率100%</w:t>
            </w:r>
          </w:p>
        </w:tc>
        <w:tc>
          <w:tcPr>
            <w:tcW w:w="3105" w:type="dxa"/>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市级2022年度评价指标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shd w:val="clear" w:color="auto" w:fill="FFFFFF"/>
            <w:noWrap w:val="0"/>
            <w:vAlign w:val="center"/>
          </w:tcPr>
          <w:p>
            <w:pPr>
              <w:snapToGrid w:val="0"/>
              <w:jc w:val="center"/>
              <w:rPr>
                <w:rFonts w:hint="default" w:ascii="黑体" w:hAnsi="黑体" w:eastAsia="黑体" w:cs="黑体"/>
                <w:kern w:val="2"/>
                <w:sz w:val="24"/>
                <w:szCs w:val="24"/>
                <w:lang w:val="en-US" w:eastAsia="zh-CN" w:bidi="ar-SA"/>
              </w:rPr>
            </w:pPr>
            <w:r>
              <w:rPr>
                <w:rFonts w:hint="eastAsia" w:ascii="黑体" w:hAnsi="黑体" w:eastAsia="黑体" w:cs="黑体"/>
                <w:sz w:val="24"/>
                <w:szCs w:val="24"/>
                <w:lang w:eastAsia="zh-CN"/>
              </w:rPr>
              <w:t>运营方式</w:t>
            </w:r>
          </w:p>
        </w:tc>
        <w:tc>
          <w:tcPr>
            <w:tcW w:w="1330" w:type="dxa"/>
            <w:shd w:val="clear" w:color="auto" w:fill="FFFFFF"/>
            <w:noWrap w:val="0"/>
            <w:vAlign w:val="center"/>
          </w:tcPr>
          <w:p>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8469" w:type="dxa"/>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投入资金，纳入政府购买服务</w:t>
            </w:r>
          </w:p>
        </w:tc>
        <w:tc>
          <w:tcPr>
            <w:tcW w:w="3105" w:type="dxa"/>
            <w:shd w:val="clear" w:color="auto" w:fill="FFFFFF"/>
            <w:noWrap w:val="0"/>
            <w:vAlign w:val="center"/>
          </w:tcPr>
          <w:p>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市级2022年度评价指标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restart"/>
            <w:shd w:val="clear" w:color="auto" w:fill="FFFFFF"/>
            <w:noWrap w:val="0"/>
            <w:vAlign w:val="center"/>
          </w:tcPr>
          <w:p>
            <w:pPr>
              <w:snapToGrid w:val="0"/>
              <w:jc w:val="center"/>
              <w:rPr>
                <w:rFonts w:hint="eastAsia" w:ascii="黑体" w:hAnsi="黑体" w:eastAsia="黑体" w:cs="黑体"/>
                <w:sz w:val="24"/>
                <w:szCs w:val="24"/>
                <w:lang w:val="en-US" w:eastAsia="zh-CN"/>
              </w:rPr>
            </w:pPr>
          </w:p>
          <w:p>
            <w:pPr>
              <w:snapToGrid w:val="0"/>
              <w:jc w:val="center"/>
              <w:rPr>
                <w:rFonts w:hint="eastAsia" w:ascii="黑体" w:hAnsi="黑体" w:eastAsia="黑体" w:cs="黑体"/>
                <w:sz w:val="24"/>
                <w:szCs w:val="24"/>
                <w:lang w:val="en-US" w:eastAsia="zh-CN"/>
              </w:rPr>
            </w:pPr>
          </w:p>
          <w:p>
            <w:pPr>
              <w:snapToGrid w:val="0"/>
              <w:jc w:val="center"/>
              <w:rPr>
                <w:rFonts w:hint="default"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建立精准对接机制</w:t>
            </w:r>
          </w:p>
          <w:p>
            <w:pPr>
              <w:snapToGrid w:val="0"/>
              <w:jc w:val="center"/>
              <w:rPr>
                <w:rFonts w:hint="default" w:ascii="黑体" w:hAnsi="黑体" w:eastAsia="黑体" w:cs="黑体"/>
                <w:kern w:val="2"/>
                <w:sz w:val="24"/>
                <w:szCs w:val="24"/>
                <w:lang w:val="en-US" w:eastAsia="zh-CN" w:bidi="ar-SA"/>
              </w:rPr>
            </w:pPr>
          </w:p>
          <w:p>
            <w:pPr>
              <w:snapToGrid w:val="0"/>
              <w:jc w:val="center"/>
              <w:rPr>
                <w:rFonts w:hint="eastAsia" w:ascii="黑体" w:hAnsi="黑体" w:eastAsia="黑体" w:cs="黑体"/>
                <w:sz w:val="24"/>
                <w:szCs w:val="24"/>
                <w:lang w:val="en-US" w:eastAsia="zh-CN"/>
              </w:rPr>
            </w:pPr>
          </w:p>
          <w:p>
            <w:pPr>
              <w:snapToGrid w:val="0"/>
              <w:jc w:val="center"/>
              <w:rPr>
                <w:rFonts w:hint="eastAsia" w:ascii="黑体" w:hAnsi="黑体" w:eastAsia="黑体" w:cs="黑体"/>
                <w:sz w:val="24"/>
                <w:szCs w:val="24"/>
                <w:lang w:val="en-US" w:eastAsia="zh-CN"/>
              </w:rPr>
            </w:pPr>
          </w:p>
        </w:tc>
        <w:tc>
          <w:tcPr>
            <w:tcW w:w="1330" w:type="dxa"/>
            <w:shd w:val="clear" w:color="auto" w:fill="FFFFFF"/>
            <w:noWrap w:val="0"/>
            <w:vAlign w:val="center"/>
          </w:tcPr>
          <w:p>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8469" w:type="dxa"/>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建立镇街老年人需求发现制度</w:t>
            </w:r>
          </w:p>
        </w:tc>
        <w:tc>
          <w:tcPr>
            <w:tcW w:w="3105" w:type="dxa"/>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市级2022年度评价指标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shd w:val="clear" w:color="auto" w:fill="FFFFFF"/>
            <w:noWrap w:val="0"/>
            <w:vAlign w:val="center"/>
          </w:tcPr>
          <w:p>
            <w:pPr>
              <w:snapToGrid w:val="0"/>
              <w:jc w:val="center"/>
              <w:rPr>
                <w:rFonts w:hint="default" w:ascii="黑体" w:hAnsi="黑体" w:eastAsia="黑体" w:cs="黑体"/>
                <w:kern w:val="2"/>
                <w:sz w:val="24"/>
                <w:szCs w:val="24"/>
                <w:lang w:val="en-US" w:eastAsia="zh-CN" w:bidi="ar-SA"/>
              </w:rPr>
            </w:pPr>
          </w:p>
        </w:tc>
        <w:tc>
          <w:tcPr>
            <w:tcW w:w="1330" w:type="dxa"/>
            <w:shd w:val="clear" w:color="auto" w:fill="FFFFFF"/>
            <w:noWrap w:val="0"/>
            <w:vAlign w:val="center"/>
          </w:tcPr>
          <w:p>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8469" w:type="dxa"/>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建立镇街老联体议事协商制度</w:t>
            </w:r>
          </w:p>
        </w:tc>
        <w:tc>
          <w:tcPr>
            <w:tcW w:w="3105" w:type="dxa"/>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市级2022年度评价指标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shd w:val="clear" w:color="auto" w:fill="FFFFFF"/>
            <w:noWrap w:val="0"/>
            <w:vAlign w:val="center"/>
          </w:tcPr>
          <w:p>
            <w:pPr>
              <w:snapToGrid w:val="0"/>
              <w:jc w:val="center"/>
              <w:rPr>
                <w:rFonts w:hint="default" w:ascii="黑体" w:hAnsi="黑体" w:eastAsia="黑体" w:cs="黑体"/>
                <w:kern w:val="2"/>
                <w:sz w:val="24"/>
                <w:szCs w:val="24"/>
                <w:lang w:val="en-US" w:eastAsia="zh-CN" w:bidi="ar-SA"/>
              </w:rPr>
            </w:pPr>
          </w:p>
        </w:tc>
        <w:tc>
          <w:tcPr>
            <w:tcW w:w="1330" w:type="dxa"/>
            <w:shd w:val="clear" w:color="auto" w:fill="FFFFFF"/>
            <w:noWrap w:val="0"/>
            <w:vAlign w:val="center"/>
          </w:tcPr>
          <w:p>
            <w:pPr>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8469" w:type="dxa"/>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建立督办调度机制，推动问题解决</w:t>
            </w:r>
          </w:p>
        </w:tc>
        <w:tc>
          <w:tcPr>
            <w:tcW w:w="3105" w:type="dxa"/>
            <w:shd w:val="clear" w:color="auto" w:fill="FFFFFF"/>
            <w:noWrap w:val="0"/>
            <w:vAlign w:val="center"/>
          </w:tcPr>
          <w:p>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市级2022年度评价指标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2" w:hRule="atLeast"/>
        </w:trPr>
        <w:tc>
          <w:tcPr>
            <w:tcW w:w="1295" w:type="dxa"/>
            <w:vMerge w:val="continue"/>
            <w:shd w:val="clear" w:color="auto" w:fill="FFFFFF"/>
            <w:noWrap w:val="0"/>
            <w:vAlign w:val="center"/>
          </w:tcPr>
          <w:p>
            <w:pPr>
              <w:snapToGrid w:val="0"/>
              <w:jc w:val="center"/>
              <w:rPr>
                <w:rFonts w:hint="default" w:ascii="黑体" w:hAnsi="黑体" w:eastAsia="黑体" w:cs="黑体"/>
                <w:kern w:val="2"/>
                <w:sz w:val="24"/>
                <w:szCs w:val="24"/>
                <w:lang w:val="en-US" w:eastAsia="zh-CN" w:bidi="ar-SA"/>
              </w:rPr>
            </w:pPr>
          </w:p>
        </w:tc>
        <w:tc>
          <w:tcPr>
            <w:tcW w:w="1330" w:type="dxa"/>
            <w:shd w:val="clear" w:color="auto" w:fill="FFFFFF"/>
            <w:noWrap w:val="0"/>
            <w:vAlign w:val="center"/>
          </w:tcPr>
          <w:p>
            <w:pPr>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8469" w:type="dxa"/>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落实接诉即办机制，切实提高12345涉老问题诉求响应率、解决率、满意率</w:t>
            </w:r>
          </w:p>
        </w:tc>
        <w:tc>
          <w:tcPr>
            <w:tcW w:w="3105" w:type="dxa"/>
            <w:shd w:val="clear" w:color="auto" w:fill="FFFFFF"/>
            <w:noWrap w:val="0"/>
            <w:vAlign w:val="center"/>
          </w:tcPr>
          <w:p>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市级2022年度评价指标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7" w:hRule="atLeast"/>
        </w:trPr>
        <w:tc>
          <w:tcPr>
            <w:tcW w:w="1295" w:type="dxa"/>
            <w:vMerge w:val="continue"/>
            <w:shd w:val="clear" w:color="auto" w:fill="FFFFFF"/>
            <w:noWrap w:val="0"/>
            <w:vAlign w:val="center"/>
          </w:tcPr>
          <w:p>
            <w:pPr>
              <w:snapToGrid w:val="0"/>
              <w:jc w:val="center"/>
              <w:rPr>
                <w:rFonts w:hint="eastAsia" w:ascii="黑体" w:hAnsi="黑体" w:eastAsia="黑体" w:cs="黑体"/>
                <w:sz w:val="24"/>
                <w:szCs w:val="24"/>
                <w:lang w:val="en-US" w:eastAsia="zh-CN"/>
              </w:rPr>
            </w:pPr>
          </w:p>
        </w:tc>
        <w:tc>
          <w:tcPr>
            <w:tcW w:w="1330" w:type="dxa"/>
            <w:shd w:val="clear" w:color="auto" w:fill="FFFFFF"/>
            <w:noWrap w:val="0"/>
            <w:vAlign w:val="center"/>
          </w:tcPr>
          <w:p>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8469" w:type="dxa"/>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所有社区、村养老顾问全覆盖，熟悉掌握本辖区养老服务资源及相关养老政策，</w:t>
            </w:r>
          </w:p>
        </w:tc>
        <w:tc>
          <w:tcPr>
            <w:tcW w:w="3105" w:type="dxa"/>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市级2022年度评价指标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7" w:hRule="atLeast"/>
        </w:trPr>
        <w:tc>
          <w:tcPr>
            <w:tcW w:w="1295" w:type="dxa"/>
            <w:vMerge w:val="continue"/>
            <w:shd w:val="clear" w:color="auto" w:fill="FFFFFF"/>
            <w:noWrap w:val="0"/>
            <w:vAlign w:val="center"/>
          </w:tcPr>
          <w:p>
            <w:pPr>
              <w:snapToGrid w:val="0"/>
              <w:jc w:val="center"/>
              <w:rPr>
                <w:rFonts w:hint="eastAsia" w:ascii="黑体" w:hAnsi="黑体" w:eastAsia="黑体" w:cs="黑体"/>
                <w:sz w:val="24"/>
                <w:szCs w:val="24"/>
                <w:lang w:val="en-US" w:eastAsia="zh-CN"/>
              </w:rPr>
            </w:pPr>
          </w:p>
        </w:tc>
        <w:tc>
          <w:tcPr>
            <w:tcW w:w="1330" w:type="dxa"/>
            <w:shd w:val="clear" w:color="auto" w:fill="FFFFFF"/>
            <w:noWrap w:val="0"/>
            <w:vAlign w:val="center"/>
          </w:tcPr>
          <w:p>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w:t>
            </w:r>
          </w:p>
        </w:tc>
        <w:tc>
          <w:tcPr>
            <w:tcW w:w="8469" w:type="dxa"/>
            <w:shd w:val="clear" w:color="auto" w:fill="FFFFFF"/>
            <w:noWrap w:val="0"/>
            <w:vAlign w:val="center"/>
          </w:tcPr>
          <w:p>
            <w:pPr>
              <w:snapToGrid w:val="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在各村、楼门公布养老顾问联系电话，实现公示知晓率</w:t>
            </w:r>
            <w:r>
              <w:rPr>
                <w:rFonts w:hint="eastAsia" w:ascii="宋体" w:hAnsi="宋体" w:eastAsia="宋体" w:cs="宋体"/>
                <w:sz w:val="24"/>
                <w:szCs w:val="24"/>
                <w:lang w:val="en-US" w:eastAsia="zh-CN"/>
              </w:rPr>
              <w:t>100%</w:t>
            </w:r>
          </w:p>
        </w:tc>
        <w:tc>
          <w:tcPr>
            <w:tcW w:w="3105" w:type="dxa"/>
            <w:shd w:val="clear" w:color="auto" w:fill="FFFFFF"/>
            <w:noWrap w:val="0"/>
            <w:vAlign w:val="center"/>
          </w:tcPr>
          <w:p>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市级2022年度评价指标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restart"/>
            <w:tcBorders>
              <w:left w:val="single" w:color="auto" w:sz="4" w:space="0"/>
            </w:tcBorders>
            <w:shd w:val="clear" w:color="auto" w:fill="FFFFFF"/>
            <w:noWrap w:val="0"/>
            <w:vAlign w:val="center"/>
          </w:tcPr>
          <w:p>
            <w:pPr>
              <w:snapToGrid w:val="0"/>
              <w:jc w:val="both"/>
              <w:rPr>
                <w:rFonts w:hint="default" w:ascii="宋体" w:hAnsi="宋体" w:eastAsia="宋体" w:cs="宋体"/>
                <w:sz w:val="24"/>
                <w:szCs w:val="24"/>
                <w:lang w:val="en-US" w:eastAsia="zh-CN"/>
              </w:rPr>
            </w:pPr>
          </w:p>
          <w:p>
            <w:pPr>
              <w:snapToGrid w:val="0"/>
              <w:jc w:val="center"/>
              <w:rPr>
                <w:rFonts w:hint="eastAsia" w:ascii="宋体" w:hAnsi="宋体" w:eastAsia="宋体" w:cs="宋体"/>
                <w:kern w:val="2"/>
                <w:sz w:val="24"/>
                <w:szCs w:val="24"/>
                <w:lang w:val="en-US" w:eastAsia="zh-CN" w:bidi="ar-SA"/>
              </w:rPr>
            </w:pPr>
            <w:r>
              <w:rPr>
                <w:rFonts w:hint="eastAsia" w:ascii="黑体" w:hAnsi="黑体" w:eastAsia="黑体" w:cs="黑体"/>
                <w:sz w:val="24"/>
                <w:szCs w:val="24"/>
                <w:lang w:val="en-US" w:eastAsia="zh-CN"/>
              </w:rPr>
              <w:t>优化养老服务发展格局</w:t>
            </w:r>
          </w:p>
        </w:tc>
        <w:tc>
          <w:tcPr>
            <w:tcW w:w="1330" w:type="dxa"/>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w:t>
            </w:r>
          </w:p>
        </w:tc>
        <w:tc>
          <w:tcPr>
            <w:tcW w:w="8469" w:type="dxa"/>
            <w:shd w:val="clear" w:color="auto" w:fill="FFFFFF"/>
            <w:noWrap w:val="0"/>
            <w:vAlign w:val="center"/>
          </w:tcPr>
          <w:p>
            <w:pPr>
              <w:snapToGrid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本镇域千人养老床位数达到</w:t>
            </w:r>
            <w:r>
              <w:rPr>
                <w:rFonts w:hint="eastAsia" w:ascii="宋体" w:hAnsi="宋体" w:eastAsia="宋体" w:cs="宋体"/>
                <w:color w:val="auto"/>
                <w:sz w:val="24"/>
                <w:szCs w:val="24"/>
                <w:lang w:val="en-US" w:eastAsia="zh-CN"/>
              </w:rPr>
              <w:t>7张</w:t>
            </w:r>
          </w:p>
        </w:tc>
        <w:tc>
          <w:tcPr>
            <w:tcW w:w="3105" w:type="dxa"/>
            <w:shd w:val="clear" w:color="auto" w:fill="FFFFFF"/>
            <w:noWrap w:val="0"/>
            <w:vAlign w:val="center"/>
          </w:tcPr>
          <w:p>
            <w:pPr>
              <w:snapToGrid w:val="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“七有”“五性”评价指标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tcBorders>
              <w:left w:val="single" w:color="auto" w:sz="4" w:space="0"/>
            </w:tcBorders>
            <w:shd w:val="clear" w:color="auto" w:fill="FFFFFF"/>
            <w:noWrap w:val="0"/>
            <w:vAlign w:val="center"/>
          </w:tcPr>
          <w:p>
            <w:pPr>
              <w:snapToGrid w:val="0"/>
              <w:jc w:val="center"/>
              <w:rPr>
                <w:rFonts w:hint="default" w:ascii="宋体" w:hAnsi="宋体" w:eastAsia="宋体" w:cs="宋体"/>
                <w:kern w:val="2"/>
                <w:sz w:val="24"/>
                <w:szCs w:val="24"/>
                <w:lang w:val="en-US" w:eastAsia="zh-CN" w:bidi="ar-SA"/>
              </w:rPr>
            </w:pPr>
          </w:p>
        </w:tc>
        <w:tc>
          <w:tcPr>
            <w:tcW w:w="1330" w:type="dxa"/>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w:t>
            </w:r>
          </w:p>
        </w:tc>
        <w:tc>
          <w:tcPr>
            <w:tcW w:w="8469" w:type="dxa"/>
            <w:shd w:val="clear" w:color="auto" w:fill="FFFFFF"/>
            <w:noWrap w:val="0"/>
            <w:vAlign w:val="center"/>
          </w:tcPr>
          <w:p>
            <w:pPr>
              <w:snapToGrid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各镇街养老机构床位平均使用率≧55%</w:t>
            </w:r>
          </w:p>
        </w:tc>
        <w:tc>
          <w:tcPr>
            <w:tcW w:w="3105" w:type="dxa"/>
            <w:shd w:val="clear" w:color="auto" w:fill="FFFFFF"/>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“七有”“五性”评价指标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tcBorders>
              <w:left w:val="single" w:color="auto" w:sz="4" w:space="0"/>
            </w:tcBorders>
            <w:shd w:val="clear" w:color="auto" w:fill="FFFFFF"/>
            <w:noWrap w:val="0"/>
            <w:vAlign w:val="center"/>
          </w:tcPr>
          <w:p>
            <w:pPr>
              <w:snapToGrid w:val="0"/>
              <w:jc w:val="center"/>
              <w:rPr>
                <w:rFonts w:hint="default" w:ascii="宋体" w:hAnsi="宋体" w:eastAsia="宋体" w:cs="宋体"/>
                <w:kern w:val="2"/>
                <w:sz w:val="24"/>
                <w:szCs w:val="24"/>
                <w:lang w:val="en-US" w:eastAsia="zh-CN" w:bidi="ar-SA"/>
              </w:rPr>
            </w:pPr>
          </w:p>
        </w:tc>
        <w:tc>
          <w:tcPr>
            <w:tcW w:w="1330" w:type="dxa"/>
            <w:shd w:val="clear" w:color="auto" w:fill="FFFFFF"/>
            <w:noWrap w:val="0"/>
            <w:vAlign w:val="center"/>
          </w:tcPr>
          <w:p>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w:t>
            </w:r>
          </w:p>
        </w:tc>
        <w:tc>
          <w:tcPr>
            <w:tcW w:w="8469" w:type="dxa"/>
            <w:shd w:val="clear" w:color="auto" w:fill="FFFFFF"/>
            <w:noWrap w:val="0"/>
            <w:vAlign w:val="center"/>
          </w:tcPr>
          <w:p>
            <w:pPr>
              <w:snapToGrid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各镇街每万名老年人拥有养老护理员数不少于50人</w:t>
            </w:r>
          </w:p>
        </w:tc>
        <w:tc>
          <w:tcPr>
            <w:tcW w:w="3105" w:type="dxa"/>
            <w:shd w:val="clear" w:color="auto" w:fill="FFFFFF"/>
            <w:noWrap w:val="0"/>
            <w:vAlign w:val="center"/>
          </w:tcPr>
          <w:p>
            <w:pPr>
              <w:snapToGrid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“七有”“五性”评价指标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tcBorders>
              <w:left w:val="single" w:color="auto" w:sz="4" w:space="0"/>
            </w:tcBorders>
            <w:shd w:val="clear" w:color="auto" w:fill="FFFFFF"/>
            <w:noWrap w:val="0"/>
            <w:vAlign w:val="center"/>
          </w:tcPr>
          <w:p>
            <w:pPr>
              <w:snapToGrid w:val="0"/>
              <w:jc w:val="center"/>
              <w:rPr>
                <w:rFonts w:hint="default" w:ascii="宋体" w:hAnsi="宋体" w:eastAsia="宋体" w:cs="宋体"/>
                <w:kern w:val="2"/>
                <w:sz w:val="24"/>
                <w:szCs w:val="24"/>
                <w:lang w:val="en-US" w:eastAsia="zh-CN" w:bidi="ar-SA"/>
              </w:rPr>
            </w:pPr>
          </w:p>
        </w:tc>
        <w:tc>
          <w:tcPr>
            <w:tcW w:w="1330" w:type="dxa"/>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w:t>
            </w:r>
          </w:p>
        </w:tc>
        <w:tc>
          <w:tcPr>
            <w:tcW w:w="8469" w:type="dxa"/>
            <w:shd w:val="clear" w:color="auto" w:fill="FFFFFF"/>
            <w:noWrap w:val="0"/>
            <w:vAlign w:val="center"/>
          </w:tcPr>
          <w:p>
            <w:pPr>
              <w:snapToGrid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镇街养老照料中心实现全覆盖，发挥居家</w:t>
            </w:r>
            <w:r>
              <w:rPr>
                <w:rFonts w:hint="eastAsia" w:ascii="宋体" w:hAnsi="宋体" w:eastAsia="宋体" w:cs="宋体"/>
                <w:color w:val="auto"/>
                <w:sz w:val="24"/>
                <w:szCs w:val="24"/>
                <w:lang w:val="en-US" w:eastAsia="zh-CN"/>
              </w:rPr>
              <w:t>养老服务</w:t>
            </w:r>
            <w:r>
              <w:rPr>
                <w:rFonts w:hint="eastAsia" w:ascii="宋体" w:hAnsi="宋体" w:eastAsia="宋体" w:cs="宋体"/>
                <w:color w:val="auto"/>
                <w:sz w:val="24"/>
                <w:szCs w:val="24"/>
                <w:lang w:eastAsia="zh-CN"/>
              </w:rPr>
              <w:t>辐射功能</w:t>
            </w:r>
          </w:p>
        </w:tc>
        <w:tc>
          <w:tcPr>
            <w:tcW w:w="3105" w:type="dxa"/>
            <w:shd w:val="clear" w:color="auto" w:fill="FFFFFF"/>
            <w:noWrap w:val="0"/>
            <w:vAlign w:val="center"/>
          </w:tcPr>
          <w:p>
            <w:pPr>
              <w:snapToGrid w:val="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“七有”“五性”评价指标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tcBorders>
              <w:left w:val="single" w:color="auto" w:sz="4" w:space="0"/>
            </w:tcBorders>
            <w:shd w:val="clear" w:color="auto" w:fill="FFFFFF"/>
            <w:noWrap w:val="0"/>
            <w:vAlign w:val="center"/>
          </w:tcPr>
          <w:p>
            <w:pPr>
              <w:snapToGrid w:val="0"/>
              <w:jc w:val="center"/>
              <w:rPr>
                <w:rFonts w:hint="default" w:ascii="宋体" w:hAnsi="宋体" w:eastAsia="宋体" w:cs="宋体"/>
                <w:kern w:val="2"/>
                <w:sz w:val="24"/>
                <w:szCs w:val="24"/>
                <w:lang w:val="en-US" w:eastAsia="zh-CN" w:bidi="ar-SA"/>
              </w:rPr>
            </w:pPr>
          </w:p>
        </w:tc>
        <w:tc>
          <w:tcPr>
            <w:tcW w:w="1330" w:type="dxa"/>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w:t>
            </w:r>
          </w:p>
        </w:tc>
        <w:tc>
          <w:tcPr>
            <w:tcW w:w="8469" w:type="dxa"/>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驿站持续运营并有效开展服务</w:t>
            </w:r>
            <w:r>
              <w:rPr>
                <w:rFonts w:hint="eastAsia" w:ascii="宋体" w:hAnsi="宋体" w:eastAsia="宋体" w:cs="宋体"/>
                <w:sz w:val="24"/>
                <w:szCs w:val="24"/>
                <w:lang w:eastAsia="zh-CN"/>
              </w:rPr>
              <w:t>，基本养老服务对象动态签约率达到95%以上</w:t>
            </w:r>
          </w:p>
        </w:tc>
        <w:tc>
          <w:tcPr>
            <w:tcW w:w="3105" w:type="dxa"/>
            <w:shd w:val="clear" w:color="auto" w:fill="FFFFFF"/>
            <w:noWrap w:val="0"/>
            <w:vAlign w:val="center"/>
          </w:tcPr>
          <w:p>
            <w:pPr>
              <w:snapToGrid w:val="0"/>
              <w:jc w:val="left"/>
              <w:rPr>
                <w:rFonts w:hint="eastAsia" w:ascii="宋体" w:hAnsi="宋体" w:eastAsia="宋体" w:cs="宋体"/>
                <w:sz w:val="24"/>
                <w:szCs w:val="24"/>
              </w:rPr>
            </w:pPr>
            <w:r>
              <w:rPr>
                <w:rFonts w:hint="eastAsia" w:ascii="宋体" w:hAnsi="宋体" w:eastAsia="宋体" w:cs="宋体"/>
                <w:color w:val="auto"/>
                <w:sz w:val="24"/>
                <w:szCs w:val="24"/>
                <w:lang w:eastAsia="zh-CN"/>
              </w:rPr>
              <w:t>“七有”“五性”评价指标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tcBorders>
              <w:left w:val="single" w:color="auto" w:sz="4" w:space="0"/>
            </w:tcBorders>
            <w:shd w:val="clear" w:color="auto" w:fill="FFFFFF"/>
            <w:noWrap w:val="0"/>
            <w:vAlign w:val="center"/>
          </w:tcPr>
          <w:p>
            <w:pPr>
              <w:snapToGrid w:val="0"/>
              <w:jc w:val="center"/>
              <w:rPr>
                <w:rFonts w:hint="default" w:ascii="宋体" w:hAnsi="宋体" w:eastAsia="宋体" w:cs="宋体"/>
                <w:sz w:val="24"/>
                <w:szCs w:val="24"/>
                <w:lang w:val="en-US" w:eastAsia="zh-CN"/>
              </w:rPr>
            </w:pPr>
          </w:p>
        </w:tc>
        <w:tc>
          <w:tcPr>
            <w:tcW w:w="1330" w:type="dxa"/>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17</w:t>
            </w:r>
          </w:p>
        </w:tc>
        <w:tc>
          <w:tcPr>
            <w:tcW w:w="8469" w:type="dxa"/>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生活不能自理特困人员供养率</w:t>
            </w:r>
            <w:r>
              <w:rPr>
                <w:rFonts w:hint="eastAsia" w:ascii="宋体" w:hAnsi="宋体" w:eastAsia="宋体" w:cs="宋体"/>
                <w:sz w:val="24"/>
                <w:szCs w:val="24"/>
                <w:lang w:val="en-US" w:eastAsia="zh-CN"/>
              </w:rPr>
              <w:t>100%</w:t>
            </w:r>
          </w:p>
        </w:tc>
        <w:tc>
          <w:tcPr>
            <w:tcW w:w="3105" w:type="dxa"/>
            <w:shd w:val="clear" w:color="auto" w:fill="FFFFFF"/>
            <w:noWrap w:val="0"/>
            <w:vAlign w:val="center"/>
          </w:tcPr>
          <w:p>
            <w:pPr>
              <w:snapToGrid w:val="0"/>
              <w:jc w:val="left"/>
              <w:rPr>
                <w:rFonts w:hint="eastAsia" w:ascii="宋体" w:hAnsi="宋体" w:eastAsia="宋体" w:cs="宋体"/>
                <w:sz w:val="24"/>
                <w:szCs w:val="24"/>
              </w:rPr>
            </w:pPr>
            <w:r>
              <w:rPr>
                <w:rFonts w:hint="eastAsia" w:ascii="宋体" w:hAnsi="宋体" w:eastAsia="宋体" w:cs="宋体"/>
                <w:color w:val="auto"/>
                <w:sz w:val="24"/>
                <w:szCs w:val="24"/>
                <w:lang w:eastAsia="zh-CN"/>
              </w:rPr>
              <w:t>“七有”“五性”评价指标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tcBorders>
              <w:left w:val="single" w:color="auto" w:sz="4" w:space="0"/>
            </w:tcBorders>
            <w:shd w:val="clear" w:color="auto" w:fill="FFFFFF"/>
            <w:noWrap w:val="0"/>
            <w:vAlign w:val="center"/>
          </w:tcPr>
          <w:p>
            <w:pPr>
              <w:snapToGrid w:val="0"/>
              <w:jc w:val="center"/>
              <w:rPr>
                <w:rFonts w:hint="default" w:ascii="宋体" w:hAnsi="宋体" w:eastAsia="宋体" w:cs="宋体"/>
                <w:sz w:val="24"/>
                <w:szCs w:val="24"/>
                <w:lang w:val="en-US" w:eastAsia="zh-CN"/>
              </w:rPr>
            </w:pPr>
          </w:p>
        </w:tc>
        <w:tc>
          <w:tcPr>
            <w:tcW w:w="1330" w:type="dxa"/>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w:t>
            </w:r>
          </w:p>
        </w:tc>
        <w:tc>
          <w:tcPr>
            <w:tcW w:w="8469" w:type="dxa"/>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有集中供养意愿特困人员集中供养率</w:t>
            </w:r>
            <w:r>
              <w:rPr>
                <w:rFonts w:hint="eastAsia" w:ascii="宋体" w:hAnsi="宋体" w:eastAsia="宋体" w:cs="宋体"/>
                <w:sz w:val="24"/>
                <w:szCs w:val="24"/>
                <w:lang w:val="en-US" w:eastAsia="zh-CN"/>
              </w:rPr>
              <w:t>100%</w:t>
            </w:r>
          </w:p>
        </w:tc>
        <w:tc>
          <w:tcPr>
            <w:tcW w:w="3105" w:type="dxa"/>
            <w:shd w:val="clear" w:color="auto" w:fill="FFFFFF"/>
            <w:noWrap w:val="0"/>
            <w:vAlign w:val="center"/>
          </w:tcPr>
          <w:p>
            <w:pPr>
              <w:snapToGrid w:val="0"/>
              <w:jc w:val="left"/>
              <w:rPr>
                <w:rFonts w:hint="eastAsia" w:ascii="宋体" w:hAnsi="宋体" w:eastAsia="宋体" w:cs="宋体"/>
                <w:sz w:val="24"/>
                <w:szCs w:val="24"/>
              </w:rPr>
            </w:pPr>
            <w:r>
              <w:rPr>
                <w:rFonts w:hint="eastAsia" w:ascii="宋体" w:hAnsi="宋体" w:eastAsia="宋体" w:cs="宋体"/>
                <w:color w:val="auto"/>
                <w:sz w:val="24"/>
                <w:szCs w:val="24"/>
                <w:lang w:eastAsia="zh-CN"/>
              </w:rPr>
              <w:t>“七有”“五性”评价指标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tcBorders>
              <w:lef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p>
        </w:tc>
        <w:tc>
          <w:tcPr>
            <w:tcW w:w="1330" w:type="dxa"/>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w:t>
            </w:r>
          </w:p>
        </w:tc>
        <w:tc>
          <w:tcPr>
            <w:tcW w:w="8469" w:type="dxa"/>
            <w:shd w:val="clear" w:color="auto" w:fill="FFFFFF"/>
            <w:noWrap w:val="0"/>
            <w:vAlign w:val="center"/>
          </w:tcPr>
          <w:p>
            <w:pPr>
              <w:snapToGrid w:val="0"/>
              <w:jc w:val="left"/>
              <w:rPr>
                <w:rFonts w:hint="default" w:ascii="宋体" w:hAnsi="宋体" w:eastAsia="宋体" w:cs="宋体"/>
                <w:kern w:val="2"/>
                <w:sz w:val="24"/>
                <w:szCs w:val="24"/>
                <w:lang w:val="en-US" w:eastAsia="zh-CN" w:bidi="ar-SA"/>
              </w:rPr>
            </w:pPr>
            <w:r>
              <w:rPr>
                <w:rFonts w:hint="eastAsia" w:ascii="宋体" w:hAnsi="宋体" w:eastAsia="宋体" w:cs="宋体"/>
                <w:sz w:val="24"/>
                <w:szCs w:val="24"/>
                <w:lang w:eastAsia="zh-CN"/>
              </w:rPr>
              <w:t>完成公办敬老院管理体制改革</w:t>
            </w:r>
          </w:p>
        </w:tc>
        <w:tc>
          <w:tcPr>
            <w:tcW w:w="3105" w:type="dxa"/>
            <w:shd w:val="clear" w:color="auto" w:fill="FFFFFF"/>
            <w:noWrap w:val="0"/>
            <w:vAlign w:val="center"/>
          </w:tcPr>
          <w:p>
            <w:pPr>
              <w:snapToGrid w:val="0"/>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区级绩效考核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tcBorders>
              <w:lef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p>
        </w:tc>
        <w:tc>
          <w:tcPr>
            <w:tcW w:w="1330" w:type="dxa"/>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w:t>
            </w:r>
          </w:p>
        </w:tc>
        <w:tc>
          <w:tcPr>
            <w:tcW w:w="8469" w:type="dxa"/>
            <w:shd w:val="clear" w:color="auto" w:fill="FFFFFF"/>
            <w:noWrap w:val="0"/>
            <w:vAlign w:val="center"/>
          </w:tcPr>
          <w:p>
            <w:pPr>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现有社区养老驿站及镇街养老照料中心助餐服务全覆盖</w:t>
            </w:r>
          </w:p>
        </w:tc>
        <w:tc>
          <w:tcPr>
            <w:tcW w:w="3105" w:type="dxa"/>
            <w:shd w:val="clear" w:color="auto" w:fill="FFFFFF"/>
            <w:noWrap w:val="0"/>
            <w:vAlign w:val="center"/>
          </w:tcPr>
          <w:p>
            <w:pPr>
              <w:snapToGrid w:val="0"/>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区级绩效考核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tcBorders>
              <w:left w:val="single" w:color="auto" w:sz="4" w:space="0"/>
            </w:tcBorders>
            <w:shd w:val="clear" w:color="auto" w:fill="FFFFFF"/>
            <w:noWrap w:val="0"/>
            <w:vAlign w:val="center"/>
          </w:tcPr>
          <w:p>
            <w:pPr>
              <w:snapToGrid w:val="0"/>
              <w:jc w:val="center"/>
              <w:rPr>
                <w:rFonts w:hint="eastAsia" w:ascii="宋体" w:hAnsi="宋体" w:eastAsia="宋体" w:cs="宋体"/>
                <w:sz w:val="24"/>
                <w:szCs w:val="24"/>
                <w:lang w:val="en-US" w:eastAsia="zh-CN"/>
              </w:rPr>
            </w:pPr>
          </w:p>
        </w:tc>
        <w:tc>
          <w:tcPr>
            <w:tcW w:w="1330" w:type="dxa"/>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21</w:t>
            </w:r>
          </w:p>
        </w:tc>
        <w:tc>
          <w:tcPr>
            <w:tcW w:w="8469" w:type="dxa"/>
            <w:shd w:val="clear" w:color="auto" w:fill="FFFFFF"/>
            <w:noWrap w:val="0"/>
            <w:vAlign w:val="center"/>
          </w:tcPr>
          <w:p>
            <w:pPr>
              <w:snapToGrid w:val="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就近养老服务设施（三张床）比例</w:t>
            </w:r>
            <w:r>
              <w:rPr>
                <w:rFonts w:hint="eastAsia" w:ascii="宋体" w:hAnsi="宋体" w:eastAsia="宋体" w:cs="宋体"/>
                <w:sz w:val="24"/>
                <w:szCs w:val="24"/>
                <w:lang w:val="en-US" w:eastAsia="zh-CN"/>
              </w:rPr>
              <w:t>8:1:1，与区域内基本养老服务对象需求匹配</w:t>
            </w:r>
          </w:p>
        </w:tc>
        <w:tc>
          <w:tcPr>
            <w:tcW w:w="3105" w:type="dxa"/>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tcBorders>
              <w:left w:val="single" w:color="auto" w:sz="4" w:space="0"/>
            </w:tcBorders>
            <w:shd w:val="clear" w:color="auto" w:fill="FFFFFF"/>
            <w:noWrap w:val="0"/>
            <w:vAlign w:val="center"/>
          </w:tcPr>
          <w:p>
            <w:pPr>
              <w:snapToGrid w:val="0"/>
              <w:jc w:val="center"/>
              <w:rPr>
                <w:rFonts w:hint="eastAsia" w:ascii="宋体" w:hAnsi="宋体" w:eastAsia="宋体" w:cs="宋体"/>
                <w:sz w:val="24"/>
                <w:szCs w:val="24"/>
                <w:lang w:val="en-US" w:eastAsia="zh-CN"/>
              </w:rPr>
            </w:pPr>
          </w:p>
        </w:tc>
        <w:tc>
          <w:tcPr>
            <w:tcW w:w="1330" w:type="dxa"/>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w:t>
            </w:r>
          </w:p>
        </w:tc>
        <w:tc>
          <w:tcPr>
            <w:tcW w:w="8469" w:type="dxa"/>
            <w:shd w:val="clear" w:color="auto" w:fill="FFFFFF"/>
            <w:noWrap w:val="0"/>
            <w:vAlign w:val="center"/>
          </w:tcPr>
          <w:p>
            <w:pPr>
              <w:snapToGrid w:val="0"/>
              <w:jc w:val="left"/>
              <w:rPr>
                <w:rFonts w:hint="eastAsia" w:ascii="宋体" w:hAnsi="宋体" w:eastAsia="宋体" w:cs="宋体"/>
                <w:sz w:val="24"/>
                <w:szCs w:val="24"/>
                <w:lang w:eastAsia="zh-CN"/>
              </w:rPr>
            </w:pPr>
            <w:r>
              <w:rPr>
                <w:rFonts w:hint="eastAsia" w:ascii="宋体" w:hAnsi="宋体" w:eastAsia="宋体" w:cs="宋体"/>
                <w:sz w:val="24"/>
                <w:szCs w:val="24"/>
              </w:rPr>
              <w:t>建设一刻钟居家养老服务圈（助餐、助洁、助急、助浴、助行、助医等）</w:t>
            </w:r>
          </w:p>
        </w:tc>
        <w:tc>
          <w:tcPr>
            <w:tcW w:w="3105" w:type="dxa"/>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tcBorders>
              <w:left w:val="single" w:color="auto" w:sz="4" w:space="0"/>
            </w:tcBorders>
            <w:shd w:val="clear" w:color="auto" w:fill="FFFFFF"/>
            <w:noWrap w:val="0"/>
            <w:vAlign w:val="center"/>
          </w:tcPr>
          <w:p>
            <w:pPr>
              <w:snapToGrid w:val="0"/>
              <w:jc w:val="center"/>
              <w:rPr>
                <w:rFonts w:hint="eastAsia" w:ascii="宋体" w:hAnsi="宋体" w:eastAsia="宋体" w:cs="宋体"/>
                <w:sz w:val="24"/>
                <w:szCs w:val="24"/>
                <w:lang w:val="en-US" w:eastAsia="zh-CN"/>
              </w:rPr>
            </w:pPr>
          </w:p>
        </w:tc>
        <w:tc>
          <w:tcPr>
            <w:tcW w:w="1330" w:type="dxa"/>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w:t>
            </w:r>
          </w:p>
        </w:tc>
        <w:tc>
          <w:tcPr>
            <w:tcW w:w="8469" w:type="dxa"/>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对高龄、独居</w:t>
            </w:r>
            <w:r>
              <w:rPr>
                <w:rFonts w:hint="eastAsia" w:ascii="宋体" w:hAnsi="宋体" w:eastAsia="宋体" w:cs="宋体"/>
                <w:sz w:val="24"/>
                <w:szCs w:val="24"/>
                <w:lang w:val="en-US" w:eastAsia="zh-CN"/>
              </w:rPr>
              <w:t>及特殊困难</w:t>
            </w:r>
            <w:r>
              <w:rPr>
                <w:rFonts w:hint="eastAsia" w:ascii="宋体" w:hAnsi="宋体" w:eastAsia="宋体" w:cs="宋体"/>
                <w:sz w:val="24"/>
                <w:szCs w:val="24"/>
              </w:rPr>
              <w:t>老年人开展巡视探访</w:t>
            </w:r>
            <w:r>
              <w:rPr>
                <w:rFonts w:hint="eastAsia" w:ascii="宋体" w:hAnsi="宋体" w:eastAsia="宋体" w:cs="宋体"/>
                <w:sz w:val="24"/>
                <w:szCs w:val="24"/>
                <w:lang w:eastAsia="zh-CN"/>
              </w:rPr>
              <w:t>率</w:t>
            </w:r>
          </w:p>
        </w:tc>
        <w:tc>
          <w:tcPr>
            <w:tcW w:w="3105" w:type="dxa"/>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tcBorders>
              <w:left w:val="single" w:color="auto" w:sz="4" w:space="0"/>
            </w:tcBorders>
            <w:shd w:val="clear" w:color="auto" w:fill="FFFFFF"/>
            <w:noWrap w:val="0"/>
            <w:vAlign w:val="center"/>
          </w:tcPr>
          <w:p>
            <w:pPr>
              <w:snapToGrid w:val="0"/>
              <w:jc w:val="center"/>
              <w:rPr>
                <w:rFonts w:hint="eastAsia" w:ascii="宋体" w:hAnsi="宋体" w:eastAsia="宋体" w:cs="宋体"/>
                <w:sz w:val="24"/>
                <w:szCs w:val="24"/>
                <w:lang w:val="en-US" w:eastAsia="zh-CN"/>
              </w:rPr>
            </w:pPr>
          </w:p>
        </w:tc>
        <w:tc>
          <w:tcPr>
            <w:tcW w:w="1330" w:type="dxa"/>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w:t>
            </w:r>
          </w:p>
        </w:tc>
        <w:tc>
          <w:tcPr>
            <w:tcW w:w="8469" w:type="dxa"/>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居家社区养老紧急救援系统全面建立</w:t>
            </w:r>
          </w:p>
        </w:tc>
        <w:tc>
          <w:tcPr>
            <w:tcW w:w="3105" w:type="dxa"/>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tcBorders>
              <w:left w:val="single" w:color="auto" w:sz="4" w:space="0"/>
            </w:tcBorders>
            <w:shd w:val="clear" w:color="auto" w:fill="FFFFFF"/>
            <w:noWrap w:val="0"/>
            <w:vAlign w:val="center"/>
          </w:tcPr>
          <w:p>
            <w:pPr>
              <w:snapToGrid w:val="0"/>
              <w:jc w:val="center"/>
              <w:rPr>
                <w:rFonts w:hint="eastAsia" w:ascii="宋体" w:hAnsi="宋体" w:eastAsia="宋体" w:cs="宋体"/>
                <w:sz w:val="24"/>
                <w:szCs w:val="24"/>
                <w:lang w:val="en-US" w:eastAsia="zh-CN"/>
              </w:rPr>
            </w:pPr>
          </w:p>
        </w:tc>
        <w:tc>
          <w:tcPr>
            <w:tcW w:w="1330" w:type="dxa"/>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w:t>
            </w:r>
          </w:p>
        </w:tc>
        <w:tc>
          <w:tcPr>
            <w:tcW w:w="8469" w:type="dxa"/>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加强医疗室、护理站建设</w:t>
            </w:r>
          </w:p>
        </w:tc>
        <w:tc>
          <w:tcPr>
            <w:tcW w:w="3105" w:type="dxa"/>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tcBorders>
              <w:left w:val="single" w:color="auto" w:sz="4" w:space="0"/>
            </w:tcBorders>
            <w:shd w:val="clear" w:color="auto" w:fill="FFFFFF"/>
            <w:noWrap w:val="0"/>
            <w:vAlign w:val="center"/>
          </w:tcPr>
          <w:p>
            <w:pPr>
              <w:snapToGrid w:val="0"/>
              <w:jc w:val="center"/>
              <w:rPr>
                <w:rFonts w:hint="eastAsia" w:ascii="宋体" w:hAnsi="宋体" w:eastAsia="宋体" w:cs="宋体"/>
                <w:sz w:val="24"/>
                <w:szCs w:val="24"/>
                <w:lang w:val="en-US" w:eastAsia="zh-CN"/>
              </w:rPr>
            </w:pPr>
          </w:p>
        </w:tc>
        <w:tc>
          <w:tcPr>
            <w:tcW w:w="1330" w:type="dxa"/>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26</w:t>
            </w:r>
          </w:p>
        </w:tc>
        <w:tc>
          <w:tcPr>
            <w:tcW w:w="8469" w:type="dxa"/>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困难老年人社会政策应享尽享</w:t>
            </w:r>
            <w:r>
              <w:rPr>
                <w:rFonts w:hint="eastAsia" w:ascii="宋体" w:hAnsi="宋体" w:eastAsia="宋体" w:cs="宋体"/>
                <w:sz w:val="24"/>
                <w:szCs w:val="24"/>
                <w:lang w:eastAsia="zh-CN"/>
              </w:rPr>
              <w:t>率</w:t>
            </w:r>
          </w:p>
        </w:tc>
        <w:tc>
          <w:tcPr>
            <w:tcW w:w="3105" w:type="dxa"/>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tcBorders>
              <w:left w:val="single" w:color="auto" w:sz="4" w:space="0"/>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sz w:val="24"/>
                <w:szCs w:val="24"/>
                <w:lang w:val="en-US" w:eastAsia="zh-CN"/>
              </w:rPr>
            </w:pPr>
          </w:p>
        </w:tc>
        <w:tc>
          <w:tcPr>
            <w:tcW w:w="1330" w:type="dxa"/>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27</w:t>
            </w:r>
          </w:p>
        </w:tc>
        <w:tc>
          <w:tcPr>
            <w:tcW w:w="8469" w:type="dxa"/>
            <w:tcBorders>
              <w:left w:val="single" w:color="auto" w:sz="4" w:space="0"/>
              <w:bottom w:val="single" w:color="auto" w:sz="4" w:space="0"/>
              <w:right w:val="single" w:color="auto" w:sz="4" w:space="0"/>
            </w:tcBorders>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失能老年人社区帮扶率</w:t>
            </w:r>
          </w:p>
        </w:tc>
        <w:tc>
          <w:tcPr>
            <w:tcW w:w="3105" w:type="dxa"/>
            <w:tcBorders>
              <w:left w:val="single" w:color="auto" w:sz="4" w:space="0"/>
              <w:bottom w:val="single" w:color="auto" w:sz="4" w:space="0"/>
            </w:tcBorders>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sz w:val="24"/>
                <w:szCs w:val="24"/>
                <w:lang w:val="en-US" w:eastAsia="zh-CN"/>
              </w:rPr>
            </w:pPr>
          </w:p>
        </w:tc>
        <w:tc>
          <w:tcPr>
            <w:tcW w:w="13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28</w:t>
            </w:r>
          </w:p>
        </w:tc>
        <w:tc>
          <w:tcPr>
            <w:tcW w:w="8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老年人家庭医生签约服务及满意度</w:t>
            </w:r>
            <w:r>
              <w:rPr>
                <w:rFonts w:hint="eastAsia" w:ascii="宋体" w:hAnsi="宋体" w:eastAsia="宋体" w:cs="宋体"/>
                <w:sz w:val="24"/>
                <w:szCs w:val="24"/>
                <w:lang w:val="en-US" w:eastAsia="zh-CN"/>
              </w:rPr>
              <w:t>情况</w:t>
            </w:r>
          </w:p>
        </w:tc>
        <w:tc>
          <w:tcPr>
            <w:tcW w:w="3105" w:type="dxa"/>
            <w:tcBorders>
              <w:top w:val="single" w:color="auto" w:sz="4" w:space="0"/>
              <w:left w:val="single" w:color="auto" w:sz="4" w:space="0"/>
              <w:bottom w:val="single" w:color="auto" w:sz="4" w:space="0"/>
            </w:tcBorders>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restart"/>
            <w:tcBorders>
              <w:top w:val="single" w:color="auto" w:sz="4" w:space="0"/>
              <w:left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sz w:val="24"/>
                <w:szCs w:val="24"/>
                <w:lang w:val="en-US" w:eastAsia="zh-CN"/>
              </w:rPr>
            </w:pPr>
          </w:p>
          <w:p>
            <w:pPr>
              <w:snapToGrid w:val="0"/>
              <w:jc w:val="center"/>
              <w:rPr>
                <w:rFonts w:hint="eastAsia" w:ascii="黑体" w:hAnsi="黑体" w:eastAsia="黑体" w:cs="黑体"/>
                <w:sz w:val="24"/>
                <w:szCs w:val="24"/>
                <w:lang w:val="en-US" w:eastAsia="zh-CN"/>
              </w:rPr>
            </w:pPr>
          </w:p>
          <w:p>
            <w:pPr>
              <w:snapToGrid w:val="0"/>
              <w:jc w:val="center"/>
              <w:rPr>
                <w:rFonts w:hint="eastAsia" w:ascii="黑体" w:hAnsi="黑体" w:eastAsia="黑体" w:cs="黑体"/>
                <w:sz w:val="24"/>
                <w:szCs w:val="24"/>
                <w:lang w:val="en-US" w:eastAsia="zh-CN"/>
              </w:rPr>
            </w:pPr>
          </w:p>
          <w:p>
            <w:pPr>
              <w:snapToGrid w:val="0"/>
              <w:jc w:val="center"/>
              <w:rPr>
                <w:rFonts w:hint="eastAsia" w:ascii="黑体" w:hAnsi="黑体" w:eastAsia="黑体" w:cs="黑体"/>
                <w:sz w:val="24"/>
                <w:szCs w:val="24"/>
                <w:lang w:val="en-US" w:eastAsia="zh-CN"/>
              </w:rPr>
            </w:pPr>
          </w:p>
          <w:p>
            <w:pPr>
              <w:snapToGrid w:val="0"/>
              <w:jc w:val="center"/>
              <w:rPr>
                <w:rFonts w:hint="eastAsia" w:ascii="宋体" w:hAnsi="宋体" w:eastAsia="宋体" w:cs="宋体"/>
                <w:kern w:val="2"/>
                <w:sz w:val="24"/>
                <w:szCs w:val="24"/>
                <w:lang w:val="en-US" w:eastAsia="zh-CN" w:bidi="ar-SA"/>
              </w:rPr>
            </w:pPr>
            <w:r>
              <w:rPr>
                <w:rFonts w:hint="eastAsia" w:ascii="黑体" w:hAnsi="黑体" w:eastAsia="黑体" w:cs="黑体"/>
                <w:sz w:val="24"/>
                <w:szCs w:val="24"/>
                <w:lang w:val="en-US" w:eastAsia="zh-CN"/>
              </w:rPr>
              <w:t>创建老年友好和谐社区</w:t>
            </w:r>
          </w:p>
          <w:p>
            <w:pPr>
              <w:snapToGrid w:val="0"/>
              <w:jc w:val="center"/>
              <w:rPr>
                <w:rFonts w:hint="eastAsia" w:ascii="宋体" w:hAnsi="宋体" w:eastAsia="宋体" w:cs="宋体"/>
                <w:kern w:val="2"/>
                <w:sz w:val="24"/>
                <w:szCs w:val="24"/>
                <w:lang w:val="en-US" w:eastAsia="zh-CN" w:bidi="ar-SA"/>
              </w:rPr>
            </w:pPr>
          </w:p>
          <w:p>
            <w:pPr>
              <w:snapToGrid w:val="0"/>
              <w:jc w:val="center"/>
              <w:rPr>
                <w:rFonts w:hint="eastAsia" w:ascii="宋体" w:hAnsi="宋体" w:eastAsia="宋体" w:cs="宋体"/>
                <w:kern w:val="2"/>
                <w:sz w:val="24"/>
                <w:szCs w:val="24"/>
                <w:lang w:val="en-US" w:eastAsia="zh-CN" w:bidi="ar-SA"/>
              </w:rPr>
            </w:pPr>
          </w:p>
          <w:p>
            <w:pPr>
              <w:snapToGrid w:val="0"/>
              <w:jc w:val="center"/>
              <w:rPr>
                <w:rFonts w:hint="eastAsia" w:ascii="宋体" w:hAnsi="宋体" w:eastAsia="宋体" w:cs="宋体"/>
                <w:kern w:val="2"/>
                <w:sz w:val="24"/>
                <w:szCs w:val="24"/>
                <w:lang w:val="en-US" w:eastAsia="zh-CN" w:bidi="ar-SA"/>
              </w:rPr>
            </w:pPr>
          </w:p>
          <w:p>
            <w:pPr>
              <w:snapToGrid w:val="0"/>
              <w:jc w:val="center"/>
              <w:rPr>
                <w:rFonts w:hint="default" w:ascii="宋体" w:hAnsi="宋体" w:eastAsia="宋体" w:cs="宋体"/>
                <w:kern w:val="2"/>
                <w:sz w:val="24"/>
                <w:szCs w:val="24"/>
                <w:lang w:val="en-US" w:eastAsia="zh-CN" w:bidi="ar-SA"/>
              </w:rPr>
            </w:pPr>
          </w:p>
          <w:p>
            <w:pPr>
              <w:snapToGrid w:val="0"/>
              <w:jc w:val="center"/>
              <w:rPr>
                <w:rFonts w:hint="eastAsia" w:ascii="宋体" w:hAnsi="宋体" w:eastAsia="宋体" w:cs="宋体"/>
                <w:kern w:val="2"/>
                <w:sz w:val="24"/>
                <w:szCs w:val="24"/>
                <w:lang w:val="en-US" w:eastAsia="zh-CN" w:bidi="ar-SA"/>
              </w:rPr>
            </w:pPr>
          </w:p>
          <w:p>
            <w:pPr>
              <w:snapToGrid w:val="0"/>
              <w:jc w:val="center"/>
              <w:rPr>
                <w:rFonts w:hint="eastAsia" w:ascii="宋体" w:hAnsi="宋体" w:eastAsia="宋体" w:cs="宋体"/>
                <w:kern w:val="2"/>
                <w:sz w:val="24"/>
                <w:szCs w:val="24"/>
                <w:lang w:val="en-US" w:eastAsia="zh-CN" w:bidi="ar-SA"/>
              </w:rPr>
            </w:pPr>
          </w:p>
          <w:p>
            <w:pPr>
              <w:snapToGrid w:val="0"/>
              <w:jc w:val="center"/>
              <w:rPr>
                <w:rFonts w:hint="default" w:ascii="宋体" w:hAnsi="宋体" w:eastAsia="宋体" w:cs="宋体"/>
                <w:kern w:val="2"/>
                <w:sz w:val="24"/>
                <w:szCs w:val="24"/>
                <w:lang w:val="en-US" w:eastAsia="zh-CN" w:bidi="ar-SA"/>
              </w:rPr>
            </w:pPr>
          </w:p>
          <w:p>
            <w:pPr>
              <w:snapToGrid w:val="0"/>
              <w:jc w:val="center"/>
              <w:rPr>
                <w:rFonts w:hint="default" w:ascii="宋体" w:hAnsi="宋体" w:eastAsia="宋体" w:cs="宋体"/>
                <w:kern w:val="2"/>
                <w:sz w:val="24"/>
                <w:szCs w:val="24"/>
                <w:lang w:val="en-US" w:eastAsia="zh-CN" w:bidi="ar-SA"/>
              </w:rPr>
            </w:pPr>
          </w:p>
          <w:p>
            <w:pPr>
              <w:snapToGrid w:val="0"/>
              <w:jc w:val="center"/>
              <w:rPr>
                <w:rFonts w:hint="default" w:ascii="宋体" w:hAnsi="宋体" w:eastAsia="宋体" w:cs="宋体"/>
                <w:kern w:val="2"/>
                <w:sz w:val="24"/>
                <w:szCs w:val="24"/>
                <w:lang w:val="en-US" w:eastAsia="zh-CN" w:bidi="ar-SA"/>
              </w:rPr>
            </w:pPr>
          </w:p>
        </w:tc>
        <w:tc>
          <w:tcPr>
            <w:tcW w:w="13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29</w:t>
            </w:r>
          </w:p>
        </w:tc>
        <w:tc>
          <w:tcPr>
            <w:tcW w:w="8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城乡老年友好社区数量</w:t>
            </w:r>
          </w:p>
        </w:tc>
        <w:tc>
          <w:tcPr>
            <w:tcW w:w="3105" w:type="dxa"/>
            <w:tcBorders>
              <w:top w:val="single" w:color="auto" w:sz="4" w:space="0"/>
              <w:left w:val="single" w:color="auto" w:sz="4" w:space="0"/>
              <w:bottom w:val="single" w:color="auto" w:sz="4" w:space="0"/>
            </w:tcBorders>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1295" w:type="dxa"/>
            <w:vMerge w:val="continue"/>
            <w:tcBorders>
              <w:left w:val="single" w:color="auto" w:sz="4" w:space="0"/>
              <w:right w:val="single" w:color="auto" w:sz="4" w:space="0"/>
            </w:tcBorders>
            <w:shd w:val="clear" w:color="auto" w:fill="FFFFFF"/>
            <w:noWrap w:val="0"/>
            <w:vAlign w:val="center"/>
          </w:tcPr>
          <w:p>
            <w:pPr>
              <w:snapToGrid w:val="0"/>
              <w:jc w:val="center"/>
              <w:rPr>
                <w:rFonts w:hint="default" w:ascii="宋体" w:hAnsi="宋体" w:eastAsia="宋体" w:cs="宋体"/>
                <w:kern w:val="2"/>
                <w:sz w:val="24"/>
                <w:szCs w:val="24"/>
                <w:lang w:val="en-US" w:eastAsia="zh-CN" w:bidi="ar-SA"/>
              </w:rPr>
            </w:pPr>
          </w:p>
        </w:tc>
        <w:tc>
          <w:tcPr>
            <w:tcW w:w="13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w:t>
            </w:r>
          </w:p>
        </w:tc>
        <w:tc>
          <w:tcPr>
            <w:tcW w:w="8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困境家庭适老化改造到位率</w:t>
            </w:r>
          </w:p>
        </w:tc>
        <w:tc>
          <w:tcPr>
            <w:tcW w:w="3105" w:type="dxa"/>
            <w:tcBorders>
              <w:top w:val="single" w:color="auto" w:sz="4" w:space="0"/>
              <w:left w:val="single" w:color="auto" w:sz="4" w:space="0"/>
              <w:bottom w:val="single" w:color="auto" w:sz="4" w:space="0"/>
            </w:tcBorders>
            <w:shd w:val="clear" w:color="auto" w:fill="FFFFFF"/>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tcBorders>
              <w:left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p>
        </w:tc>
        <w:tc>
          <w:tcPr>
            <w:tcW w:w="13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w:t>
            </w:r>
          </w:p>
        </w:tc>
        <w:tc>
          <w:tcPr>
            <w:tcW w:w="8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家庭适老化改造普及率</w:t>
            </w:r>
          </w:p>
        </w:tc>
        <w:tc>
          <w:tcPr>
            <w:tcW w:w="3105" w:type="dxa"/>
            <w:tcBorders>
              <w:top w:val="single" w:color="auto" w:sz="4" w:space="0"/>
              <w:left w:val="single" w:color="auto" w:sz="4" w:space="0"/>
              <w:bottom w:val="single" w:color="auto" w:sz="4" w:space="0"/>
            </w:tcBorders>
            <w:shd w:val="clear" w:color="auto" w:fill="FFFFFF"/>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tcBorders>
              <w:left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p>
        </w:tc>
        <w:tc>
          <w:tcPr>
            <w:tcW w:w="13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32</w:t>
            </w:r>
          </w:p>
        </w:tc>
        <w:tc>
          <w:tcPr>
            <w:tcW w:w="8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老楼加装电梯</w:t>
            </w:r>
            <w:r>
              <w:rPr>
                <w:rFonts w:hint="eastAsia" w:ascii="宋体" w:hAnsi="宋体" w:eastAsia="宋体" w:cs="宋体"/>
                <w:sz w:val="24"/>
                <w:szCs w:val="24"/>
              </w:rPr>
              <w:t>单元改造率</w:t>
            </w:r>
          </w:p>
        </w:tc>
        <w:tc>
          <w:tcPr>
            <w:tcW w:w="3105" w:type="dxa"/>
            <w:tcBorders>
              <w:top w:val="single" w:color="auto" w:sz="4" w:space="0"/>
              <w:left w:val="single" w:color="auto" w:sz="4" w:space="0"/>
              <w:bottom w:val="single" w:color="auto" w:sz="4" w:space="0"/>
            </w:tcBorders>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tcBorders>
              <w:left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p>
        </w:tc>
        <w:tc>
          <w:tcPr>
            <w:tcW w:w="13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w:t>
            </w:r>
          </w:p>
        </w:tc>
        <w:tc>
          <w:tcPr>
            <w:tcW w:w="8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left"/>
              <w:rPr>
                <w:rFonts w:hint="eastAsia" w:ascii="宋体" w:hAnsi="宋体" w:eastAsia="宋体" w:cs="宋体"/>
                <w:sz w:val="24"/>
                <w:szCs w:val="24"/>
                <w:lang w:eastAsia="zh-CN"/>
              </w:rPr>
            </w:pPr>
            <w:r>
              <w:rPr>
                <w:rFonts w:hint="eastAsia" w:ascii="宋体" w:hAnsi="宋体" w:eastAsia="宋体" w:cs="宋体"/>
                <w:sz w:val="24"/>
                <w:szCs w:val="24"/>
              </w:rPr>
              <w:t>老旧小区改造</w:t>
            </w:r>
            <w:r>
              <w:rPr>
                <w:rFonts w:hint="eastAsia" w:ascii="宋体" w:hAnsi="宋体" w:eastAsia="宋体" w:cs="宋体"/>
                <w:sz w:val="24"/>
                <w:szCs w:val="24"/>
                <w:lang w:eastAsia="zh-CN"/>
              </w:rPr>
              <w:t>情况</w:t>
            </w:r>
          </w:p>
        </w:tc>
        <w:tc>
          <w:tcPr>
            <w:tcW w:w="3105" w:type="dxa"/>
            <w:tcBorders>
              <w:top w:val="single" w:color="auto" w:sz="4" w:space="0"/>
              <w:left w:val="single" w:color="auto" w:sz="4" w:space="0"/>
              <w:bottom w:val="single" w:color="auto" w:sz="4" w:space="0"/>
            </w:tcBorders>
            <w:shd w:val="clear" w:color="auto" w:fill="FFFFFF"/>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tcBorders>
              <w:left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p>
        </w:tc>
        <w:tc>
          <w:tcPr>
            <w:tcW w:w="13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34</w:t>
            </w:r>
          </w:p>
        </w:tc>
        <w:tc>
          <w:tcPr>
            <w:tcW w:w="8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left"/>
              <w:rPr>
                <w:rFonts w:hint="eastAsia" w:ascii="宋体" w:hAnsi="宋体" w:eastAsia="宋体" w:cs="宋体"/>
                <w:kern w:val="32"/>
                <w:sz w:val="24"/>
                <w:szCs w:val="24"/>
                <w:lang w:val="en-US" w:eastAsia="zh-CN" w:bidi="ar-SA"/>
              </w:rPr>
            </w:pPr>
            <w:r>
              <w:rPr>
                <w:rFonts w:hint="eastAsia" w:ascii="宋体" w:hAnsi="宋体" w:eastAsia="宋体" w:cs="宋体"/>
                <w:sz w:val="24"/>
                <w:szCs w:val="24"/>
                <w:lang w:eastAsia="zh-CN"/>
              </w:rPr>
              <w:t>完成</w:t>
            </w:r>
            <w:r>
              <w:rPr>
                <w:rFonts w:hint="eastAsia" w:ascii="宋体" w:hAnsi="宋体" w:eastAsia="宋体" w:cs="宋体"/>
                <w:sz w:val="24"/>
                <w:szCs w:val="24"/>
              </w:rPr>
              <w:t>基层老年协会组建</w:t>
            </w:r>
          </w:p>
        </w:tc>
        <w:tc>
          <w:tcPr>
            <w:tcW w:w="3105" w:type="dxa"/>
            <w:tcBorders>
              <w:top w:val="single" w:color="auto" w:sz="4" w:space="0"/>
              <w:left w:val="single" w:color="auto" w:sz="4" w:space="0"/>
              <w:bottom w:val="single" w:color="auto" w:sz="4" w:space="0"/>
            </w:tcBorders>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tcBorders>
              <w:left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p>
        </w:tc>
        <w:tc>
          <w:tcPr>
            <w:tcW w:w="13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35</w:t>
            </w:r>
          </w:p>
        </w:tc>
        <w:tc>
          <w:tcPr>
            <w:tcW w:w="8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left"/>
              <w:rPr>
                <w:rFonts w:hint="eastAsia" w:ascii="宋体" w:hAnsi="宋体" w:eastAsia="宋体" w:cs="宋体"/>
                <w:kern w:val="32"/>
                <w:sz w:val="24"/>
                <w:szCs w:val="24"/>
                <w:lang w:val="en-US" w:eastAsia="zh-CN" w:bidi="ar-SA"/>
              </w:rPr>
            </w:pPr>
            <w:r>
              <w:rPr>
                <w:rFonts w:hint="eastAsia" w:ascii="宋体" w:hAnsi="宋体" w:eastAsia="宋体" w:cs="宋体"/>
                <w:sz w:val="24"/>
                <w:szCs w:val="24"/>
                <w:lang w:eastAsia="zh-CN"/>
              </w:rPr>
              <w:t>动员辖区</w:t>
            </w:r>
            <w:r>
              <w:rPr>
                <w:rFonts w:hint="eastAsia" w:ascii="宋体" w:hAnsi="宋体" w:eastAsia="宋体" w:cs="宋体"/>
                <w:sz w:val="24"/>
                <w:szCs w:val="24"/>
                <w:lang w:val="en-US" w:eastAsia="zh-CN"/>
              </w:rPr>
              <w:t>60岁以上</w:t>
            </w:r>
            <w:r>
              <w:rPr>
                <w:rFonts w:hint="eastAsia" w:ascii="宋体" w:hAnsi="宋体" w:eastAsia="宋体" w:cs="宋体"/>
                <w:sz w:val="24"/>
                <w:szCs w:val="24"/>
              </w:rPr>
              <w:t>老年人</w:t>
            </w:r>
            <w:r>
              <w:rPr>
                <w:rFonts w:hint="eastAsia" w:ascii="宋体" w:hAnsi="宋体" w:eastAsia="宋体" w:cs="宋体"/>
                <w:sz w:val="24"/>
                <w:szCs w:val="24"/>
                <w:lang w:eastAsia="zh-CN"/>
              </w:rPr>
              <w:t>成为协会会员</w:t>
            </w:r>
          </w:p>
        </w:tc>
        <w:tc>
          <w:tcPr>
            <w:tcW w:w="3105" w:type="dxa"/>
            <w:tcBorders>
              <w:top w:val="single" w:color="auto" w:sz="4" w:space="0"/>
              <w:left w:val="single" w:color="auto" w:sz="4" w:space="0"/>
              <w:bottom w:val="single" w:color="auto" w:sz="4" w:space="0"/>
            </w:tcBorders>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tcBorders>
              <w:left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p>
        </w:tc>
        <w:tc>
          <w:tcPr>
            <w:tcW w:w="13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36</w:t>
            </w:r>
          </w:p>
        </w:tc>
        <w:tc>
          <w:tcPr>
            <w:tcW w:w="8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left"/>
              <w:rPr>
                <w:rFonts w:hint="eastAsia" w:ascii="宋体" w:hAnsi="宋体" w:eastAsia="宋体" w:cs="宋体"/>
                <w:kern w:val="32"/>
                <w:sz w:val="24"/>
                <w:szCs w:val="24"/>
                <w:lang w:val="en-US" w:eastAsia="zh-CN" w:bidi="ar-SA"/>
              </w:rPr>
            </w:pPr>
            <w:r>
              <w:rPr>
                <w:rFonts w:hint="eastAsia" w:ascii="宋体" w:hAnsi="宋体" w:eastAsia="宋体" w:cs="宋体"/>
                <w:sz w:val="24"/>
                <w:szCs w:val="24"/>
              </w:rPr>
              <w:t>三社联动（社区为平台，社会组织为载体，社会工作者为支撑）机制实现全覆盖</w:t>
            </w:r>
          </w:p>
        </w:tc>
        <w:tc>
          <w:tcPr>
            <w:tcW w:w="3105" w:type="dxa"/>
            <w:tcBorders>
              <w:top w:val="single" w:color="auto" w:sz="4" w:space="0"/>
              <w:left w:val="single" w:color="auto" w:sz="4" w:space="0"/>
              <w:bottom w:val="single" w:color="auto" w:sz="4" w:space="0"/>
            </w:tcBorders>
            <w:shd w:val="clear" w:color="auto" w:fill="FFFFFF"/>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tcBorders>
              <w:left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p>
        </w:tc>
        <w:tc>
          <w:tcPr>
            <w:tcW w:w="13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37</w:t>
            </w:r>
          </w:p>
        </w:tc>
        <w:tc>
          <w:tcPr>
            <w:tcW w:w="8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left"/>
              <w:rPr>
                <w:rFonts w:hint="eastAsia" w:ascii="宋体" w:hAnsi="宋体" w:eastAsia="宋体" w:cs="宋体"/>
                <w:kern w:val="32"/>
                <w:sz w:val="24"/>
                <w:szCs w:val="24"/>
                <w:lang w:val="en-US" w:eastAsia="zh-CN" w:bidi="ar-SA"/>
              </w:rPr>
            </w:pPr>
            <w:r>
              <w:rPr>
                <w:rFonts w:hint="eastAsia" w:ascii="宋体" w:hAnsi="宋体" w:eastAsia="宋体" w:cs="宋体"/>
                <w:sz w:val="24"/>
                <w:szCs w:val="24"/>
                <w:lang w:eastAsia="zh-CN"/>
              </w:rPr>
              <w:t>加强</w:t>
            </w:r>
            <w:r>
              <w:rPr>
                <w:rFonts w:hint="eastAsia" w:ascii="宋体" w:hAnsi="宋体" w:eastAsia="宋体" w:cs="宋体"/>
                <w:sz w:val="24"/>
                <w:szCs w:val="24"/>
              </w:rPr>
              <w:t>公益社会组织建设</w:t>
            </w:r>
            <w:r>
              <w:rPr>
                <w:rFonts w:hint="eastAsia" w:ascii="宋体" w:hAnsi="宋体" w:eastAsia="宋体" w:cs="宋体"/>
                <w:sz w:val="24"/>
                <w:szCs w:val="24"/>
                <w:lang w:eastAsia="zh-CN"/>
              </w:rPr>
              <w:t>，承接养老服务时间储蓄工作</w:t>
            </w:r>
          </w:p>
        </w:tc>
        <w:tc>
          <w:tcPr>
            <w:tcW w:w="3105" w:type="dxa"/>
            <w:tcBorders>
              <w:top w:val="single" w:color="auto" w:sz="4" w:space="0"/>
              <w:left w:val="single" w:color="auto" w:sz="4" w:space="0"/>
              <w:bottom w:val="single" w:color="auto" w:sz="4" w:space="0"/>
            </w:tcBorders>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tcBorders>
              <w:left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p>
        </w:tc>
        <w:tc>
          <w:tcPr>
            <w:tcW w:w="13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38</w:t>
            </w:r>
          </w:p>
        </w:tc>
        <w:tc>
          <w:tcPr>
            <w:tcW w:w="8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left"/>
              <w:rPr>
                <w:rFonts w:hint="eastAsia" w:ascii="宋体" w:hAnsi="宋体" w:eastAsia="宋体" w:cs="宋体"/>
                <w:kern w:val="32"/>
                <w:sz w:val="24"/>
                <w:szCs w:val="24"/>
                <w:lang w:val="en-US" w:eastAsia="zh-CN" w:bidi="ar-SA"/>
              </w:rPr>
            </w:pPr>
            <w:r>
              <w:rPr>
                <w:rFonts w:hint="eastAsia" w:ascii="宋体" w:hAnsi="宋体" w:eastAsia="宋体" w:cs="宋体"/>
                <w:sz w:val="24"/>
                <w:szCs w:val="24"/>
                <w:lang w:eastAsia="zh-CN"/>
              </w:rPr>
              <w:t>提升</w:t>
            </w:r>
            <w:r>
              <w:rPr>
                <w:rFonts w:hint="eastAsia" w:ascii="宋体" w:hAnsi="宋体" w:eastAsia="宋体" w:cs="宋体"/>
                <w:sz w:val="24"/>
                <w:szCs w:val="24"/>
              </w:rPr>
              <w:t>养老服务时间银行储蓄率</w:t>
            </w:r>
          </w:p>
        </w:tc>
        <w:tc>
          <w:tcPr>
            <w:tcW w:w="3105" w:type="dxa"/>
            <w:tcBorders>
              <w:top w:val="single" w:color="auto" w:sz="4" w:space="0"/>
              <w:left w:val="single" w:color="auto" w:sz="4" w:space="0"/>
              <w:bottom w:val="single" w:color="auto" w:sz="4" w:space="0"/>
            </w:tcBorders>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tcBorders>
              <w:left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p>
        </w:tc>
        <w:tc>
          <w:tcPr>
            <w:tcW w:w="13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39</w:t>
            </w:r>
          </w:p>
        </w:tc>
        <w:tc>
          <w:tcPr>
            <w:tcW w:w="8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left"/>
              <w:rPr>
                <w:rFonts w:hint="eastAsia" w:ascii="宋体" w:hAnsi="宋体" w:eastAsia="宋体" w:cs="宋体"/>
                <w:kern w:val="32"/>
                <w:sz w:val="24"/>
                <w:szCs w:val="24"/>
                <w:lang w:val="en-US" w:eastAsia="zh-CN" w:bidi="ar-SA"/>
              </w:rPr>
            </w:pPr>
            <w:r>
              <w:rPr>
                <w:rFonts w:hint="eastAsia" w:ascii="宋体" w:hAnsi="宋体" w:eastAsia="宋体" w:cs="宋体"/>
                <w:sz w:val="24"/>
                <w:szCs w:val="24"/>
                <w:lang w:eastAsia="zh-CN"/>
              </w:rPr>
              <w:t>人均接受</w:t>
            </w:r>
            <w:r>
              <w:rPr>
                <w:rFonts w:hint="eastAsia" w:ascii="宋体" w:hAnsi="宋体" w:eastAsia="宋体" w:cs="宋体"/>
                <w:sz w:val="24"/>
                <w:szCs w:val="24"/>
              </w:rPr>
              <w:t>老年护理培训</w:t>
            </w:r>
            <w:r>
              <w:rPr>
                <w:rFonts w:hint="eastAsia" w:ascii="宋体" w:hAnsi="宋体" w:eastAsia="宋体" w:cs="宋体"/>
                <w:sz w:val="24"/>
                <w:szCs w:val="24"/>
                <w:lang w:eastAsia="zh-CN"/>
              </w:rPr>
              <w:t>比例</w:t>
            </w:r>
          </w:p>
        </w:tc>
        <w:tc>
          <w:tcPr>
            <w:tcW w:w="3105" w:type="dxa"/>
            <w:tcBorders>
              <w:top w:val="single" w:color="auto" w:sz="4" w:space="0"/>
              <w:left w:val="single" w:color="auto" w:sz="4" w:space="0"/>
              <w:bottom w:val="single" w:color="auto" w:sz="4" w:space="0"/>
            </w:tcBorders>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tcBorders>
              <w:left w:val="single" w:color="auto" w:sz="4" w:space="0"/>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kern w:val="2"/>
                <w:sz w:val="24"/>
                <w:szCs w:val="24"/>
                <w:lang w:val="en-US" w:eastAsia="zh-CN" w:bidi="ar-SA"/>
              </w:rPr>
            </w:pPr>
          </w:p>
        </w:tc>
        <w:tc>
          <w:tcPr>
            <w:tcW w:w="13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w:t>
            </w:r>
          </w:p>
        </w:tc>
        <w:tc>
          <w:tcPr>
            <w:tcW w:w="8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left"/>
              <w:rPr>
                <w:rFonts w:hint="eastAsia" w:ascii="宋体" w:hAnsi="宋体" w:eastAsia="宋体" w:cs="宋体"/>
                <w:kern w:val="32"/>
                <w:sz w:val="24"/>
                <w:szCs w:val="24"/>
                <w:lang w:val="en-US" w:eastAsia="zh-CN" w:bidi="ar-SA"/>
              </w:rPr>
            </w:pPr>
            <w:r>
              <w:rPr>
                <w:rFonts w:hint="eastAsia" w:ascii="宋体" w:hAnsi="宋体" w:eastAsia="宋体" w:cs="宋体"/>
                <w:sz w:val="24"/>
                <w:szCs w:val="24"/>
                <w:lang w:eastAsia="zh-CN"/>
              </w:rPr>
              <w:t>引导社会大众支持</w:t>
            </w:r>
            <w:r>
              <w:rPr>
                <w:rFonts w:hint="eastAsia" w:ascii="宋体" w:hAnsi="宋体" w:eastAsia="宋体" w:cs="宋体"/>
                <w:sz w:val="24"/>
                <w:szCs w:val="24"/>
              </w:rPr>
              <w:t>家庭养老及老年社会工作</w:t>
            </w:r>
          </w:p>
        </w:tc>
        <w:tc>
          <w:tcPr>
            <w:tcW w:w="3105" w:type="dxa"/>
            <w:tcBorders>
              <w:top w:val="single" w:color="auto" w:sz="4" w:space="0"/>
              <w:left w:val="single" w:color="auto" w:sz="4" w:space="0"/>
              <w:bottom w:val="single" w:color="auto" w:sz="4" w:space="0"/>
            </w:tcBorders>
            <w:shd w:val="clear" w:color="auto" w:fill="FFFFFF"/>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市级</w:t>
            </w:r>
          </w:p>
        </w:tc>
      </w:tr>
    </w:tbl>
    <w:p>
      <w:pPr>
        <w:pStyle w:val="2"/>
        <w:rPr>
          <w:rFonts w:hint="default"/>
          <w:lang w:val="en-US" w:eastAsia="zh-CN"/>
        </w:rPr>
      </w:pPr>
    </w:p>
    <w:p>
      <w:pPr>
        <w:rPr>
          <w:rFonts w:hint="eastAsia"/>
          <w:lang w:val="en-US" w:eastAsia="zh-CN"/>
        </w:rPr>
      </w:pPr>
    </w:p>
    <w:sectPr>
      <w:pgSz w:w="16838" w:h="11906" w:orient="landscape"/>
      <w:pgMar w:top="1587" w:right="1440" w:bottom="1474"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0B5EF"/>
    <w:multiLevelType w:val="singleLevel"/>
    <w:tmpl w:val="C9D0B5EF"/>
    <w:lvl w:ilvl="0" w:tentative="0">
      <w:start w:val="3"/>
      <w:numFmt w:val="chineseCounting"/>
      <w:suff w:val="nothing"/>
      <w:lvlText w:val="（%1）"/>
      <w:lvlJc w:val="left"/>
      <w:pPr>
        <w:ind w:left="640" w:leftChars="0" w:firstLine="0" w:firstLineChars="0"/>
      </w:pPr>
      <w:rPr>
        <w:rFonts w:hint="eastAsia"/>
      </w:rPr>
    </w:lvl>
  </w:abstractNum>
  <w:abstractNum w:abstractNumId="1">
    <w:nsid w:val="63189641"/>
    <w:multiLevelType w:val="singleLevel"/>
    <w:tmpl w:val="6318964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M2Y1NDNhNzBkOWQ2Njk4M2ZlZTEzYjU1MDExNzQifQ=="/>
  </w:docVars>
  <w:rsids>
    <w:rsidRoot w:val="3F313241"/>
    <w:rsid w:val="004A6739"/>
    <w:rsid w:val="0124692B"/>
    <w:rsid w:val="020C0504"/>
    <w:rsid w:val="04A104F1"/>
    <w:rsid w:val="05BB116C"/>
    <w:rsid w:val="06F14685"/>
    <w:rsid w:val="0743132E"/>
    <w:rsid w:val="0A567102"/>
    <w:rsid w:val="0AF02C43"/>
    <w:rsid w:val="106937D5"/>
    <w:rsid w:val="1175662F"/>
    <w:rsid w:val="12B32A97"/>
    <w:rsid w:val="130C6140"/>
    <w:rsid w:val="14515DD5"/>
    <w:rsid w:val="146D015A"/>
    <w:rsid w:val="157F1571"/>
    <w:rsid w:val="17D358CB"/>
    <w:rsid w:val="18496496"/>
    <w:rsid w:val="1C47409D"/>
    <w:rsid w:val="1CDF7913"/>
    <w:rsid w:val="1E3A4232"/>
    <w:rsid w:val="1FE866F7"/>
    <w:rsid w:val="202D1DEC"/>
    <w:rsid w:val="20541093"/>
    <w:rsid w:val="211342F0"/>
    <w:rsid w:val="21B5207A"/>
    <w:rsid w:val="23161480"/>
    <w:rsid w:val="24197F88"/>
    <w:rsid w:val="248B6E52"/>
    <w:rsid w:val="250D4778"/>
    <w:rsid w:val="25551345"/>
    <w:rsid w:val="258E0EF5"/>
    <w:rsid w:val="25955EC5"/>
    <w:rsid w:val="27A37644"/>
    <w:rsid w:val="27EF298D"/>
    <w:rsid w:val="2B6F32B8"/>
    <w:rsid w:val="2C9B05B2"/>
    <w:rsid w:val="301C2344"/>
    <w:rsid w:val="317A4795"/>
    <w:rsid w:val="331766F2"/>
    <w:rsid w:val="33E73192"/>
    <w:rsid w:val="34392BE7"/>
    <w:rsid w:val="34DB544A"/>
    <w:rsid w:val="356A3AC0"/>
    <w:rsid w:val="38C70BAA"/>
    <w:rsid w:val="3AC47A06"/>
    <w:rsid w:val="3C5B588C"/>
    <w:rsid w:val="3F313241"/>
    <w:rsid w:val="3F56236D"/>
    <w:rsid w:val="3F5668D5"/>
    <w:rsid w:val="409D572B"/>
    <w:rsid w:val="42D350EC"/>
    <w:rsid w:val="435B5B9A"/>
    <w:rsid w:val="437971B1"/>
    <w:rsid w:val="44FB02B1"/>
    <w:rsid w:val="45E5707D"/>
    <w:rsid w:val="47863023"/>
    <w:rsid w:val="47FE35A2"/>
    <w:rsid w:val="48076259"/>
    <w:rsid w:val="4A08214C"/>
    <w:rsid w:val="4E6B3CA9"/>
    <w:rsid w:val="4F4E386B"/>
    <w:rsid w:val="4FB541B4"/>
    <w:rsid w:val="50AF42A1"/>
    <w:rsid w:val="51896D5E"/>
    <w:rsid w:val="54C25B15"/>
    <w:rsid w:val="54C474A4"/>
    <w:rsid w:val="55015928"/>
    <w:rsid w:val="55CE77B2"/>
    <w:rsid w:val="570051B7"/>
    <w:rsid w:val="58AB7F8B"/>
    <w:rsid w:val="59117C4D"/>
    <w:rsid w:val="5A305909"/>
    <w:rsid w:val="5ABA34B5"/>
    <w:rsid w:val="5C2406C9"/>
    <w:rsid w:val="5E0D714E"/>
    <w:rsid w:val="5F1C2E5C"/>
    <w:rsid w:val="5F620F05"/>
    <w:rsid w:val="60824919"/>
    <w:rsid w:val="619E5B88"/>
    <w:rsid w:val="61FA6989"/>
    <w:rsid w:val="62164B8E"/>
    <w:rsid w:val="623A6AE1"/>
    <w:rsid w:val="625232B7"/>
    <w:rsid w:val="62EF4E4F"/>
    <w:rsid w:val="63AA164F"/>
    <w:rsid w:val="640E2967"/>
    <w:rsid w:val="64B54A16"/>
    <w:rsid w:val="64BF5FAC"/>
    <w:rsid w:val="65354FB6"/>
    <w:rsid w:val="65AC6A22"/>
    <w:rsid w:val="67B669DB"/>
    <w:rsid w:val="690420FF"/>
    <w:rsid w:val="696F713B"/>
    <w:rsid w:val="6B454EC0"/>
    <w:rsid w:val="6B7C3BC8"/>
    <w:rsid w:val="6B7E0F9A"/>
    <w:rsid w:val="6B9D0625"/>
    <w:rsid w:val="6BF34D3E"/>
    <w:rsid w:val="72445618"/>
    <w:rsid w:val="72772E18"/>
    <w:rsid w:val="736B5A34"/>
    <w:rsid w:val="73804680"/>
    <w:rsid w:val="74463AB5"/>
    <w:rsid w:val="74A56F48"/>
    <w:rsid w:val="76675EA0"/>
    <w:rsid w:val="783636FB"/>
    <w:rsid w:val="79856DD0"/>
    <w:rsid w:val="7AA645F6"/>
    <w:rsid w:val="7B676481"/>
    <w:rsid w:val="7B740AD0"/>
    <w:rsid w:val="7C282335"/>
    <w:rsid w:val="7CBE4593"/>
    <w:rsid w:val="7CF52C53"/>
    <w:rsid w:val="7E946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line="413" w:lineRule="auto"/>
      <w:outlineLvl w:val="1"/>
    </w:pPr>
    <w:rPr>
      <w:rFonts w:ascii="Arial" w:hAnsi="Arial" w:eastAsia="黑体" w:cstheme="minorBidi"/>
      <w:b/>
      <w:sz w:val="32"/>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Theme="minorHAnsi" w:hAnsiTheme="minorHAnsi" w:eastAsiaTheme="minorEastAsia" w:cstheme="minorBidi"/>
      <w:szCs w:val="2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99"/>
  </w:style>
  <w:style w:type="character" w:styleId="12">
    <w:name w:val="Hyperlink"/>
    <w:basedOn w:val="9"/>
    <w:qFormat/>
    <w:uiPriority w:val="0"/>
    <w:rPr>
      <w:color w:val="0000FF"/>
      <w:u w:val="single"/>
    </w:rPr>
  </w:style>
  <w:style w:type="paragraph" w:customStyle="1" w:styleId="13">
    <w:name w:val="BodyText1I2"/>
    <w:basedOn w:val="14"/>
    <w:qFormat/>
    <w:uiPriority w:val="0"/>
    <w:pPr>
      <w:spacing w:line="560" w:lineRule="exact"/>
      <w:ind w:firstLine="420" w:firstLineChars="200"/>
    </w:pPr>
    <w:rPr>
      <w:rFonts w:ascii="Calibri" w:hAnsi="Calibri"/>
    </w:rPr>
  </w:style>
  <w:style w:type="paragraph" w:customStyle="1" w:styleId="14">
    <w:name w:val="BodyTextIndent"/>
    <w:basedOn w:val="1"/>
    <w:qFormat/>
    <w:uiPriority w:val="0"/>
    <w:pPr>
      <w:spacing w:after="120"/>
      <w:ind w:left="420" w:left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3941</Words>
  <Characters>4074</Characters>
  <Lines>0</Lines>
  <Paragraphs>0</Paragraphs>
  <TotalTime>0</TotalTime>
  <ScaleCrop>false</ScaleCrop>
  <LinksUpToDate>false</LinksUpToDate>
  <CharactersWithSpaces>4086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2022-04-19T11:11:00Z</dcterms:created>
  <dc:creator>丸子的梦</dc:creator>
  <cp:lastModifiedBy>甄聪</cp:lastModifiedBy>
  <cp:lastPrinted>2022-08-17T09:30:00Z</cp:lastPrinted>
  <dcterms:modified xsi:type="dcterms:W3CDTF">2022-08-26T09:28:00Z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D16EC32EDA944C9AB7684E28AA8CA25F</vt:lpwstr>
  </property>
</Properties>
</file>