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关于《大兴区建设用地土壤环境管理工作指南》的起草说明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一、起草背景</w:t>
      </w:r>
    </w:p>
    <w:p>
      <w:pPr>
        <w:snapToGrid w:val="0"/>
        <w:spacing w:line="560" w:lineRule="exact"/>
        <w:ind w:firstLine="646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贯彻落实《中华人民共和国土壤污染防治法》《北京市土壤污染防治条例》有关规定，根据《生态环境部办公厅、自然资源部办公厅&lt;关于印发“十四五”重点建设用地安全利用指标核算方法的通知&gt;》（环办土壤函〔</w:t>
      </w:r>
      <w:r>
        <w:rPr>
          <w:rFonts w:ascii="仿宋_GB2312" w:hAnsi="Times New Roman" w:eastAsia="仿宋_GB2312"/>
          <w:sz w:val="32"/>
          <w:szCs w:val="32"/>
        </w:rPr>
        <w:t>2023〕7号）</w:t>
      </w:r>
      <w:r>
        <w:rPr>
          <w:rFonts w:hint="eastAsia" w:ascii="仿宋_GB2312" w:hAnsi="Times New Roman" w:eastAsia="仿宋_GB2312"/>
          <w:sz w:val="32"/>
          <w:szCs w:val="32"/>
        </w:rPr>
        <w:t>《生态环境部办公厅</w:t>
      </w:r>
      <w:r>
        <w:rPr>
          <w:rFonts w:ascii="仿宋_GB2312" w:hAnsi="Times New Roman" w:eastAsia="仿宋_GB2312"/>
          <w:sz w:val="32"/>
          <w:szCs w:val="32"/>
        </w:rPr>
        <w:t xml:space="preserve"> 自然资源部办公厅关于印发〈建设用地土壤污染状况调查、风险评估、风险管控及修复效果评估报告评审指南〉的通知》（环办土壤〔2019〕63号）《北京市人民政府办公厅关于印发〈北京市深入打好污染防治攻坚战2023年行动计划〉</w:t>
      </w:r>
      <w:r>
        <w:rPr>
          <w:rFonts w:hint="eastAsia" w:ascii="仿宋_GB2312" w:hAnsi="Times New Roman" w:eastAsia="仿宋_GB2312"/>
          <w:sz w:val="32"/>
          <w:szCs w:val="32"/>
        </w:rPr>
        <w:t>的通知》，结合大兴区工作实际，区生态环境局牵头对《北京市大兴区土壤环境管理工作指南（暂行）》（京兴生态土</w:t>
      </w:r>
      <w:r>
        <w:rPr>
          <w:rFonts w:ascii="仿宋_GB2312" w:hAnsi="Times New Roman" w:eastAsia="仿宋_GB2312"/>
          <w:sz w:val="32"/>
          <w:szCs w:val="32"/>
        </w:rPr>
        <w:t>〔2019〕63号</w:t>
      </w:r>
      <w:r>
        <w:rPr>
          <w:rFonts w:hint="eastAsia" w:ascii="仿宋_GB2312" w:hAnsi="Times New Roman" w:eastAsia="仿宋_GB2312"/>
          <w:sz w:val="32"/>
          <w:szCs w:val="32"/>
        </w:rPr>
        <w:t>）进行了修订，形成了《大兴区建设用地土壤环境管理工作指南</w:t>
      </w:r>
      <w:r>
        <w:rPr>
          <w:rFonts w:ascii="仿宋_GB2312" w:hAnsi="Times New Roman" w:eastAsia="仿宋_GB2312"/>
          <w:sz w:val="32"/>
          <w:szCs w:val="32"/>
        </w:rPr>
        <w:t>》</w:t>
      </w:r>
      <w:r>
        <w:rPr>
          <w:rFonts w:hint="eastAsia" w:ascii="仿宋_GB2312" w:hAnsi="Times New Roman" w:eastAsia="仿宋_GB2312"/>
          <w:sz w:val="32"/>
          <w:szCs w:val="32"/>
        </w:rPr>
        <w:t>（修订版）</w:t>
      </w:r>
      <w:r>
        <w:rPr>
          <w:rFonts w:ascii="仿宋_GB2312" w:hAnsi="Times New Roman" w:eastAsia="仿宋_GB2312"/>
          <w:sz w:val="32"/>
          <w:szCs w:val="32"/>
        </w:rPr>
        <w:t>（以下简称《</w:t>
      </w:r>
      <w:r>
        <w:rPr>
          <w:rFonts w:hint="eastAsia" w:ascii="仿宋_GB2312" w:hAnsi="Times New Roman" w:eastAsia="仿宋_GB2312"/>
          <w:sz w:val="32"/>
          <w:szCs w:val="32"/>
        </w:rPr>
        <w:t>工作指南</w:t>
      </w:r>
      <w:r>
        <w:rPr>
          <w:rFonts w:ascii="仿宋_GB2312" w:hAnsi="Times New Roman" w:eastAsia="仿宋_GB2312"/>
          <w:sz w:val="32"/>
          <w:szCs w:val="32"/>
        </w:rPr>
        <w:t>》</w:t>
      </w:r>
      <w:r>
        <w:rPr>
          <w:rFonts w:hint="eastAsia" w:ascii="仿宋_GB2312" w:hAnsi="Times New Roman" w:eastAsia="仿宋_GB2312"/>
          <w:sz w:val="32"/>
          <w:szCs w:val="32"/>
        </w:rPr>
        <w:t>（修订版）</w:t>
      </w:r>
      <w:r>
        <w:rPr>
          <w:rFonts w:ascii="仿宋_GB2312" w:hAnsi="Times New Roman" w:eastAsia="仿宋_GB2312"/>
          <w:sz w:val="32"/>
          <w:szCs w:val="32"/>
        </w:rPr>
        <w:t>）。</w:t>
      </w:r>
    </w:p>
    <w:p>
      <w:pPr>
        <w:snapToGrid w:val="0"/>
        <w:spacing w:line="560" w:lineRule="exact"/>
        <w:ind w:firstLine="646"/>
        <w:rPr>
          <w:rFonts w:hint="eastAsia"/>
        </w:rPr>
      </w:pPr>
      <w:r>
        <w:rPr>
          <w:rFonts w:hint="eastAsia" w:ascii="仿宋_GB2312" w:hAnsi="Times New Roman" w:eastAsia="仿宋_GB2312"/>
          <w:sz w:val="32"/>
          <w:szCs w:val="32"/>
        </w:rPr>
        <w:t>《工作指南》（修订版）包括重点工业企业用地源头管控、重点建设用地安全利用和土壤污染风险管控和修复措施3部分。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二、主要内容</w:t>
      </w:r>
    </w:p>
    <w:p>
      <w:pPr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1</w:t>
      </w:r>
      <w:r>
        <w:rPr>
          <w:rFonts w:ascii="仿宋_GB2312" w:hAnsi="Times New Roman" w:eastAsia="仿宋_GB2312"/>
          <w:b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重点工业企业用地源头管控方面。</w:t>
      </w:r>
      <w:r>
        <w:rPr>
          <w:rFonts w:hint="eastAsia" w:ascii="仿宋_GB2312" w:hAnsi="Times New Roman" w:eastAsia="仿宋_GB2312"/>
          <w:sz w:val="32"/>
          <w:szCs w:val="32"/>
        </w:rPr>
        <w:t>分别针对工业园区、土壤污染重点监管单位、汽车整车制造行业、显示器制造行业和加油站、储油库等工业企业用地主体，规定了差异化的土壤污染防治义务要求。</w:t>
      </w:r>
    </w:p>
    <w:p>
      <w:pPr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b/>
          <w:bCs/>
          <w:sz w:val="32"/>
          <w:szCs w:val="32"/>
        </w:rPr>
        <w:t>2.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重点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eastAsia="zh-CN"/>
        </w:rPr>
        <w:t>建设用地安全利用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方面。</w:t>
      </w:r>
      <w:r>
        <w:rPr>
          <w:rFonts w:hint="eastAsia" w:ascii="仿宋_GB2312" w:hAnsi="Times New Roman" w:eastAsia="仿宋_GB2312"/>
          <w:sz w:val="32"/>
          <w:szCs w:val="32"/>
        </w:rPr>
        <w:t>一是明确了重点建设用地的定义和判定方法；二是明确了在规划编制阶段、供地阶段、工程规划许可审批阶段和项目开发建设阶段，规划编制单位、土地整理或开发项目实施主体、区规划与自然资源委员会大兴分局</w:t>
      </w:r>
      <w:r>
        <w:rPr>
          <w:rFonts w:ascii="仿宋_GB2312" w:hAnsi="Times New Roman" w:eastAsia="仿宋_GB2312"/>
          <w:sz w:val="32"/>
          <w:szCs w:val="32"/>
        </w:rPr>
        <w:t>/临空区管委会、区生态环境局</w:t>
      </w:r>
      <w:r>
        <w:rPr>
          <w:rFonts w:hint="eastAsia" w:ascii="仿宋_GB2312" w:hAnsi="Times New Roman" w:eastAsia="仿宋_GB2312"/>
          <w:sz w:val="32"/>
          <w:szCs w:val="32"/>
        </w:rPr>
        <w:t>等有关部门或主体应当落实的职责和义务。</w:t>
      </w:r>
    </w:p>
    <w:p>
      <w:pPr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3</w:t>
      </w:r>
      <w:r>
        <w:rPr>
          <w:rFonts w:ascii="仿宋_GB2312" w:hAnsi="Times New Roman" w:eastAsia="仿宋_GB2312"/>
          <w:b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土壤污染风险管控和修复措施方面。</w:t>
      </w:r>
      <w:r>
        <w:rPr>
          <w:rFonts w:hint="eastAsia" w:ascii="仿宋_GB2312" w:hAnsi="Times New Roman" w:eastAsia="仿宋_GB2312"/>
          <w:sz w:val="32"/>
          <w:szCs w:val="32"/>
        </w:rPr>
        <w:t>一是明确关停退出工业企业原址用地筛查的工作机制。二是进一步规范了土壤污染风险管控和修复过程，分别对依法开展土壤污染状况调查的、自主开展土壤污染状况调查的、</w:t>
      </w:r>
      <w:r>
        <w:rPr>
          <w:rFonts w:ascii="仿宋_GB2312" w:hAnsi="Times New Roman" w:eastAsia="仿宋_GB2312"/>
          <w:sz w:val="32"/>
          <w:szCs w:val="32"/>
        </w:rPr>
        <w:t>暂不开发利用污染地块风险管控</w:t>
      </w:r>
      <w:r>
        <w:rPr>
          <w:rFonts w:hint="eastAsia" w:ascii="仿宋_GB2312" w:hAnsi="Times New Roman" w:eastAsia="仿宋_GB2312"/>
          <w:sz w:val="32"/>
          <w:szCs w:val="32"/>
        </w:rPr>
        <w:t>及</w:t>
      </w:r>
      <w:r>
        <w:rPr>
          <w:rFonts w:ascii="仿宋_GB2312" w:hAnsi="Times New Roman" w:eastAsia="仿宋_GB2312"/>
          <w:sz w:val="32"/>
          <w:szCs w:val="32"/>
        </w:rPr>
        <w:t>土壤污染风险管控、修复</w:t>
      </w:r>
      <w:r>
        <w:rPr>
          <w:rFonts w:hint="eastAsia" w:ascii="仿宋_GB2312" w:hAnsi="Times New Roman" w:eastAsia="仿宋_GB2312"/>
          <w:sz w:val="32"/>
          <w:szCs w:val="32"/>
        </w:rPr>
        <w:t>方案备案、污染土转运、信息公开、分阶段效果评估和后期管理等提出具体要求。</w:t>
      </w:r>
    </w:p>
    <w:p>
      <w:pPr>
        <w:widowControl/>
        <w:spacing w:line="560" w:lineRule="exact"/>
        <w:ind w:firstLine="63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特此说明。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A7880"/>
    <w:multiLevelType w:val="multilevel"/>
    <w:tmpl w:val="61FA78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3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FD"/>
    <w:rsid w:val="000E16FD"/>
    <w:rsid w:val="00256985"/>
    <w:rsid w:val="002C5E12"/>
    <w:rsid w:val="003A2003"/>
    <w:rsid w:val="00413528"/>
    <w:rsid w:val="00485BB4"/>
    <w:rsid w:val="004A4B78"/>
    <w:rsid w:val="004D2285"/>
    <w:rsid w:val="004E7817"/>
    <w:rsid w:val="00587A31"/>
    <w:rsid w:val="00643A11"/>
    <w:rsid w:val="006B0487"/>
    <w:rsid w:val="006B4A10"/>
    <w:rsid w:val="006E6B8C"/>
    <w:rsid w:val="0075486B"/>
    <w:rsid w:val="007C495B"/>
    <w:rsid w:val="007F155B"/>
    <w:rsid w:val="00905B40"/>
    <w:rsid w:val="009165BF"/>
    <w:rsid w:val="0092238E"/>
    <w:rsid w:val="009A6158"/>
    <w:rsid w:val="009B7F75"/>
    <w:rsid w:val="00A61587"/>
    <w:rsid w:val="00AF28E6"/>
    <w:rsid w:val="00BB2FEB"/>
    <w:rsid w:val="00C436FB"/>
    <w:rsid w:val="00DB7D02"/>
    <w:rsid w:val="00DD7C3C"/>
    <w:rsid w:val="00E214A9"/>
    <w:rsid w:val="00E85624"/>
    <w:rsid w:val="00F22726"/>
    <w:rsid w:val="389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4"/>
    <w:basedOn w:val="1"/>
    <w:next w:val="1"/>
    <w:link w:val="8"/>
    <w:unhideWhenUsed/>
    <w:qFormat/>
    <w:uiPriority w:val="9"/>
    <w:pPr>
      <w:keepNext/>
      <w:keepLines/>
      <w:numPr>
        <w:ilvl w:val="3"/>
        <w:numId w:val="1"/>
      </w:numPr>
      <w:adjustRightInd w:val="0"/>
      <w:snapToGrid w:val="0"/>
      <w:spacing w:line="360" w:lineRule="auto"/>
      <w:outlineLvl w:val="3"/>
    </w:pPr>
    <w:rPr>
      <w:rFonts w:ascii="Times New Roman" w:hAnsi="Times New Roman" w:eastAsia="宋体" w:cs="Times New Roman"/>
      <w:b/>
      <w:bCs/>
      <w:sz w:val="28"/>
      <w:szCs w:val="28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uiPriority w:val="99"/>
    <w:rPr>
      <w:rFonts w:hAnsi="Courier New" w:cs="Courier New" w:asciiTheme="minorEastAsia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4 字符"/>
    <w:basedOn w:val="7"/>
    <w:link w:val="3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  <w14:ligatures w14:val="none"/>
    </w:rPr>
  </w:style>
  <w:style w:type="character" w:customStyle="1" w:styleId="11">
    <w:name w:val="纯文本 字符"/>
    <w:basedOn w:val="7"/>
    <w:link w:val="2"/>
    <w:semiHidden/>
    <w:uiPriority w:val="99"/>
    <w:rPr>
      <w:rFonts w:hAnsi="Courier New" w:cs="Courier New" w:asciiTheme="minorEastAsia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713</Characters>
  <Lines>5</Lines>
  <Paragraphs>1</Paragraphs>
  <TotalTime>94</TotalTime>
  <ScaleCrop>false</ScaleCrop>
  <LinksUpToDate>false</LinksUpToDate>
  <CharactersWithSpaces>837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2023-04-11T07:50:00Z</dcterms:created>
  <dc:creator>梁 竞</dc:creator>
  <cp:lastModifiedBy>辛毅</cp:lastModifiedBy>
  <dcterms:modified xsi:type="dcterms:W3CDTF">2023-04-13T10:29:16Z</dcterms:modified>
  <dc:title>关于《大兴区建设用地土壤环境管理工作指南》的起草说明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