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5" w:leftChars="-20" w:hanging="57" w:hangingChars="13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大兴区</w:t>
      </w:r>
      <w:r>
        <w:rPr>
          <w:rFonts w:hint="eastAsia" w:ascii="方正小标宋简体" w:eastAsia="方正小标宋简体"/>
          <w:sz w:val="44"/>
          <w:szCs w:val="44"/>
        </w:rPr>
        <w:t>空气重污染应急预案</w:t>
      </w: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（2023年修订）》（征求意见稿）的修订说明</w:t>
      </w:r>
    </w:p>
    <w:p>
      <w:pPr>
        <w:spacing w:line="560" w:lineRule="exact"/>
        <w:ind w:left="15" w:leftChars="-20" w:hanging="57" w:hangingChars="13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ind w:left="-42" w:leftChars="-2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为进一步减缓空气污染程度、保护公众健康，按照生态环境部统一要求，结合</w:t>
      </w:r>
      <w:r>
        <w:rPr>
          <w:rFonts w:hint="eastAsia" w:ascii="仿宋_GB2312" w:eastAsia="仿宋_GB2312"/>
          <w:sz w:val="32"/>
          <w:szCs w:val="32"/>
          <w:lang w:eastAsia="zh-CN"/>
        </w:rPr>
        <w:t>大兴区</w:t>
      </w:r>
      <w:r>
        <w:rPr>
          <w:rFonts w:hint="eastAsia" w:ascii="仿宋_GB2312" w:eastAsia="仿宋_GB2312"/>
          <w:sz w:val="32"/>
          <w:szCs w:val="32"/>
        </w:rPr>
        <w:t>实际，我局在对《</w:t>
      </w:r>
      <w:r>
        <w:rPr>
          <w:rFonts w:hint="eastAsia" w:ascii="仿宋_GB2312" w:eastAsia="仿宋_GB2312"/>
          <w:sz w:val="32"/>
          <w:szCs w:val="32"/>
          <w:lang w:eastAsia="zh-CN"/>
        </w:rPr>
        <w:t>大兴区</w:t>
      </w:r>
      <w:r>
        <w:rPr>
          <w:rFonts w:hint="eastAsia" w:ascii="仿宋_GB2312" w:eastAsia="仿宋_GB2312"/>
          <w:sz w:val="32"/>
          <w:szCs w:val="32"/>
        </w:rPr>
        <w:t>空气重污染应急预案（2018年修订）》进行完善的基础上，制定了《</w:t>
      </w:r>
      <w:r>
        <w:rPr>
          <w:rFonts w:hint="eastAsia" w:ascii="仿宋_GB2312" w:eastAsia="仿宋_GB2312"/>
          <w:sz w:val="32"/>
          <w:szCs w:val="32"/>
          <w:lang w:eastAsia="zh-CN"/>
        </w:rPr>
        <w:t>大兴区</w:t>
      </w:r>
      <w:r>
        <w:rPr>
          <w:rFonts w:hint="eastAsia" w:ascii="仿宋_GB2312" w:eastAsia="仿宋_GB2312"/>
          <w:sz w:val="32"/>
          <w:szCs w:val="32"/>
        </w:rPr>
        <w:t>空气重污染应急预案（2023年修订）》（征求意见稿）。现将修订情况说明如下：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一、修订背景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按照常态治理和短期应急相结合的思路，本市建立了空气重污染应急体系，自2012年制定印发</w:t>
      </w:r>
      <w:r>
        <w:rPr>
          <w:rFonts w:hint="eastAsia" w:ascii="仿宋_GB2312" w:eastAsia="仿宋_GB2312"/>
          <w:sz w:val="32"/>
          <w:szCs w:val="32"/>
          <w:lang w:eastAsia="zh-CN"/>
        </w:rPr>
        <w:t>大兴区</w:t>
      </w:r>
      <w:r>
        <w:rPr>
          <w:rFonts w:hint="eastAsia" w:ascii="仿宋_GB2312" w:eastAsia="仿宋_GB2312"/>
          <w:sz w:val="32"/>
          <w:szCs w:val="32"/>
        </w:rPr>
        <w:t>空气重污染应急预案以来，先后</w:t>
      </w:r>
      <w:r>
        <w:rPr>
          <w:rFonts w:hint="eastAsia" w:ascii="仿宋_GB2312" w:eastAsia="仿宋_GB2312"/>
          <w:sz w:val="32"/>
          <w:szCs w:val="32"/>
          <w:lang w:eastAsia="zh-CN"/>
        </w:rPr>
        <w:t>多</w:t>
      </w:r>
      <w:r>
        <w:rPr>
          <w:rFonts w:hint="eastAsia" w:ascii="仿宋_GB2312" w:eastAsia="仿宋_GB2312"/>
          <w:sz w:val="32"/>
          <w:szCs w:val="32"/>
        </w:rPr>
        <w:t>次修订。现行预案为2018年修订实施版本。</w:t>
      </w:r>
    </w:p>
    <w:p>
      <w:pPr>
        <w:spacing w:line="560" w:lineRule="exact"/>
        <w:ind w:firstLine="640" w:firstLineChars="200"/>
        <w:rPr>
          <w:rFonts w:hint="eastAsia" w:ascii="仿宋_GB2312" w:hAnsi="等线" w:eastAsia="仿宋_GB2312"/>
          <w:kern w:val="44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44"/>
          <w:sz w:val="32"/>
          <w:szCs w:val="32"/>
        </w:rPr>
        <w:t>2022年11月，生态环境部等15部委联合印发的《深入打好重污染天气消除、臭氧污染防治和柴油货车污染治理攻坚战行动方案》要求，“优化重污染天气预警启动标准，分区应对分类施策。生态环境部会同有关部门和有关省（区、市）地方人民政府统一调整重点区域预警启动标准”，并明确了重点区域具体的预警启动修订标准。</w:t>
      </w:r>
      <w:r>
        <w:rPr>
          <w:rFonts w:hint="eastAsia" w:eastAsia="仿宋_GB2312"/>
          <w:sz w:val="32"/>
          <w:szCs w:val="32"/>
        </w:rPr>
        <w:t>为进一步改善空气质量、实现基本消除重污染天气，满足公众对美好空气质量、美丽蓝天的需求，坚持区域协同减排、科学精准应对原则，对现行预案进行修订，主要调整了预警启动标准、优化了部分应急措施等，在实现最大化减排的同时尽量减少对公众生产、生活的影响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二、修订主要内容</w:t>
      </w:r>
    </w:p>
    <w:p>
      <w:pPr>
        <w:pStyle w:val="13"/>
        <w:snapToGrid w:val="0"/>
        <w:rPr>
          <w:rFonts w:hint="eastAsia" w:ascii="楷体_GB2312" w:hAnsi="黑体" w:eastAsia="楷体_GB2312"/>
          <w:color w:val="000000"/>
          <w:kern w:val="44"/>
        </w:rPr>
      </w:pPr>
      <w:r>
        <w:rPr>
          <w:rFonts w:hint="eastAsia" w:ascii="楷体_GB2312" w:hAnsi="黑体" w:eastAsia="楷体_GB2312"/>
          <w:color w:val="000000"/>
          <w:kern w:val="44"/>
        </w:rPr>
        <w:t>（一）修订原则</w:t>
      </w:r>
    </w:p>
    <w:p>
      <w:pPr>
        <w:pStyle w:val="13"/>
        <w:snapToGrid w:val="0"/>
        <w:rPr>
          <w:rFonts w:hint="eastAsia"/>
          <w:bCs/>
          <w:kern w:val="44"/>
        </w:rPr>
      </w:pPr>
      <w:r>
        <w:rPr>
          <w:rFonts w:hint="eastAsia"/>
          <w:bCs/>
          <w:kern w:val="44"/>
        </w:rPr>
        <w:t>1.上下衔接，区域协同。按照国家</w:t>
      </w:r>
      <w:r>
        <w:rPr>
          <w:rFonts w:hint="eastAsia"/>
          <w:bCs/>
          <w:kern w:val="44"/>
          <w:lang w:eastAsia="zh-CN"/>
        </w:rPr>
        <w:t>和北京市</w:t>
      </w:r>
      <w:r>
        <w:rPr>
          <w:rFonts w:hint="eastAsia"/>
          <w:bCs/>
          <w:kern w:val="44"/>
        </w:rPr>
        <w:t>要求，优化调整预警启动标准。</w:t>
      </w:r>
    </w:p>
    <w:p>
      <w:pPr>
        <w:pStyle w:val="13"/>
        <w:snapToGrid w:val="0"/>
        <w:rPr>
          <w:rFonts w:hint="eastAsia"/>
          <w:bCs/>
          <w:kern w:val="44"/>
        </w:rPr>
      </w:pPr>
      <w:r>
        <w:rPr>
          <w:rFonts w:hint="eastAsia"/>
          <w:bCs/>
          <w:kern w:val="44"/>
        </w:rPr>
        <w:t>2.统筹系统，科学治污。重点要求排放强度大的涉气企业采取措施；建立涉及保障民生、国家战略性新兴产业企业“白名单”制度，最大限度减少对经济社会的影响。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>3.绩效管理，精准治污。</w:t>
      </w:r>
      <w:r>
        <w:rPr>
          <w:rFonts w:hint="eastAsia" w:ascii="仿宋_GB2312" w:eastAsia="仿宋_GB2312"/>
          <w:kern w:val="44"/>
          <w:sz w:val="32"/>
          <w:szCs w:val="32"/>
        </w:rPr>
        <w:t>固化近年来行之有效的绩效分级、差异化管控应对机制，绩效评级先进的A级和绩效引领企业，可自主采取减排措施。</w:t>
      </w:r>
    </w:p>
    <w:p>
      <w:pPr>
        <w:pStyle w:val="13"/>
        <w:snapToGrid w:val="0"/>
        <w:rPr>
          <w:rFonts w:hint="eastAsia" w:ascii="楷体_GB2312" w:hAnsi="黑体" w:eastAsia="楷体_GB2312"/>
          <w:color w:val="000000"/>
        </w:rPr>
      </w:pPr>
      <w:r>
        <w:rPr>
          <w:rFonts w:hint="eastAsia" w:ascii="楷体_GB2312" w:hAnsi="黑体" w:eastAsia="楷体_GB2312"/>
          <w:color w:val="000000"/>
        </w:rPr>
        <w:t>（二）优化调整预警分级标准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黄色预警：</w:t>
      </w:r>
      <w:r>
        <w:rPr>
          <w:rFonts w:hint="eastAsia" w:ascii="仿宋_GB2312" w:eastAsia="仿宋_GB2312"/>
          <w:bCs/>
          <w:sz w:val="32"/>
          <w:szCs w:val="32"/>
        </w:rPr>
        <w:t>由现行预案的“预测全市空气质量指数日均值&gt;200将持续2天(48小时)及以上，且短时出现重度污染，未达到高级别预警条件时”，修改为“</w:t>
      </w:r>
      <w:r>
        <w:rPr>
          <w:rFonts w:hint="eastAsia" w:ascii="仿宋_GB2312" w:eastAsia="仿宋_GB2312"/>
          <w:sz w:val="32"/>
          <w:szCs w:val="32"/>
        </w:rPr>
        <w:t>预测全市空气质量指数日均值＞200或日均值＞150持续48小时及以上，且未达到高级别预警条件时”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橙色预警：</w:t>
      </w:r>
      <w:r>
        <w:rPr>
          <w:rFonts w:hint="eastAsia" w:ascii="仿宋_GB2312" w:eastAsia="仿宋_GB2312"/>
          <w:bCs/>
          <w:sz w:val="32"/>
          <w:szCs w:val="32"/>
        </w:rPr>
        <w:t>由现行预案的“预测全市空气质量指数日均值&gt;200将持续3天(72小时)及以上，且未达到高级别预警条件时”，修改为“</w:t>
      </w:r>
      <w:r>
        <w:rPr>
          <w:rFonts w:hint="eastAsia" w:ascii="仿宋_GB2312" w:eastAsia="仿宋_GB2312"/>
          <w:sz w:val="32"/>
          <w:szCs w:val="32"/>
        </w:rPr>
        <w:t>预测全市空气质量指数日均值&gt;200持续48小时或日均值＞150持续72小时及以上，且未达到高级别预警条件时</w:t>
      </w:r>
      <w:r>
        <w:rPr>
          <w:rFonts w:hint="eastAsia" w:ascii="仿宋_GB2312" w:eastAsia="仿宋_GB2312"/>
          <w:bCs/>
          <w:sz w:val="32"/>
          <w:szCs w:val="32"/>
        </w:rPr>
        <w:t>”。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红色预警：</w:t>
      </w:r>
      <w:r>
        <w:rPr>
          <w:rFonts w:hint="eastAsia" w:ascii="仿宋_GB2312" w:eastAsia="仿宋_GB2312"/>
          <w:bCs/>
          <w:sz w:val="32"/>
          <w:szCs w:val="32"/>
        </w:rPr>
        <w:t>由现行预案的“预测全市空气质量指数日均值&gt;200将持续4天(96小时)及以上，且预测日均值&gt;300将持续2天(48小时)及以上时；或预测全市空气质量指数日均值达到500时”，修改为“预测全市空气质量指数日均值&gt;200持续72小时且日均值&gt;300持续24小时及以上时”。</w:t>
      </w:r>
    </w:p>
    <w:p>
      <w:pPr>
        <w:pStyle w:val="13"/>
        <w:snapToGrid w:val="0"/>
        <w:rPr>
          <w:rFonts w:hint="eastAsia" w:ascii="楷体_GB2312" w:hAnsi="黑体" w:eastAsia="楷体_GB2312"/>
          <w:color w:val="000000"/>
        </w:rPr>
      </w:pPr>
      <w:r>
        <w:rPr>
          <w:rFonts w:hint="eastAsia" w:ascii="楷体_GB2312" w:hAnsi="黑体" w:eastAsia="楷体_GB2312"/>
          <w:color w:val="000000"/>
        </w:rPr>
        <w:t>（三）突出精准、科学差异化管控措施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在保障城市正常运行的前提下，结合实际，充分考虑科学性、精准性和实操性，主要修订应急措施7条：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健康防护引导措施（2条）。一是将中小学、幼儿园减少户外活动，修改为可根据属地空气污染情况适时减少户外活动或停止户外活动，更加灵活并符合实际。二是明确红色预警时“室外执勤、作业等人员做好健康防护措施”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倡议性减排措施（2条）。一是细化挥发性有机物的原材料及产品使用要求，明确减少溶剂型涂料、胶粘剂、清洗剂、油墨及其他溶剂型含挥发性有机物的原辅材料及产品的使用。二是新增橙色和红色预警时“企业合理安排运输，减少重型燃油（气）载货车辆使用，尽量使用国六或纯电动、氢燃料电池汽车运输”要求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强制性减排措施（3条）。一是对施工工地增加了停止污染排放较大的道路设施防腐、道路沥青铺装，以及橙色、红色预警期间停止使用非道路移动机械（电动机械除外）的要求。二是将企业实施停产限产措施，根据近年绩效分析、差异化管控的做法，固化为“按照重污染天气重点行业绩效分级，实施差异化减排措施”，并固化近年已采取的相关企业“停止使用国四及以下重型载货汽车（含燃气）进行运输”，以及橙色、红色预警期间“停止使用国二及以下非道路移动机械”措施。三是突出机动车电动化导向性措施，橙色和红色预警重型车停驶措施中，明确“纯电动和氢燃料电池汽车除外”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（四）更新完善组织体系</w:t>
      </w:r>
    </w:p>
    <w:p>
      <w:pPr>
        <w:pStyle w:val="13"/>
        <w:rPr>
          <w:rFonts w:hint="eastAsia" w:ascii="楷体_GB2312" w:hAnsi="黑体" w:eastAsia="楷体_GB2312"/>
          <w:color w:val="000000"/>
        </w:rPr>
      </w:pPr>
      <w:r>
        <w:rPr>
          <w:rFonts w:hint="eastAsia"/>
        </w:rPr>
        <w:t>根据机构改革后的变化情况，调整完善成员单位名称及职责，更新空气重污染应急指挥部及办公室成员名单。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2098" w:right="1474" w:bottom="1985" w:left="1588" w:header="851" w:footer="15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381" w:wrap="around" w:vAnchor="text" w:hAnchor="page" w:x="9001" w:yAlign="top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－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3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－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firstLine="280" w:firstLineChars="100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－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4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－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NDhlZDJiYzA4YjFhNWI1MTc3MjU2ZDA3MWFhMWEifQ=="/>
  </w:docVars>
  <w:rsids>
    <w:rsidRoot w:val="00172A27"/>
    <w:rsid w:val="00666374"/>
    <w:rsid w:val="012367E6"/>
    <w:rsid w:val="02386A3B"/>
    <w:rsid w:val="049419B6"/>
    <w:rsid w:val="06734E3B"/>
    <w:rsid w:val="0E1C2E14"/>
    <w:rsid w:val="0EDD3D44"/>
    <w:rsid w:val="12811C1F"/>
    <w:rsid w:val="12F462EF"/>
    <w:rsid w:val="154F6E24"/>
    <w:rsid w:val="16394AE6"/>
    <w:rsid w:val="1673429C"/>
    <w:rsid w:val="1C00481C"/>
    <w:rsid w:val="1DA00C22"/>
    <w:rsid w:val="1E0577CF"/>
    <w:rsid w:val="2A2E331B"/>
    <w:rsid w:val="2CBC2D05"/>
    <w:rsid w:val="2D952FDF"/>
    <w:rsid w:val="2DA5586D"/>
    <w:rsid w:val="2FC15B2C"/>
    <w:rsid w:val="31B34F8D"/>
    <w:rsid w:val="3639732C"/>
    <w:rsid w:val="36873F8A"/>
    <w:rsid w:val="37C74095"/>
    <w:rsid w:val="3B762E95"/>
    <w:rsid w:val="3BAD7277"/>
    <w:rsid w:val="3D5314CD"/>
    <w:rsid w:val="404219FC"/>
    <w:rsid w:val="408B2EAD"/>
    <w:rsid w:val="41070302"/>
    <w:rsid w:val="417B6C6E"/>
    <w:rsid w:val="48617362"/>
    <w:rsid w:val="48FC3132"/>
    <w:rsid w:val="4B255A8A"/>
    <w:rsid w:val="4B903324"/>
    <w:rsid w:val="59D10094"/>
    <w:rsid w:val="5A352F59"/>
    <w:rsid w:val="614C128A"/>
    <w:rsid w:val="632B01A2"/>
    <w:rsid w:val="63F27A57"/>
    <w:rsid w:val="6580204F"/>
    <w:rsid w:val="67496BDD"/>
    <w:rsid w:val="686A3C3A"/>
    <w:rsid w:val="69314FAE"/>
    <w:rsid w:val="6BB26854"/>
    <w:rsid w:val="6F381B2C"/>
    <w:rsid w:val="6FDC62BB"/>
    <w:rsid w:val="707423BB"/>
    <w:rsid w:val="735053E6"/>
    <w:rsid w:val="767C33CC"/>
    <w:rsid w:val="76FC18EC"/>
    <w:rsid w:val="78D5389C"/>
    <w:rsid w:val="79E9189E"/>
    <w:rsid w:val="7A2A0F10"/>
    <w:rsid w:val="7A9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楷体_GB2312" w:hAnsi="楷体_GB2312" w:eastAsia="楷体_GB2312" w:cs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仿宋_GB2312" w:hAnsi="仿宋_GB2312" w:eastAsia="仿宋_GB2312" w:cs="仿宋_GB2312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itle"/>
    <w:basedOn w:val="1"/>
    <w:qFormat/>
    <w:uiPriority w:val="0"/>
    <w:pPr>
      <w:spacing w:beforeLines="0" w:beforeAutospacing="0" w:afterLines="0" w:afterAutospacing="0"/>
      <w:ind w:right="640" w:rightChars="200" w:firstLine="880"/>
      <w:jc w:val="right"/>
      <w:outlineLvl w:val="0"/>
    </w:pPr>
    <w:rPr>
      <w:rFonts w:ascii="仿宋_GB2312" w:hAnsi="仿宋_GB2312"/>
    </w:rPr>
  </w:style>
  <w:style w:type="character" w:styleId="10">
    <w:name w:val="page number"/>
    <w:qFormat/>
    <w:uiPriority w:val="0"/>
  </w:style>
  <w:style w:type="paragraph" w:customStyle="1" w:styleId="11">
    <w:name w:val="样式1"/>
    <w:basedOn w:val="1"/>
    <w:qFormat/>
    <w:uiPriority w:val="0"/>
  </w:style>
  <w:style w:type="paragraph" w:customStyle="1" w:styleId="12">
    <w:name w:val="题目标题"/>
    <w:basedOn w:val="1"/>
    <w:next w:val="7"/>
    <w:unhideWhenUsed/>
    <w:qFormat/>
    <w:uiPriority w:val="99"/>
    <w:pPr>
      <w:ind w:firstLine="0" w:firstLineChars="0"/>
      <w:jc w:val="center"/>
    </w:pPr>
    <w:rPr>
      <w:rFonts w:ascii="方正小标宋简体" w:hAnsi="方正小标宋简体" w:eastAsia="方正小标宋简体" w:cs="黑体"/>
      <w:sz w:val="44"/>
    </w:rPr>
  </w:style>
  <w:style w:type="paragraph" w:customStyle="1" w:styleId="13">
    <w:name w:val="段落"/>
    <w:basedOn w:val="1"/>
    <w:qFormat/>
    <w:uiPriority w:val="99"/>
    <w:pPr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babybear</cp:lastModifiedBy>
  <dcterms:modified xsi:type="dcterms:W3CDTF">2023-09-08T02:18:52Z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18251044B4A04C46874BD1A0B9DCBA01_12</vt:lpwstr>
  </property>
</Properties>
</file>