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/>
        <w:snapToGrid w:val="0"/>
        <w:spacing w:before="0" w:beforeAutospacing="0" w:line="560" w:lineRule="exact"/>
        <w:jc w:val="left"/>
        <w:textAlignment w:val="auto"/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adjustRightInd/>
        <w:snapToGrid w:val="0"/>
        <w:spacing w:before="0" w:beforeAutospacing="0" w:line="560" w:lineRule="exact"/>
        <w:jc w:val="left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</w:rPr>
      </w:pPr>
    </w:p>
    <w:p>
      <w:pPr>
        <w:pStyle w:val="5"/>
        <w:adjustRightInd/>
        <w:snapToGrid w:val="0"/>
        <w:spacing w:before="0" w:before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大兴区促进知识产权发展办法</w:t>
      </w:r>
    </w:p>
    <w:p>
      <w:pPr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（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2023年修订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(征求意见稿）</w:t>
      </w:r>
    </w:p>
    <w:p>
      <w:pPr>
        <w:pStyle w:val="5"/>
        <w:adjustRightInd/>
        <w:snapToGrid w:val="0"/>
        <w:spacing w:before="0" w:before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</w:pPr>
    </w:p>
    <w:p>
      <w:pPr>
        <w:pStyle w:val="5"/>
        <w:numPr>
          <w:ilvl w:val="0"/>
          <w:numId w:val="2"/>
        </w:numPr>
        <w:adjustRightInd/>
        <w:snapToGrid w:val="0"/>
        <w:spacing w:before="0" w:beforeAutospacing="0"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总则</w:t>
      </w:r>
    </w:p>
    <w:p>
      <w:pPr>
        <w:pStyle w:val="5"/>
        <w:numPr>
          <w:ilvl w:val="0"/>
          <w:numId w:val="0"/>
        </w:numPr>
        <w:adjustRightInd/>
        <w:snapToGrid w:val="0"/>
        <w:spacing w:before="0" w:beforeAutospacing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widowControl/>
        <w:wordWrap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 xml:space="preserve">第一条 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加快落实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《国务院关于新形势下加快知识产权强国建设的若干意见》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（国发〔2015〕71号）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《北京市专利保护和促进条例》《北京市知识产权局“两区”工作推进措施》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京知局〔2021〕35 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《大兴区促进产业高质量发展的指导意见》（京兴政发〔2022〕22号）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等文件精神，加快推进国家知识产权强市建设试点城市创建，促进区域知识产权高质量发展，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制定本办法。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第二条</w:t>
      </w:r>
      <w:r>
        <w:rPr>
          <w:rFonts w:hint="eastAsia" w:eastAsia="仿宋_GB2312"/>
          <w:color w:val="000000"/>
          <w:sz w:val="32"/>
          <w:szCs w:val="32"/>
          <w:highlight w:val="none"/>
        </w:rPr>
        <w:t xml:space="preserve"> 本办法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适用于开展专利、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商标相关活动的企事业单位、社会团体、民办非企业、知识产权服务机构等主体。专利为授权专利,项目申请人应为第一专利权人；商标为注册商标，项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目申请人应为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商标专用权人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,共有注册商标专用权的项目申请人应为共有商标代表人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adjustRightInd/>
        <w:spacing w:beforeLines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支持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方式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highlight w:val="none"/>
          <w:lang w:eastAsia="zh-CN"/>
        </w:rPr>
      </w:pPr>
    </w:p>
    <w:p>
      <w:pPr>
        <w:numPr>
          <w:ilvl w:val="0"/>
          <w:numId w:val="0"/>
        </w:numPr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开展高质量知识产权创造。对获得中国专利奖金奖、银奖、优秀奖的主体，每项分别给予20万元、10万元、5万元的资金奖励；对获得中国外观设计奖金奖、银奖、优秀奖的主体，每项分别给予20万元、10万元、5万元的资金奖励；对获得北京市发明专利奖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等奖、一等奖、二等奖、三等奖的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，每项分别给予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0万元、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万元的资金奖励。每个主体每年度的支持资金总额不超过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助力开展知识产权品牌建设。对首次获得国家知识产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权示范企业、优势企业称号的企业，分别给予10万元、5万元的资金奖励。对首次获得北京市知识产权示范单位的企业，给予5万元的资金奖励；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对获得北京市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标杆、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优秀知识产权公共服务工作站称号的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，给予5万元的资金奖励；对获得北京市知识产权公共服务工作站单项优秀奖的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，给予3万元的资金奖励。</w:t>
      </w:r>
    </w:p>
    <w:p>
      <w:pPr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第五条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开展知识产权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知识产权维权胜诉的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，根据相关生效法律文书，按照案件实际发生律师费的50%，给予单个案件不超过10万元的资金支持，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每个主体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每年度的资金支持总额不超过30万元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对已投保专利保险的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，按照其每年专利保险实际费用支出的50%，给予不超过10万元的资金支持，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每个主体支持年限不超过三年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支持开展专利转化运用。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对医药健康、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数字经济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新一代信息技术、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智能装备、科技服务等领域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通过专利转让、许可方式组织实施专利转化项目，按照其专利交易实际支出费用总额的5%，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每个项目给予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不超过50万元的资金支持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；支持主体开展知识产权战略制定、专利导航、专利预警项目，按照每个项目实际发生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费用的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0%，给予不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万元的资金支持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；每个主体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年度资金支持总额不超过200万元。</w:t>
      </w:r>
    </w:p>
    <w:p>
      <w:pPr>
        <w:pStyle w:val="6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支持开展知识产权融资。对通过知识产权质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押贷款且已结清的主体，按年度实际支出贷款利息的50% 给予贴息补贴，每个主体每年最多可申请一笔贷款贴息支持，贴息总额不超过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0万元。以组合贷款方式进行融资的，只计算知识产权质押融资贷款部分。组合贷款中无法计算知识产权质押融资金额的，不予资助；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对通过知识产权资产证券化融资的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，在项目到期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还本付息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后，按实际融资额的2%，给予一次性不超过50万元的资金支持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每个主体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补贴年限不超过三年。</w:t>
      </w:r>
    </w:p>
    <w:p>
      <w:pPr>
        <w:adjustRightInd/>
        <w:snapToGrid/>
        <w:spacing w:beforeLines="0" w:line="560" w:lineRule="exact"/>
        <w:ind w:firstLine="640" w:firstLineChars="200"/>
        <w:textAlignment w:val="auto"/>
        <w:rPr>
          <w:rFonts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鼓励知识产权服务机构做大做强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（知识产权局）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知识产权服务机构，按照其上年度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为区内企业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开展知识产权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代理、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质押融资、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转化运营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等服务收入的10%，给予不超过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万元的资金支持。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每家机构支持年限不超过三年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adjustRightInd/>
        <w:spacing w:beforeLines="0" w:line="560" w:lineRule="exact"/>
        <w:jc w:val="center"/>
        <w:textAlignment w:val="auto"/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adjustRightInd/>
        <w:spacing w:beforeLines="0" w:line="560" w:lineRule="exact"/>
        <w:jc w:val="center"/>
        <w:textAlignment w:val="auto"/>
        <w:rPr>
          <w:highlight w:val="none"/>
        </w:rPr>
      </w:pPr>
      <w:r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  <w:t>第三章</w:t>
      </w:r>
      <w:r>
        <w:rPr>
          <w:rFonts w:hint="eastAsia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黑体" w:eastAsia="黑体"/>
          <w:color w:val="000000"/>
          <w:sz w:val="32"/>
          <w:szCs w:val="32"/>
          <w:highlight w:val="none"/>
        </w:rPr>
        <w:t>组织实施</w:t>
      </w:r>
    </w:p>
    <w:p>
      <w:pPr>
        <w:numPr>
          <w:ilvl w:val="0"/>
          <w:numId w:val="0"/>
        </w:numPr>
        <w:adjustRightInd/>
        <w:spacing w:beforeLines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beforeLines="0" w:line="560" w:lineRule="exact"/>
        <w:ind w:left="0" w:leftChars="0" w:firstLine="64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  <w:lang w:eastAsia="zh-CN"/>
        </w:rPr>
        <w:t>第九条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highlight w:val="none"/>
          <w:lang w:eastAsia="zh-CN"/>
        </w:rPr>
        <w:t>征集评审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由大兴区市场监督管理局（知识产权局）每年面向全区公开征集，并组织专家开展项目评审。</w:t>
      </w:r>
    </w:p>
    <w:p>
      <w:pPr>
        <w:numPr>
          <w:ilvl w:val="0"/>
          <w:numId w:val="0"/>
        </w:numPr>
        <w:wordWrap/>
        <w:adjustRightInd/>
        <w:snapToGrid/>
        <w:spacing w:beforeLines="0" w:line="560" w:lineRule="exact"/>
        <w:ind w:leftChars="0" w:firstLine="640" w:firstLineChars="200"/>
        <w:textAlignment w:val="auto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highlight w:val="none"/>
          <w:lang w:eastAsia="zh-CN"/>
        </w:rPr>
        <w:t>第十条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审核公示。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评审通过的项目，在大兴区政府网站公示，公示期不少于5个工作日，公示期结束后，对公示无异议的项目予以支持。公示期间，任何单位和个人如持有异议，应当在公示期内提交书面意见和有关证据，逾期不予受理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第十一条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资金兑现。</w:t>
      </w:r>
      <w:r>
        <w:rPr>
          <w:rFonts w:hint="eastAsia" w:eastAsia="仿宋_GB2312"/>
          <w:color w:val="000000"/>
          <w:sz w:val="32"/>
          <w:szCs w:val="32"/>
        </w:rPr>
        <w:t>支持资金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经大兴区促进产业发展领导小组联审通过后拨付兑现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对在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审计与监督检查中发现存在严重问题，经核查违规的主体，自发现之日起三年内不得申报本办法，并限期返还已获得的资金。　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adjustRightInd/>
        <w:spacing w:before="0" w:beforeAutospacing="0" w:after="150" w:afterAutospacing="0" w:line="560" w:lineRule="exact"/>
        <w:ind w:left="0" w:right="0" w:firstLine="0"/>
        <w:textAlignment w:val="auto"/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highlight w:val="none"/>
          <w:u w:val="none"/>
          <w:shd w:val="clear" w:color="090000" w:fill="FFFFFF"/>
        </w:rPr>
        <w:t>　</w:t>
      </w:r>
    </w:p>
    <w:p>
      <w:pPr>
        <w:numPr>
          <w:ilvl w:val="0"/>
          <w:numId w:val="0"/>
        </w:numPr>
        <w:adjustRightInd/>
        <w:spacing w:beforeLines="0" w:line="560" w:lineRule="exact"/>
        <w:jc w:val="center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  <w:t>第四章</w:t>
      </w:r>
      <w:r>
        <w:rPr>
          <w:rFonts w:hint="eastAsia" w:hAnsi="黑体" w:eastAsia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黑体" w:eastAsia="黑体"/>
          <w:color w:val="000000"/>
          <w:sz w:val="32"/>
          <w:szCs w:val="32"/>
          <w:highlight w:val="none"/>
        </w:rPr>
        <w:t>附则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pacing w:before="0" w:beforeAutospacing="0" w:after="150" w:afterAutospacing="0" w:line="560" w:lineRule="exact"/>
        <w:ind w:right="0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第十二条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本办法自公布之日起施行，由大兴区市场监督管理局（知识产权局）负责解释并组织实施。同一企业同一项目同时符合大兴区其他政策规定的，按照择优不重复的原则予以支持，另有规定的除外。施行后，原《大兴区促进知识产权发展暂行办法》（京兴政发〔2021〕21号）政策废止。实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期间如遇国家及北京市相关政策变动，将做相应调整。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adjustRightInd/>
        <w:spacing w:beforeLines="0" w:line="560" w:lineRule="exact"/>
        <w:ind w:firstLine="0" w:firstLineChars="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adjustRightInd/>
        <w:spacing w:line="560" w:lineRule="exact"/>
        <w:textAlignment w:val="auto"/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-93980</wp:posOffset>
              </wp:positionV>
              <wp:extent cx="481965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0pt;margin-top:-7.4pt;height:17.75pt;width:37.95pt;mso-position-horizontal-relative:margin;z-index:251658240;mso-width-relative:page;mso-height-relative:page;" filled="f" stroked="f" coordsize="21600,21600" o:gfxdata="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UbXnnXAAAABgEAAA8AAAAAAAAAAQAgAAAAIgAA&#10;AGRycy9kb3ducmV2LnhtbFBLAQIUABQAAAAIAIdO4kB22hoblwEAABkDAAAOAAAAAAAAAAEAIAAA&#10;ACY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60DD70F1"/>
    <w:multiLevelType w:val="singleLevel"/>
    <w:tmpl w:val="60DD70F1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7CAF"/>
    <w:rsid w:val="0128012D"/>
    <w:rsid w:val="02D16378"/>
    <w:rsid w:val="0A9919F0"/>
    <w:rsid w:val="0BD22D4A"/>
    <w:rsid w:val="107A19FF"/>
    <w:rsid w:val="1A317F88"/>
    <w:rsid w:val="1B7A37A3"/>
    <w:rsid w:val="211C17E8"/>
    <w:rsid w:val="21BC2F68"/>
    <w:rsid w:val="26D663CC"/>
    <w:rsid w:val="272867DE"/>
    <w:rsid w:val="282067CE"/>
    <w:rsid w:val="2F406D99"/>
    <w:rsid w:val="323903C7"/>
    <w:rsid w:val="33C22E41"/>
    <w:rsid w:val="34667B4B"/>
    <w:rsid w:val="377B37E1"/>
    <w:rsid w:val="3B286E36"/>
    <w:rsid w:val="3BF57CAF"/>
    <w:rsid w:val="3FA06772"/>
    <w:rsid w:val="4CD923F3"/>
    <w:rsid w:val="4E60435B"/>
    <w:rsid w:val="4EDE6CAE"/>
    <w:rsid w:val="4F5B2940"/>
    <w:rsid w:val="54276DB9"/>
    <w:rsid w:val="55006085"/>
    <w:rsid w:val="5F0517D2"/>
    <w:rsid w:val="61C727BF"/>
    <w:rsid w:val="63397A79"/>
    <w:rsid w:val="639A1CFD"/>
    <w:rsid w:val="68DC6372"/>
    <w:rsid w:val="6C460FA1"/>
    <w:rsid w:val="71B87C6D"/>
    <w:rsid w:val="76A91433"/>
    <w:rsid w:val="7AA60164"/>
    <w:rsid w:val="7BBC05A7"/>
    <w:rsid w:val="7CAE0F1E"/>
    <w:rsid w:val="7E944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1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numPr>
        <w:ilvl w:val="2"/>
        <w:numId w:val="1"/>
      </w:numPr>
      <w:spacing w:before="1"/>
      <w:ind w:left="112" w:firstLine="0"/>
      <w:outlineLvl w:val="2"/>
    </w:pPr>
    <w:rPr>
      <w:rFonts w:eastAsia="等线" w:cs="Calibri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 w:afterLines="0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3"/>
    <w:unhideWhenUsed/>
    <w:qFormat/>
    <w:uiPriority w:val="1"/>
    <w:pPr>
      <w:ind w:firstLine="42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2023-07-24T06:43:00Z</dcterms:created>
  <dc:creator>韩世领</dc:creator>
  <cp:lastModifiedBy>韩世领</cp:lastModifiedBy>
  <cp:lastPrinted>2023-08-18T02:21:00Z</cp:lastPrinted>
  <dcterms:modified xsi:type="dcterms:W3CDTF">2023-08-28T02:56:30Z</dcterms:modified>
  <dc:title>大兴区促进知识产权发展办法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