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2DB9A">
      <w:pPr>
        <w:pStyle w:val="6"/>
        <w:rPr>
          <w:rFonts w:hint="eastAsia" w:ascii="黑体" w:hAnsi="黑体" w:eastAsia="黑体" w:cs="黑体"/>
          <w:sz w:val="32"/>
          <w:szCs w:val="32"/>
        </w:rPr>
      </w:pPr>
      <w:r>
        <w:rPr>
          <w:rFonts w:hint="eastAsia" w:ascii="黑体" w:hAnsi="黑体" w:eastAsia="黑体" w:cs="黑体"/>
          <w:sz w:val="32"/>
          <w:szCs w:val="32"/>
        </w:rPr>
        <w:t>附件5</w:t>
      </w:r>
    </w:p>
    <w:p w14:paraId="23AD61A1">
      <w:pPr>
        <w:adjustRightInd w:val="0"/>
        <w:snapToGrid w:val="0"/>
        <w:spacing w:before="159" w:beforeLines="50" w:after="159" w:afterLines="50"/>
        <w:jc w:val="center"/>
        <w:outlineLvl w:val="0"/>
        <w:rPr>
          <w:rFonts w:hint="default"/>
          <w:highlight w:val="none"/>
          <w:lang w:val="en-US" w:eastAsia="zh-CN"/>
        </w:rPr>
      </w:pPr>
      <w:r>
        <w:rPr>
          <w:rFonts w:hint="eastAsia" w:ascii="方正小标宋简体" w:hAnsi="方正小标宋简体" w:eastAsia="方正小标宋简体" w:cs="方正小标宋简体"/>
          <w:color w:val="000000"/>
          <w:kern w:val="2"/>
          <w:sz w:val="44"/>
          <w:szCs w:val="44"/>
          <w:lang w:val="en-US" w:eastAsia="zh-CN" w:bidi="ar-SA"/>
        </w:rPr>
        <w:t>大兴区生态保护2025年行动计划（征求意见稿）</w:t>
      </w:r>
    </w:p>
    <w:tbl>
      <w:tblPr>
        <w:tblStyle w:val="11"/>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446"/>
        <w:gridCol w:w="6292"/>
        <w:gridCol w:w="1319"/>
        <w:gridCol w:w="2277"/>
        <w:gridCol w:w="2278"/>
      </w:tblGrid>
      <w:tr w14:paraId="07E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1" w:type="dxa"/>
            <w:vAlign w:val="center"/>
          </w:tcPr>
          <w:p w14:paraId="24D5F329">
            <w:pPr>
              <w:adjustRightInd w:val="0"/>
              <w:snapToGrid w:val="0"/>
              <w:jc w:val="center"/>
              <w:rPr>
                <w:rFonts w:hint="eastAsia" w:ascii="黑体" w:hAnsi="黑体" w:eastAsia="黑体" w:cs="黑体"/>
                <w:sz w:val="24"/>
              </w:rPr>
            </w:pPr>
            <w:r>
              <w:rPr>
                <w:rFonts w:hint="eastAsia" w:ascii="黑体" w:hAnsi="黑体" w:eastAsia="黑体" w:cs="黑体"/>
                <w:sz w:val="24"/>
              </w:rPr>
              <w:t>序号</w:t>
            </w:r>
          </w:p>
        </w:tc>
        <w:tc>
          <w:tcPr>
            <w:tcW w:w="1446" w:type="dxa"/>
            <w:vAlign w:val="center"/>
          </w:tcPr>
          <w:p w14:paraId="17E531E1">
            <w:pPr>
              <w:adjustRightInd w:val="0"/>
              <w:snapToGrid w:val="0"/>
              <w:jc w:val="center"/>
              <w:rPr>
                <w:rFonts w:hint="eastAsia" w:ascii="黑体" w:hAnsi="黑体" w:eastAsia="黑体" w:cs="黑体"/>
                <w:sz w:val="24"/>
              </w:rPr>
            </w:pPr>
            <w:r>
              <w:rPr>
                <w:rFonts w:hint="eastAsia" w:ascii="黑体" w:hAnsi="黑体" w:eastAsia="黑体" w:cs="黑体"/>
                <w:sz w:val="24"/>
              </w:rPr>
              <w:t>重点任务</w:t>
            </w:r>
          </w:p>
        </w:tc>
        <w:tc>
          <w:tcPr>
            <w:tcW w:w="6292" w:type="dxa"/>
            <w:vAlign w:val="center"/>
          </w:tcPr>
          <w:p w14:paraId="40DFD14E">
            <w:pPr>
              <w:adjustRightInd w:val="0"/>
              <w:snapToGrid w:val="0"/>
              <w:jc w:val="center"/>
              <w:rPr>
                <w:rFonts w:hint="eastAsia" w:ascii="黑体" w:hAnsi="黑体" w:eastAsia="黑体" w:cs="黑体"/>
                <w:sz w:val="24"/>
              </w:rPr>
            </w:pPr>
            <w:r>
              <w:rPr>
                <w:rFonts w:hint="eastAsia" w:ascii="黑体" w:hAnsi="黑体" w:eastAsia="黑体" w:cs="黑体"/>
                <w:sz w:val="24"/>
              </w:rPr>
              <w:t>工作措施</w:t>
            </w:r>
          </w:p>
        </w:tc>
        <w:tc>
          <w:tcPr>
            <w:tcW w:w="1319" w:type="dxa"/>
            <w:vAlign w:val="center"/>
          </w:tcPr>
          <w:p w14:paraId="35DE0893">
            <w:pPr>
              <w:adjustRightInd w:val="0"/>
              <w:snapToGrid w:val="0"/>
              <w:jc w:val="center"/>
              <w:rPr>
                <w:rFonts w:hint="eastAsia" w:ascii="黑体" w:hAnsi="黑体" w:eastAsia="黑体" w:cs="黑体"/>
                <w:sz w:val="24"/>
              </w:rPr>
            </w:pPr>
            <w:r>
              <w:rPr>
                <w:rFonts w:hint="eastAsia" w:ascii="黑体" w:hAnsi="黑体" w:eastAsia="黑体" w:cs="黑体"/>
                <w:sz w:val="24"/>
              </w:rPr>
              <w:t>完成</w:t>
            </w:r>
          </w:p>
          <w:p w14:paraId="59E831BD">
            <w:pPr>
              <w:adjustRightInd w:val="0"/>
              <w:snapToGrid w:val="0"/>
              <w:jc w:val="center"/>
              <w:rPr>
                <w:rFonts w:hint="eastAsia" w:ascii="黑体" w:hAnsi="黑体" w:eastAsia="黑体" w:cs="黑体"/>
                <w:sz w:val="24"/>
              </w:rPr>
            </w:pPr>
            <w:r>
              <w:rPr>
                <w:rFonts w:hint="eastAsia" w:ascii="黑体" w:hAnsi="黑体" w:eastAsia="黑体" w:cs="黑体"/>
                <w:sz w:val="24"/>
              </w:rPr>
              <w:t>时限</w:t>
            </w:r>
          </w:p>
        </w:tc>
        <w:tc>
          <w:tcPr>
            <w:tcW w:w="2277" w:type="dxa"/>
            <w:vAlign w:val="center"/>
          </w:tcPr>
          <w:p w14:paraId="79EA9685">
            <w:pPr>
              <w:autoSpaceDE w:val="0"/>
              <w:adjustRightInd w:val="0"/>
              <w:snapToGrid w:val="0"/>
              <w:jc w:val="center"/>
              <w:rPr>
                <w:rFonts w:hint="eastAsia" w:ascii="黑体" w:hAnsi="黑体" w:eastAsia="黑体" w:cs="黑体"/>
                <w:sz w:val="24"/>
                <w:lang w:eastAsia="zh-CN"/>
              </w:rPr>
            </w:pPr>
            <w:r>
              <w:rPr>
                <w:rFonts w:hint="eastAsia" w:ascii="黑体" w:hAnsi="黑体" w:eastAsia="黑体" w:cs="黑体"/>
                <w:sz w:val="24"/>
                <w:lang w:eastAsia="zh-CN"/>
              </w:rPr>
              <w:t>牵头单位</w:t>
            </w:r>
          </w:p>
        </w:tc>
        <w:tc>
          <w:tcPr>
            <w:tcW w:w="2278" w:type="dxa"/>
            <w:vAlign w:val="center"/>
          </w:tcPr>
          <w:p w14:paraId="0C5FF826">
            <w:pPr>
              <w:autoSpaceDE w:val="0"/>
              <w:adjustRightInd w:val="0"/>
              <w:snapToGrid w:val="0"/>
              <w:jc w:val="center"/>
              <w:rPr>
                <w:rFonts w:hint="eastAsia" w:ascii="黑体" w:hAnsi="黑体" w:eastAsia="黑体" w:cs="黑体"/>
                <w:sz w:val="24"/>
              </w:rPr>
            </w:pPr>
            <w:r>
              <w:rPr>
                <w:rFonts w:hint="eastAsia" w:ascii="黑体" w:hAnsi="黑体" w:eastAsia="黑体" w:cs="黑体"/>
                <w:sz w:val="24"/>
              </w:rPr>
              <w:t>协办单位</w:t>
            </w:r>
          </w:p>
        </w:tc>
      </w:tr>
      <w:tr w14:paraId="315C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173" w:type="dxa"/>
            <w:gridSpan w:val="6"/>
            <w:vAlign w:val="center"/>
          </w:tcPr>
          <w:p w14:paraId="285742F1">
            <w:pPr>
              <w:autoSpaceDE w:val="0"/>
              <w:adjustRightInd w:val="0"/>
              <w:snapToGrid w:val="0"/>
              <w:jc w:val="center"/>
              <w:rPr>
                <w:rFonts w:hint="eastAsia" w:ascii="黑体" w:hAnsi="黑体" w:eastAsia="黑体" w:cs="黑体"/>
                <w:sz w:val="24"/>
              </w:rPr>
            </w:pPr>
            <w:r>
              <w:rPr>
                <w:rFonts w:hint="eastAsia" w:ascii="黑体" w:hAnsi="黑体" w:eastAsia="黑体" w:cs="黑体"/>
                <w:sz w:val="24"/>
              </w:rPr>
              <w:t>一、生态环境质量状况目标</w:t>
            </w:r>
          </w:p>
        </w:tc>
      </w:tr>
      <w:tr w14:paraId="04BC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561" w:type="dxa"/>
            <w:vAlign w:val="center"/>
          </w:tcPr>
          <w:p w14:paraId="5AB636D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1</w:t>
            </w:r>
          </w:p>
        </w:tc>
        <w:tc>
          <w:tcPr>
            <w:tcW w:w="1446" w:type="dxa"/>
            <w:vAlign w:val="center"/>
          </w:tcPr>
          <w:p w14:paraId="2471FD25">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目标任务</w:t>
            </w:r>
          </w:p>
        </w:tc>
        <w:tc>
          <w:tcPr>
            <w:tcW w:w="6292" w:type="dxa"/>
            <w:vAlign w:val="center"/>
          </w:tcPr>
          <w:p w14:paraId="07538D9B">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我区生态环境质量指数（EI）力争稳中向好。</w:t>
            </w:r>
          </w:p>
        </w:tc>
        <w:tc>
          <w:tcPr>
            <w:tcW w:w="1319" w:type="dxa"/>
            <w:vAlign w:val="center"/>
          </w:tcPr>
          <w:p w14:paraId="511DEECE">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277" w:type="dxa"/>
            <w:vAlign w:val="center"/>
          </w:tcPr>
          <w:p w14:paraId="5B1A72A7">
            <w:pPr>
              <w:snapToGrid w:val="0"/>
              <w:jc w:val="center"/>
              <w:rPr>
                <w:rFonts w:hint="eastAsia"/>
                <w:lang w:eastAsia="zh-CN"/>
              </w:rPr>
            </w:pPr>
            <w:r>
              <w:rPr>
                <w:rFonts w:hint="eastAsia" w:ascii="宋体" w:hAnsi="宋体" w:cs="宋体"/>
                <w:kern w:val="0"/>
                <w:szCs w:val="21"/>
                <w:highlight w:val="none"/>
                <w:lang w:eastAsia="zh-CN"/>
              </w:rPr>
              <w:t>区生态环境局</w:t>
            </w:r>
          </w:p>
        </w:tc>
        <w:tc>
          <w:tcPr>
            <w:tcW w:w="2278" w:type="dxa"/>
            <w:vAlign w:val="center"/>
          </w:tcPr>
          <w:p w14:paraId="063AF9C2">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市规划自然资源委大兴分局</w:t>
            </w:r>
          </w:p>
          <w:p w14:paraId="4D2A531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区园林绿化局</w:t>
            </w:r>
          </w:p>
          <w:p w14:paraId="4BDE96E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区水务局</w:t>
            </w:r>
          </w:p>
          <w:p w14:paraId="79859ADB">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区农业农村局</w:t>
            </w:r>
          </w:p>
          <w:p w14:paraId="72BE1FD7">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各镇人民政府</w:t>
            </w:r>
          </w:p>
          <w:p w14:paraId="5639E934">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各街道办事处</w:t>
            </w:r>
          </w:p>
        </w:tc>
      </w:tr>
      <w:tr w14:paraId="39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73" w:type="dxa"/>
            <w:gridSpan w:val="6"/>
            <w:vAlign w:val="center"/>
          </w:tcPr>
          <w:p w14:paraId="55D82B28">
            <w:pPr>
              <w:autoSpaceDE w:val="0"/>
              <w:adjustRightInd w:val="0"/>
              <w:snapToGrid w:val="0"/>
              <w:jc w:val="center"/>
              <w:rPr>
                <w:rFonts w:hint="eastAsia" w:ascii="宋体" w:hAnsi="宋体" w:cs="宋体"/>
                <w:sz w:val="24"/>
              </w:rPr>
            </w:pPr>
            <w:r>
              <w:rPr>
                <w:rFonts w:hint="eastAsia" w:ascii="黑体" w:hAnsi="黑体" w:eastAsia="黑体" w:cs="黑体"/>
                <w:sz w:val="24"/>
              </w:rPr>
              <w:t>二、强化生物多样性保护</w:t>
            </w:r>
          </w:p>
        </w:tc>
      </w:tr>
      <w:tr w14:paraId="505F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561" w:type="dxa"/>
            <w:vAlign w:val="center"/>
          </w:tcPr>
          <w:p w14:paraId="077A5EB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2</w:t>
            </w:r>
          </w:p>
        </w:tc>
        <w:tc>
          <w:tcPr>
            <w:tcW w:w="1446" w:type="dxa"/>
            <w:vAlign w:val="center"/>
          </w:tcPr>
          <w:p w14:paraId="02C44C08">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强化工作机制</w:t>
            </w:r>
          </w:p>
        </w:tc>
        <w:tc>
          <w:tcPr>
            <w:tcW w:w="6292" w:type="dxa"/>
            <w:vAlign w:val="center"/>
          </w:tcPr>
          <w:p w14:paraId="2248ED29">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探索研究区级生物多样性保护协调工作机制。统筹提升生态环境质量，推进生态保护修复监管工作。</w:t>
            </w:r>
          </w:p>
        </w:tc>
        <w:tc>
          <w:tcPr>
            <w:tcW w:w="1319" w:type="dxa"/>
            <w:vAlign w:val="center"/>
          </w:tcPr>
          <w:p w14:paraId="5784BBA2">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277" w:type="dxa"/>
            <w:vAlign w:val="center"/>
          </w:tcPr>
          <w:p w14:paraId="3AF97857">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区生态环境局</w:t>
            </w:r>
          </w:p>
          <w:p w14:paraId="23A881A2">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区园林绿化局</w:t>
            </w:r>
          </w:p>
        </w:tc>
        <w:tc>
          <w:tcPr>
            <w:tcW w:w="2278" w:type="dxa"/>
            <w:vAlign w:val="center"/>
          </w:tcPr>
          <w:p w14:paraId="7DA4F6E5">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区农业农村局</w:t>
            </w:r>
          </w:p>
          <w:p w14:paraId="045DA58F">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区农业服务中心</w:t>
            </w:r>
          </w:p>
          <w:p w14:paraId="2ACA3FCC">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区水务局</w:t>
            </w:r>
          </w:p>
          <w:p w14:paraId="03D4BD19">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市规划自然资源委大兴分局</w:t>
            </w:r>
          </w:p>
          <w:p w14:paraId="6E4C854D">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各镇人民政府</w:t>
            </w:r>
          </w:p>
          <w:p w14:paraId="64F7D396">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各街道办事处</w:t>
            </w:r>
          </w:p>
        </w:tc>
      </w:tr>
      <w:tr w14:paraId="3B40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561" w:type="dxa"/>
            <w:shd w:val="clear" w:color="auto" w:fill="auto"/>
            <w:vAlign w:val="center"/>
          </w:tcPr>
          <w:p w14:paraId="6B6EA378">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3</w:t>
            </w:r>
          </w:p>
        </w:tc>
        <w:tc>
          <w:tcPr>
            <w:tcW w:w="1446" w:type="dxa"/>
            <w:shd w:val="clear" w:color="auto" w:fill="auto"/>
            <w:vAlign w:val="center"/>
          </w:tcPr>
          <w:p w14:paraId="4506B418">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加强监测评估</w:t>
            </w:r>
          </w:p>
        </w:tc>
        <w:tc>
          <w:tcPr>
            <w:tcW w:w="6292" w:type="dxa"/>
            <w:shd w:val="clear" w:color="auto" w:fill="auto"/>
            <w:vAlign w:val="center"/>
          </w:tcPr>
          <w:p w14:paraId="51D14A68">
            <w:pPr>
              <w:snapToGrid w:val="0"/>
              <w:rPr>
                <w:rFonts w:hint="eastAsia" w:ascii="宋体" w:hAnsi="宋体" w:cs="宋体"/>
                <w:kern w:val="0"/>
                <w:szCs w:val="21"/>
                <w:highlight w:val="none"/>
                <w:lang w:eastAsia="zh-CN"/>
              </w:rPr>
            </w:pPr>
            <w:r>
              <w:rPr>
                <w:rFonts w:hint="eastAsia" w:ascii="宋体" w:hAnsi="宋体" w:cs="宋体"/>
                <w:kern w:val="0"/>
                <w:szCs w:val="21"/>
                <w:highlight w:val="none"/>
                <w:lang w:eastAsia="zh-CN"/>
              </w:rPr>
              <w:t>持续开展区域生物多样性补充调查及监测评估工作。</w:t>
            </w:r>
          </w:p>
        </w:tc>
        <w:tc>
          <w:tcPr>
            <w:tcW w:w="1319" w:type="dxa"/>
            <w:shd w:val="clear" w:color="auto" w:fill="auto"/>
            <w:vAlign w:val="center"/>
          </w:tcPr>
          <w:p w14:paraId="667ED13A">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年底前</w:t>
            </w:r>
          </w:p>
        </w:tc>
        <w:tc>
          <w:tcPr>
            <w:tcW w:w="2277" w:type="dxa"/>
            <w:shd w:val="clear" w:color="auto" w:fill="auto"/>
            <w:vAlign w:val="center"/>
          </w:tcPr>
          <w:p w14:paraId="5D109B27">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区生态环境局</w:t>
            </w:r>
          </w:p>
          <w:p w14:paraId="14BCC661">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区园林绿化局</w:t>
            </w:r>
          </w:p>
        </w:tc>
        <w:tc>
          <w:tcPr>
            <w:tcW w:w="2278" w:type="dxa"/>
            <w:shd w:val="clear" w:color="auto" w:fill="auto"/>
            <w:vAlign w:val="center"/>
          </w:tcPr>
          <w:p w14:paraId="6FEC8453">
            <w:pPr>
              <w:snapToGrid w:val="0"/>
              <w:jc w:val="center"/>
              <w:rPr>
                <w:rFonts w:hint="eastAsia" w:ascii="宋体" w:hAnsi="宋体" w:cs="宋体"/>
                <w:kern w:val="0"/>
                <w:szCs w:val="21"/>
                <w:highlight w:val="none"/>
                <w:lang w:eastAsia="zh-CN"/>
              </w:rPr>
            </w:pPr>
          </w:p>
          <w:p w14:paraId="40876438">
            <w:pPr>
              <w:snapToGrid w:val="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w:t>
            </w:r>
          </w:p>
        </w:tc>
      </w:tr>
      <w:tr w14:paraId="7C27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61" w:type="dxa"/>
            <w:vAlign w:val="center"/>
          </w:tcPr>
          <w:p w14:paraId="2CC0C647">
            <w:pPr>
              <w:snapToGrid w:val="0"/>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1446" w:type="dxa"/>
            <w:vAlign w:val="center"/>
          </w:tcPr>
          <w:p w14:paraId="6204DE58">
            <w:pPr>
              <w:snapToGrid w:val="0"/>
              <w:rPr>
                <w:rFonts w:hint="eastAsia" w:ascii="宋体" w:hAnsi="宋体" w:cs="宋体"/>
                <w:kern w:val="0"/>
                <w:szCs w:val="21"/>
                <w:highlight w:val="none"/>
              </w:rPr>
            </w:pPr>
            <w:r>
              <w:rPr>
                <w:rFonts w:hint="eastAsia" w:ascii="宋体" w:hAnsi="宋体" w:cs="宋体"/>
                <w:kern w:val="0"/>
                <w:szCs w:val="21"/>
                <w:highlight w:val="none"/>
              </w:rPr>
              <w:t>强化外来入侵物种防控</w:t>
            </w:r>
          </w:p>
        </w:tc>
        <w:tc>
          <w:tcPr>
            <w:tcW w:w="6292" w:type="dxa"/>
            <w:vAlign w:val="center"/>
          </w:tcPr>
          <w:p w14:paraId="6ADEF89D">
            <w:pPr>
              <w:snapToGrid w:val="0"/>
              <w:rPr>
                <w:rFonts w:hint="eastAsia" w:ascii="宋体" w:hAnsi="宋体" w:cs="宋体"/>
                <w:kern w:val="0"/>
                <w:szCs w:val="21"/>
                <w:highlight w:val="none"/>
              </w:rPr>
            </w:pPr>
            <w:r>
              <w:rPr>
                <w:rFonts w:hint="eastAsia" w:ascii="宋体" w:hAnsi="宋体" w:cs="宋体"/>
                <w:kern w:val="0"/>
                <w:szCs w:val="21"/>
                <w:highlight w:val="none"/>
              </w:rPr>
              <w:t>加强全区农业外来入侵物种防控，开展农业外来入侵物种常态化监测。做好引进植物审批监管和美国白蛾等外来入侵物种的监测与综合治理。</w:t>
            </w:r>
          </w:p>
        </w:tc>
        <w:tc>
          <w:tcPr>
            <w:tcW w:w="1319" w:type="dxa"/>
            <w:vAlign w:val="center"/>
          </w:tcPr>
          <w:p w14:paraId="5F627A1F">
            <w:pPr>
              <w:snapToGrid w:val="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277" w:type="dxa"/>
            <w:vAlign w:val="center"/>
          </w:tcPr>
          <w:p w14:paraId="3CCD5EFB">
            <w:pPr>
              <w:snapToGrid w:val="0"/>
              <w:jc w:val="center"/>
              <w:rPr>
                <w:rFonts w:hint="eastAsia" w:ascii="宋体" w:hAnsi="宋体" w:cs="宋体"/>
                <w:kern w:val="0"/>
                <w:szCs w:val="21"/>
                <w:highlight w:val="none"/>
              </w:rPr>
            </w:pPr>
            <w:r>
              <w:rPr>
                <w:rFonts w:hint="eastAsia" w:ascii="宋体" w:hAnsi="宋体" w:cs="宋体"/>
                <w:kern w:val="0"/>
                <w:szCs w:val="21"/>
                <w:highlight w:val="none"/>
              </w:rPr>
              <w:t>区农业农村局</w:t>
            </w:r>
          </w:p>
          <w:p w14:paraId="41FD8ADC">
            <w:pPr>
              <w:snapToGrid w:val="0"/>
              <w:jc w:val="center"/>
              <w:rPr>
                <w:rFonts w:hint="eastAsia" w:ascii="宋体" w:hAnsi="宋体" w:cs="宋体"/>
                <w:kern w:val="0"/>
                <w:szCs w:val="21"/>
                <w:highlight w:val="none"/>
              </w:rPr>
            </w:pPr>
            <w:r>
              <w:rPr>
                <w:rFonts w:hint="eastAsia" w:ascii="宋体" w:hAnsi="宋体" w:cs="宋体"/>
                <w:kern w:val="0"/>
                <w:szCs w:val="21"/>
                <w:highlight w:val="none"/>
              </w:rPr>
              <w:t>区农业服务中心</w:t>
            </w:r>
          </w:p>
          <w:p w14:paraId="0EBE7FC2">
            <w:pPr>
              <w:snapToGrid w:val="0"/>
              <w:jc w:val="center"/>
              <w:rPr>
                <w:rFonts w:hint="eastAsia" w:ascii="宋体" w:hAnsi="宋体" w:cs="宋体"/>
                <w:kern w:val="0"/>
                <w:szCs w:val="21"/>
                <w:highlight w:val="none"/>
              </w:rPr>
            </w:pPr>
            <w:r>
              <w:rPr>
                <w:rFonts w:hint="eastAsia" w:ascii="宋体" w:hAnsi="宋体" w:cs="宋体"/>
                <w:kern w:val="0"/>
                <w:szCs w:val="21"/>
                <w:highlight w:val="none"/>
              </w:rPr>
              <w:t>区园林绿化局</w:t>
            </w:r>
          </w:p>
        </w:tc>
        <w:tc>
          <w:tcPr>
            <w:tcW w:w="2278" w:type="dxa"/>
            <w:vAlign w:val="center"/>
          </w:tcPr>
          <w:p w14:paraId="2BAEF442">
            <w:pPr>
              <w:snapToGrid w:val="0"/>
              <w:jc w:val="center"/>
              <w:rPr>
                <w:rFonts w:hint="eastAsia" w:ascii="宋体" w:hAnsi="宋体" w:cs="宋体"/>
                <w:kern w:val="0"/>
                <w:szCs w:val="21"/>
                <w:highlight w:val="none"/>
              </w:rPr>
            </w:pPr>
            <w:r>
              <w:rPr>
                <w:rFonts w:hint="eastAsia" w:ascii="宋体" w:hAnsi="宋体" w:cs="宋体"/>
                <w:kern w:val="0"/>
                <w:szCs w:val="21"/>
                <w:highlight w:val="none"/>
              </w:rPr>
              <w:t>区水务局</w:t>
            </w:r>
          </w:p>
          <w:p w14:paraId="624106D1">
            <w:pPr>
              <w:snapToGrid w:val="0"/>
              <w:jc w:val="center"/>
              <w:rPr>
                <w:rFonts w:hint="eastAsia" w:ascii="宋体" w:hAnsi="宋体" w:cs="宋体"/>
                <w:kern w:val="0"/>
                <w:szCs w:val="21"/>
                <w:highlight w:val="none"/>
              </w:rPr>
            </w:pPr>
            <w:r>
              <w:rPr>
                <w:rFonts w:hint="eastAsia" w:ascii="宋体" w:hAnsi="宋体" w:cs="宋体"/>
                <w:kern w:val="0"/>
                <w:szCs w:val="21"/>
                <w:highlight w:val="none"/>
              </w:rPr>
              <w:t>区生态环境局</w:t>
            </w:r>
          </w:p>
          <w:p w14:paraId="50CFFD93">
            <w:pPr>
              <w:snapToGrid w:val="0"/>
              <w:jc w:val="center"/>
              <w:rPr>
                <w:rFonts w:hint="eastAsia" w:ascii="宋体" w:hAnsi="宋体" w:cs="宋体"/>
                <w:kern w:val="0"/>
                <w:szCs w:val="21"/>
                <w:highlight w:val="none"/>
              </w:rPr>
            </w:pPr>
            <w:r>
              <w:rPr>
                <w:rFonts w:hint="eastAsia" w:ascii="宋体" w:hAnsi="宋体" w:cs="宋体"/>
                <w:kern w:val="0"/>
                <w:szCs w:val="21"/>
                <w:highlight w:val="none"/>
              </w:rPr>
              <w:t>市规划自然资源委大兴分局</w:t>
            </w:r>
          </w:p>
        </w:tc>
      </w:tr>
      <w:tr w14:paraId="12F3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561" w:type="dxa"/>
            <w:vMerge w:val="restart"/>
            <w:vAlign w:val="center"/>
          </w:tcPr>
          <w:p w14:paraId="675EBBFD">
            <w:pPr>
              <w:snapToGrid w:val="0"/>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1446" w:type="dxa"/>
            <w:vMerge w:val="restart"/>
            <w:vAlign w:val="center"/>
          </w:tcPr>
          <w:p w14:paraId="580884A7">
            <w:pPr>
              <w:snapToGrid w:val="0"/>
              <w:rPr>
                <w:rFonts w:hint="eastAsia" w:ascii="宋体" w:hAnsi="宋体" w:cs="宋体"/>
                <w:kern w:val="0"/>
                <w:szCs w:val="21"/>
                <w:highlight w:val="none"/>
              </w:rPr>
            </w:pPr>
            <w:r>
              <w:rPr>
                <w:rFonts w:hint="eastAsia" w:ascii="宋体" w:hAnsi="宋体" w:cs="宋体"/>
                <w:kern w:val="0"/>
                <w:szCs w:val="21"/>
                <w:highlight w:val="none"/>
              </w:rPr>
              <w:t>保护重点生物遗传资源</w:t>
            </w:r>
          </w:p>
        </w:tc>
        <w:tc>
          <w:tcPr>
            <w:tcW w:w="6292" w:type="dxa"/>
            <w:vAlign w:val="center"/>
          </w:tcPr>
          <w:p w14:paraId="6D314F92">
            <w:pPr>
              <w:snapToGrid w:val="0"/>
              <w:rPr>
                <w:rFonts w:hint="eastAsia" w:ascii="宋体" w:hAnsi="宋体" w:cs="宋体"/>
                <w:kern w:val="0"/>
                <w:szCs w:val="21"/>
                <w:highlight w:val="none"/>
              </w:rPr>
            </w:pPr>
            <w:r>
              <w:rPr>
                <w:rFonts w:hint="eastAsia" w:ascii="宋体" w:hAnsi="宋体" w:cs="宋体"/>
                <w:kern w:val="0"/>
                <w:szCs w:val="21"/>
                <w:highlight w:val="none"/>
              </w:rPr>
              <w:t>按照市级要求，推进国家植物种质资源库建设，推动构建北京市级林草种质资源库体系，持续开展林草种质资源收集工作。</w:t>
            </w:r>
          </w:p>
        </w:tc>
        <w:tc>
          <w:tcPr>
            <w:tcW w:w="1319" w:type="dxa"/>
            <w:vAlign w:val="center"/>
          </w:tcPr>
          <w:p w14:paraId="245D7027">
            <w:pPr>
              <w:snapToGrid w:val="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277" w:type="dxa"/>
            <w:vAlign w:val="center"/>
          </w:tcPr>
          <w:p w14:paraId="2561783B">
            <w:pPr>
              <w:snapToGrid w:val="0"/>
              <w:jc w:val="center"/>
              <w:rPr>
                <w:rFonts w:hint="eastAsia" w:ascii="宋体" w:hAnsi="宋体" w:cs="宋体"/>
                <w:kern w:val="0"/>
                <w:szCs w:val="21"/>
                <w:highlight w:val="none"/>
              </w:rPr>
            </w:pPr>
            <w:r>
              <w:rPr>
                <w:rFonts w:hint="eastAsia" w:ascii="宋体" w:hAnsi="宋体" w:cs="宋体"/>
                <w:kern w:val="0"/>
                <w:szCs w:val="21"/>
                <w:highlight w:val="none"/>
              </w:rPr>
              <w:t>区园林绿化局</w:t>
            </w:r>
          </w:p>
        </w:tc>
        <w:tc>
          <w:tcPr>
            <w:tcW w:w="2278" w:type="dxa"/>
            <w:vAlign w:val="center"/>
          </w:tcPr>
          <w:p w14:paraId="67312A28">
            <w:pPr>
              <w:snapToGrid w:val="0"/>
              <w:jc w:val="center"/>
              <w:rPr>
                <w:rFonts w:hint="eastAsia" w:ascii="宋体" w:hAnsi="宋体" w:cs="宋体"/>
                <w:kern w:val="0"/>
                <w:szCs w:val="21"/>
                <w:highlight w:val="none"/>
              </w:rPr>
            </w:pPr>
            <w:r>
              <w:rPr>
                <w:rFonts w:hint="eastAsia" w:ascii="宋体" w:hAnsi="宋体" w:cs="宋体"/>
                <w:kern w:val="0"/>
                <w:szCs w:val="21"/>
                <w:highlight w:val="none"/>
              </w:rPr>
              <w:t>——</w:t>
            </w:r>
          </w:p>
        </w:tc>
      </w:tr>
      <w:tr w14:paraId="1F94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561" w:type="dxa"/>
            <w:vMerge w:val="continue"/>
            <w:vAlign w:val="center"/>
          </w:tcPr>
          <w:p w14:paraId="360A1397">
            <w:pPr>
              <w:snapToGrid w:val="0"/>
              <w:jc w:val="center"/>
              <w:rPr>
                <w:rFonts w:hint="eastAsia" w:ascii="宋体" w:hAnsi="宋体" w:cs="宋体"/>
                <w:kern w:val="0"/>
                <w:szCs w:val="21"/>
                <w:highlight w:val="none"/>
              </w:rPr>
            </w:pPr>
          </w:p>
        </w:tc>
        <w:tc>
          <w:tcPr>
            <w:tcW w:w="1446" w:type="dxa"/>
            <w:vMerge w:val="continue"/>
            <w:vAlign w:val="center"/>
          </w:tcPr>
          <w:p w14:paraId="44FEF250">
            <w:pPr>
              <w:snapToGrid w:val="0"/>
              <w:rPr>
                <w:rFonts w:hint="eastAsia" w:ascii="宋体" w:hAnsi="宋体" w:cs="宋体"/>
                <w:kern w:val="0"/>
                <w:szCs w:val="21"/>
                <w:highlight w:val="none"/>
              </w:rPr>
            </w:pPr>
          </w:p>
        </w:tc>
        <w:tc>
          <w:tcPr>
            <w:tcW w:w="6292" w:type="dxa"/>
            <w:vAlign w:val="center"/>
          </w:tcPr>
          <w:p w14:paraId="40644A31">
            <w:pPr>
              <w:snapToGrid w:val="0"/>
              <w:rPr>
                <w:rFonts w:hint="eastAsia" w:ascii="宋体" w:hAnsi="宋体" w:cs="宋体"/>
                <w:kern w:val="0"/>
                <w:szCs w:val="21"/>
                <w:highlight w:val="none"/>
              </w:rPr>
            </w:pPr>
            <w:r>
              <w:rPr>
                <w:rFonts w:hint="eastAsia" w:ascii="宋体" w:hAnsi="宋体" w:cs="宋体"/>
                <w:kern w:val="0"/>
                <w:szCs w:val="21"/>
                <w:highlight w:val="none"/>
              </w:rPr>
              <w:t>加强重点农作物、畜禽、水产等种质资源保护。</w:t>
            </w:r>
          </w:p>
        </w:tc>
        <w:tc>
          <w:tcPr>
            <w:tcW w:w="1319" w:type="dxa"/>
            <w:vAlign w:val="center"/>
          </w:tcPr>
          <w:p w14:paraId="2E0B6E5E">
            <w:pPr>
              <w:snapToGrid w:val="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277" w:type="dxa"/>
            <w:vAlign w:val="center"/>
          </w:tcPr>
          <w:p w14:paraId="0E42FDC6">
            <w:pPr>
              <w:snapToGrid w:val="0"/>
              <w:jc w:val="center"/>
              <w:rPr>
                <w:rFonts w:hint="eastAsia" w:ascii="宋体" w:hAnsi="宋体" w:cs="宋体"/>
                <w:kern w:val="0"/>
                <w:szCs w:val="21"/>
                <w:highlight w:val="none"/>
              </w:rPr>
            </w:pPr>
            <w:r>
              <w:rPr>
                <w:rFonts w:hint="eastAsia" w:ascii="宋体" w:hAnsi="宋体" w:cs="宋体"/>
                <w:kern w:val="0"/>
                <w:szCs w:val="21"/>
                <w:highlight w:val="none"/>
              </w:rPr>
              <w:t>区农业农村局</w:t>
            </w:r>
          </w:p>
        </w:tc>
        <w:tc>
          <w:tcPr>
            <w:tcW w:w="2278" w:type="dxa"/>
            <w:vAlign w:val="center"/>
          </w:tcPr>
          <w:p w14:paraId="1A78D387">
            <w:pPr>
              <w:snapToGrid w:val="0"/>
              <w:jc w:val="center"/>
              <w:rPr>
                <w:rFonts w:hint="eastAsia" w:ascii="宋体" w:hAnsi="宋体" w:cs="宋体"/>
                <w:kern w:val="0"/>
                <w:szCs w:val="21"/>
                <w:highlight w:val="none"/>
              </w:rPr>
            </w:pPr>
            <w:r>
              <w:rPr>
                <w:rFonts w:hint="eastAsia" w:ascii="宋体" w:hAnsi="宋体" w:cs="宋体"/>
                <w:kern w:val="0"/>
                <w:szCs w:val="21"/>
                <w:highlight w:val="none"/>
              </w:rPr>
              <w:t>区农业服务中心</w:t>
            </w:r>
          </w:p>
        </w:tc>
      </w:tr>
      <w:tr w14:paraId="177F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61" w:type="dxa"/>
            <w:vMerge w:val="restart"/>
            <w:vAlign w:val="center"/>
          </w:tcPr>
          <w:p w14:paraId="07E8B033">
            <w:pPr>
              <w:snapToGrid w:val="0"/>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1446" w:type="dxa"/>
            <w:vMerge w:val="restart"/>
            <w:vAlign w:val="center"/>
          </w:tcPr>
          <w:p w14:paraId="294B9A03">
            <w:pPr>
              <w:snapToGrid w:val="0"/>
              <w:rPr>
                <w:rFonts w:hint="eastAsia" w:ascii="宋体" w:hAnsi="宋体" w:cs="宋体"/>
                <w:kern w:val="0"/>
                <w:szCs w:val="21"/>
                <w:highlight w:val="none"/>
              </w:rPr>
            </w:pPr>
            <w:r>
              <w:rPr>
                <w:rFonts w:hint="eastAsia" w:ascii="宋体" w:hAnsi="宋体" w:cs="宋体"/>
                <w:kern w:val="0"/>
                <w:szCs w:val="21"/>
                <w:highlight w:val="none"/>
              </w:rPr>
              <w:t>加强执法检查</w:t>
            </w:r>
          </w:p>
        </w:tc>
        <w:tc>
          <w:tcPr>
            <w:tcW w:w="6292" w:type="dxa"/>
            <w:vAlign w:val="center"/>
          </w:tcPr>
          <w:p w14:paraId="6B1CA489">
            <w:pPr>
              <w:snapToGrid w:val="0"/>
              <w:rPr>
                <w:rFonts w:hint="eastAsia" w:ascii="宋体" w:hAnsi="宋体" w:cs="宋体"/>
                <w:kern w:val="0"/>
                <w:szCs w:val="21"/>
                <w:highlight w:val="none"/>
              </w:rPr>
            </w:pPr>
            <w:r>
              <w:rPr>
                <w:rFonts w:hint="eastAsia" w:ascii="宋体" w:hAnsi="宋体" w:cs="宋体"/>
                <w:kern w:val="0"/>
                <w:szCs w:val="21"/>
                <w:highlight w:val="none"/>
              </w:rPr>
              <w:t>依法查处破坏陆生野生动植物资源及栖息地、侵占和破坏林木种质资源等违法行为。对陆生野生动物及其制品交易进行监督检查。</w:t>
            </w:r>
          </w:p>
        </w:tc>
        <w:tc>
          <w:tcPr>
            <w:tcW w:w="1319" w:type="dxa"/>
            <w:vAlign w:val="center"/>
          </w:tcPr>
          <w:p w14:paraId="74F3B51E">
            <w:pPr>
              <w:snapToGrid w:val="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277" w:type="dxa"/>
            <w:vAlign w:val="center"/>
          </w:tcPr>
          <w:p w14:paraId="66445999">
            <w:pPr>
              <w:snapToGrid w:val="0"/>
              <w:jc w:val="center"/>
              <w:rPr>
                <w:rFonts w:hint="eastAsia" w:ascii="宋体" w:hAnsi="宋体" w:cs="宋体"/>
                <w:kern w:val="0"/>
                <w:szCs w:val="21"/>
                <w:highlight w:val="none"/>
              </w:rPr>
            </w:pPr>
            <w:r>
              <w:rPr>
                <w:rFonts w:hint="eastAsia" w:ascii="宋体" w:hAnsi="宋体" w:cs="宋体"/>
                <w:kern w:val="0"/>
                <w:szCs w:val="21"/>
                <w:highlight w:val="none"/>
              </w:rPr>
              <w:t>区园林绿化局</w:t>
            </w:r>
          </w:p>
        </w:tc>
        <w:tc>
          <w:tcPr>
            <w:tcW w:w="2278" w:type="dxa"/>
            <w:vAlign w:val="center"/>
          </w:tcPr>
          <w:p w14:paraId="4F2606E5">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区公安分局</w:t>
            </w:r>
          </w:p>
          <w:p w14:paraId="082F1717">
            <w:pPr>
              <w:snapToGrid w:val="0"/>
              <w:jc w:val="center"/>
              <w:rPr>
                <w:rFonts w:hint="eastAsia" w:ascii="宋体" w:hAnsi="宋体" w:cs="宋体"/>
                <w:kern w:val="0"/>
                <w:szCs w:val="21"/>
                <w:highlight w:val="none"/>
              </w:rPr>
            </w:pPr>
            <w:r>
              <w:rPr>
                <w:rFonts w:hint="eastAsia" w:ascii="宋体" w:hAnsi="宋体" w:cs="宋体"/>
                <w:kern w:val="0"/>
                <w:szCs w:val="21"/>
                <w:highlight w:val="none"/>
              </w:rPr>
              <w:t>区市场监管局</w:t>
            </w:r>
          </w:p>
        </w:tc>
      </w:tr>
      <w:tr w14:paraId="7E08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561" w:type="dxa"/>
            <w:vMerge w:val="continue"/>
            <w:vAlign w:val="center"/>
          </w:tcPr>
          <w:p w14:paraId="1FB349AD">
            <w:pPr>
              <w:snapToGrid w:val="0"/>
              <w:jc w:val="center"/>
              <w:rPr>
                <w:rFonts w:hint="eastAsia" w:ascii="宋体" w:hAnsi="宋体" w:cs="宋体"/>
                <w:kern w:val="0"/>
                <w:szCs w:val="21"/>
                <w:highlight w:val="none"/>
              </w:rPr>
            </w:pPr>
          </w:p>
        </w:tc>
        <w:tc>
          <w:tcPr>
            <w:tcW w:w="1446" w:type="dxa"/>
            <w:vMerge w:val="continue"/>
            <w:vAlign w:val="center"/>
          </w:tcPr>
          <w:p w14:paraId="6D0CE2BF">
            <w:pPr>
              <w:snapToGrid w:val="0"/>
              <w:rPr>
                <w:rFonts w:hint="eastAsia" w:ascii="宋体" w:hAnsi="宋体" w:cs="宋体"/>
                <w:kern w:val="0"/>
                <w:szCs w:val="21"/>
                <w:highlight w:val="none"/>
              </w:rPr>
            </w:pPr>
          </w:p>
        </w:tc>
        <w:tc>
          <w:tcPr>
            <w:tcW w:w="6292" w:type="dxa"/>
            <w:vAlign w:val="center"/>
          </w:tcPr>
          <w:p w14:paraId="6A40D05F">
            <w:pPr>
              <w:snapToGrid w:val="0"/>
              <w:rPr>
                <w:rFonts w:hint="eastAsia" w:ascii="宋体" w:hAnsi="宋体" w:cs="宋体"/>
                <w:kern w:val="0"/>
                <w:szCs w:val="21"/>
                <w:highlight w:val="none"/>
              </w:rPr>
            </w:pPr>
            <w:r>
              <w:rPr>
                <w:rFonts w:hint="eastAsia" w:ascii="宋体" w:hAnsi="宋体" w:cs="宋体"/>
                <w:kern w:val="0"/>
                <w:szCs w:val="21"/>
                <w:highlight w:val="none"/>
              </w:rPr>
              <w:t>依法查处破坏水生野生动植物资源及栖息地、侵占和破坏农作物种质资源以及擅自引进、释放、丢弃外来物种等违法行为。对水生野生动物及其制品交易进行监督检查。</w:t>
            </w:r>
          </w:p>
        </w:tc>
        <w:tc>
          <w:tcPr>
            <w:tcW w:w="1319" w:type="dxa"/>
            <w:vAlign w:val="center"/>
          </w:tcPr>
          <w:p w14:paraId="492FBF73">
            <w:pPr>
              <w:snapToGrid w:val="0"/>
              <w:jc w:val="center"/>
              <w:rPr>
                <w:rFonts w:hint="eastAsia" w:ascii="宋体" w:hAnsi="宋体" w:cs="宋体"/>
                <w:kern w:val="0"/>
                <w:szCs w:val="21"/>
                <w:highlight w:val="none"/>
              </w:rPr>
            </w:pPr>
            <w:r>
              <w:rPr>
                <w:rFonts w:hint="eastAsia" w:ascii="宋体" w:hAnsi="宋体" w:cs="宋体"/>
                <w:kern w:val="0"/>
                <w:szCs w:val="21"/>
                <w:highlight w:val="none"/>
              </w:rPr>
              <w:t>年底前</w:t>
            </w:r>
          </w:p>
        </w:tc>
        <w:tc>
          <w:tcPr>
            <w:tcW w:w="2277" w:type="dxa"/>
            <w:vAlign w:val="center"/>
          </w:tcPr>
          <w:p w14:paraId="1D346DD3">
            <w:pPr>
              <w:snapToGrid w:val="0"/>
              <w:jc w:val="center"/>
              <w:rPr>
                <w:rFonts w:hint="eastAsia" w:ascii="宋体" w:hAnsi="宋体" w:cs="宋体"/>
                <w:kern w:val="0"/>
                <w:szCs w:val="21"/>
                <w:highlight w:val="none"/>
              </w:rPr>
            </w:pPr>
            <w:r>
              <w:rPr>
                <w:rFonts w:hint="eastAsia" w:ascii="宋体" w:hAnsi="宋体" w:cs="宋体"/>
                <w:kern w:val="0"/>
                <w:szCs w:val="21"/>
                <w:highlight w:val="none"/>
              </w:rPr>
              <w:t>区农业农村局</w:t>
            </w:r>
          </w:p>
          <w:p w14:paraId="2FBE8974">
            <w:pPr>
              <w:snapToGrid w:val="0"/>
              <w:jc w:val="center"/>
              <w:rPr>
                <w:rFonts w:hint="eastAsia" w:ascii="宋体" w:hAnsi="宋体" w:cs="宋体"/>
                <w:kern w:val="0"/>
                <w:szCs w:val="21"/>
                <w:highlight w:val="none"/>
              </w:rPr>
            </w:pPr>
            <w:r>
              <w:rPr>
                <w:rFonts w:hint="eastAsia" w:ascii="宋体" w:hAnsi="宋体" w:cs="宋体"/>
                <w:kern w:val="0"/>
                <w:szCs w:val="21"/>
                <w:highlight w:val="none"/>
              </w:rPr>
              <w:t>区农业服务中心</w:t>
            </w:r>
          </w:p>
        </w:tc>
        <w:tc>
          <w:tcPr>
            <w:tcW w:w="2278" w:type="dxa"/>
            <w:vAlign w:val="center"/>
          </w:tcPr>
          <w:p w14:paraId="1C9FFB39">
            <w:pPr>
              <w:snapToGrid w:val="0"/>
              <w:jc w:val="center"/>
              <w:rPr>
                <w:rFonts w:hint="eastAsia" w:ascii="宋体" w:hAnsi="宋体" w:cs="宋体"/>
                <w:kern w:val="0"/>
                <w:szCs w:val="21"/>
                <w:highlight w:val="none"/>
              </w:rPr>
            </w:pPr>
            <w:r>
              <w:rPr>
                <w:rFonts w:hint="eastAsia" w:ascii="宋体" w:hAnsi="宋体" w:cs="宋体"/>
                <w:kern w:val="0"/>
                <w:szCs w:val="21"/>
                <w:highlight w:val="none"/>
              </w:rPr>
              <w:t>区园林绿化局</w:t>
            </w:r>
          </w:p>
          <w:p w14:paraId="10825CD4">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区公安分局</w:t>
            </w:r>
          </w:p>
          <w:p w14:paraId="66F9E092">
            <w:pPr>
              <w:snapToGrid w:val="0"/>
              <w:jc w:val="center"/>
              <w:rPr>
                <w:rFonts w:hint="eastAsia" w:ascii="宋体" w:hAnsi="宋体" w:cs="宋体"/>
                <w:kern w:val="0"/>
                <w:szCs w:val="21"/>
                <w:highlight w:val="none"/>
              </w:rPr>
            </w:pPr>
            <w:r>
              <w:rPr>
                <w:rFonts w:hint="eastAsia" w:ascii="宋体" w:hAnsi="宋体" w:cs="宋体"/>
                <w:kern w:val="0"/>
                <w:szCs w:val="21"/>
                <w:highlight w:val="none"/>
              </w:rPr>
              <w:t>区市场监管局</w:t>
            </w:r>
          </w:p>
        </w:tc>
      </w:tr>
      <w:tr w14:paraId="2510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173" w:type="dxa"/>
            <w:gridSpan w:val="6"/>
            <w:vAlign w:val="center"/>
          </w:tcPr>
          <w:p w14:paraId="32180675">
            <w:pPr>
              <w:autoSpaceDE w:val="0"/>
              <w:adjustRightInd w:val="0"/>
              <w:snapToGrid w:val="0"/>
              <w:jc w:val="center"/>
              <w:rPr>
                <w:rFonts w:hint="eastAsia" w:ascii="宋体" w:hAnsi="宋体" w:cs="宋体"/>
                <w:spacing w:val="-26"/>
                <w:sz w:val="24"/>
              </w:rPr>
            </w:pPr>
            <w:r>
              <w:rPr>
                <w:rFonts w:hint="eastAsia" w:ascii="黑体" w:hAnsi="黑体" w:eastAsia="黑体" w:cs="黑体"/>
                <w:sz w:val="24"/>
              </w:rPr>
              <w:t>三、维护生态空间格局稳定性</w:t>
            </w:r>
          </w:p>
        </w:tc>
      </w:tr>
      <w:tr w14:paraId="6E8F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561" w:type="dxa"/>
            <w:vMerge w:val="restart"/>
            <w:vAlign w:val="center"/>
          </w:tcPr>
          <w:p w14:paraId="0605581B">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446" w:type="dxa"/>
            <w:vMerge w:val="restart"/>
            <w:vAlign w:val="center"/>
          </w:tcPr>
          <w:p w14:paraId="7A810620">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加强重要生态空间监督管理</w:t>
            </w:r>
          </w:p>
        </w:tc>
        <w:tc>
          <w:tcPr>
            <w:tcW w:w="6292" w:type="dxa"/>
            <w:vAlign w:val="center"/>
          </w:tcPr>
          <w:p w14:paraId="75102BF3">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加强生态保护红线管理，落实市级部门制订的北京市加强生态空间监督管理相关制度及生态保护红线内用地管理要求。严格落实国土空间用途管控制度，加强生态保护红线内临时用地管理。</w:t>
            </w:r>
          </w:p>
          <w:p w14:paraId="46B4B4BC">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组织开展生态保护红线人类活动问题线索核实处理。</w:t>
            </w:r>
          </w:p>
        </w:tc>
        <w:tc>
          <w:tcPr>
            <w:tcW w:w="1319" w:type="dxa"/>
            <w:vAlign w:val="center"/>
          </w:tcPr>
          <w:p w14:paraId="2D2B3650">
            <w:pPr>
              <w:adjustRightInd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0A3B2335">
            <w:pPr>
              <w:widowControl/>
              <w:snapToGrid w:val="0"/>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市规划自然资源委大兴分局</w:t>
            </w:r>
          </w:p>
          <w:p w14:paraId="40A22668">
            <w:pPr>
              <w:widowControl/>
              <w:snapToGrid w:val="0"/>
              <w:spacing w:line="260" w:lineRule="exact"/>
              <w:jc w:val="center"/>
              <w:rPr>
                <w:rFonts w:hint="eastAsia"/>
              </w:rPr>
            </w:pPr>
            <w:r>
              <w:rPr>
                <w:rFonts w:hint="eastAsia" w:asciiTheme="minorEastAsia" w:hAnsiTheme="minorEastAsia" w:eastAsiaTheme="minorEastAsia" w:cstheme="minorEastAsia"/>
                <w:kern w:val="0"/>
                <w:sz w:val="21"/>
                <w:szCs w:val="21"/>
              </w:rPr>
              <w:t>区生态环境局</w:t>
            </w:r>
          </w:p>
        </w:tc>
        <w:tc>
          <w:tcPr>
            <w:tcW w:w="2278" w:type="dxa"/>
            <w:vAlign w:val="center"/>
          </w:tcPr>
          <w:p w14:paraId="63CEA92E">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各镇人民政府</w:t>
            </w:r>
          </w:p>
          <w:p w14:paraId="0002596B">
            <w:pPr>
              <w:autoSpaceDE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各街道办事处</w:t>
            </w:r>
          </w:p>
        </w:tc>
      </w:tr>
      <w:tr w14:paraId="46E8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561" w:type="dxa"/>
            <w:vMerge w:val="continue"/>
            <w:vAlign w:val="center"/>
          </w:tcPr>
          <w:p w14:paraId="45899E7C">
            <w:pPr>
              <w:widowControl/>
              <w:snapToGrid w:val="0"/>
              <w:jc w:val="center"/>
              <w:rPr>
                <w:rFonts w:hint="eastAsia" w:asciiTheme="minorEastAsia" w:hAnsiTheme="minorEastAsia" w:eastAsiaTheme="minorEastAsia" w:cstheme="minorEastAsia"/>
                <w:sz w:val="21"/>
                <w:szCs w:val="21"/>
              </w:rPr>
            </w:pPr>
          </w:p>
        </w:tc>
        <w:tc>
          <w:tcPr>
            <w:tcW w:w="1446" w:type="dxa"/>
            <w:vMerge w:val="continue"/>
            <w:vAlign w:val="center"/>
          </w:tcPr>
          <w:p w14:paraId="59E3475D">
            <w:pPr>
              <w:widowControl/>
              <w:snapToGrid w:val="0"/>
              <w:jc w:val="left"/>
              <w:rPr>
                <w:rFonts w:hint="eastAsia" w:asciiTheme="minorEastAsia" w:hAnsiTheme="minorEastAsia" w:eastAsiaTheme="minorEastAsia" w:cstheme="minorEastAsia"/>
                <w:sz w:val="21"/>
                <w:szCs w:val="21"/>
              </w:rPr>
            </w:pPr>
          </w:p>
        </w:tc>
        <w:tc>
          <w:tcPr>
            <w:tcW w:w="6292" w:type="dxa"/>
            <w:vAlign w:val="center"/>
          </w:tcPr>
          <w:p w14:paraId="26FFF57E">
            <w:pPr>
              <w:adjustRightInd w:val="0"/>
              <w:snapToGrid w:val="0"/>
              <w:spacing w:line="2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配合市级部门编制全市自然保护地体系发展规划，推动建设首都特色自然保护地体系。严格自然保护地监督管理。</w:t>
            </w:r>
          </w:p>
          <w:p w14:paraId="4A60F040">
            <w:pPr>
              <w:adjustRightInd w:val="0"/>
              <w:snapToGrid w:val="0"/>
              <w:spacing w:line="2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开展自然保护地生态环境监督工作。</w:t>
            </w:r>
          </w:p>
        </w:tc>
        <w:tc>
          <w:tcPr>
            <w:tcW w:w="1319" w:type="dxa"/>
            <w:vAlign w:val="center"/>
          </w:tcPr>
          <w:p w14:paraId="2D51021B">
            <w:pPr>
              <w:adjustRightInd w:val="0"/>
              <w:snapToGrid w:val="0"/>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281E4D61">
            <w:pPr>
              <w:widowControl/>
              <w:snapToGrid w:val="0"/>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区园林绿化局</w:t>
            </w:r>
          </w:p>
          <w:p w14:paraId="42392465">
            <w:pPr>
              <w:widowControl/>
              <w:snapToGrid w:val="0"/>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区生态环境局</w:t>
            </w:r>
          </w:p>
        </w:tc>
        <w:tc>
          <w:tcPr>
            <w:tcW w:w="2278" w:type="dxa"/>
            <w:vAlign w:val="center"/>
          </w:tcPr>
          <w:p w14:paraId="62FCFE24">
            <w:pPr>
              <w:autoSpaceDE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市规划自然资源委大兴分局</w:t>
            </w:r>
          </w:p>
          <w:p w14:paraId="094B59F1">
            <w:pPr>
              <w:autoSpaceDE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区水务局</w:t>
            </w:r>
          </w:p>
          <w:p w14:paraId="0BBF4640">
            <w:pPr>
              <w:autoSpaceDE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区交通局</w:t>
            </w:r>
          </w:p>
          <w:p w14:paraId="74CF8C9C">
            <w:pPr>
              <w:autoSpaceDE w:val="0"/>
              <w:adjustRightInd w:val="0"/>
              <w:snapToGrid w:val="0"/>
              <w:jc w:val="center"/>
              <w:rPr>
                <w:rFonts w:hint="eastAsia" w:asciiTheme="minorEastAsia" w:hAnsiTheme="minorEastAsia" w:eastAsiaTheme="minorEastAsia" w:cstheme="minorEastAsia"/>
                <w:spacing w:val="-26"/>
                <w:sz w:val="21"/>
                <w:szCs w:val="21"/>
              </w:rPr>
            </w:pPr>
            <w:r>
              <w:rPr>
                <w:rFonts w:hint="eastAsia" w:asciiTheme="minorEastAsia" w:hAnsiTheme="minorEastAsia" w:eastAsiaTheme="minorEastAsia" w:cstheme="minorEastAsia"/>
                <w:sz w:val="21"/>
                <w:szCs w:val="21"/>
              </w:rPr>
              <w:t>区文化和旅游局</w:t>
            </w:r>
          </w:p>
        </w:tc>
      </w:tr>
      <w:tr w14:paraId="0815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561" w:type="dxa"/>
            <w:vMerge w:val="continue"/>
            <w:vAlign w:val="center"/>
          </w:tcPr>
          <w:p w14:paraId="69077F8A">
            <w:pPr>
              <w:widowControl/>
              <w:snapToGrid w:val="0"/>
              <w:jc w:val="center"/>
              <w:rPr>
                <w:rFonts w:hint="eastAsia" w:asciiTheme="minorEastAsia" w:hAnsiTheme="minorEastAsia" w:eastAsiaTheme="minorEastAsia" w:cstheme="minorEastAsia"/>
                <w:sz w:val="21"/>
                <w:szCs w:val="21"/>
              </w:rPr>
            </w:pPr>
          </w:p>
        </w:tc>
        <w:tc>
          <w:tcPr>
            <w:tcW w:w="1446" w:type="dxa"/>
            <w:vMerge w:val="continue"/>
            <w:vAlign w:val="center"/>
          </w:tcPr>
          <w:p w14:paraId="0D353555">
            <w:pPr>
              <w:widowControl/>
              <w:snapToGrid w:val="0"/>
              <w:jc w:val="left"/>
              <w:rPr>
                <w:rFonts w:hint="eastAsia" w:asciiTheme="minorEastAsia" w:hAnsiTheme="minorEastAsia" w:eastAsiaTheme="minorEastAsia" w:cstheme="minorEastAsia"/>
                <w:sz w:val="21"/>
                <w:szCs w:val="21"/>
              </w:rPr>
            </w:pPr>
          </w:p>
        </w:tc>
        <w:tc>
          <w:tcPr>
            <w:tcW w:w="6292" w:type="dxa"/>
            <w:vAlign w:val="center"/>
          </w:tcPr>
          <w:p w14:paraId="1AD40A04">
            <w:pPr>
              <w:adjustRightInd w:val="0"/>
              <w:snapToGrid w:val="0"/>
              <w:spacing w:line="2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进一步加强自然保护地和生态保护红线的日常管理和例行巡查，开展人类活动问题的监测、核查、整改；严格查处不符合空间管控要求的违法违规行为。</w:t>
            </w:r>
          </w:p>
        </w:tc>
        <w:tc>
          <w:tcPr>
            <w:tcW w:w="1319" w:type="dxa"/>
            <w:vAlign w:val="center"/>
          </w:tcPr>
          <w:p w14:paraId="32BD2E86">
            <w:pPr>
              <w:adjustRightInd w:val="0"/>
              <w:snapToGrid w:val="0"/>
              <w:spacing w:line="26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22E3F45C">
            <w:pPr>
              <w:autoSpaceDE w:val="0"/>
              <w:adjustRightInd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区园林绿化局</w:t>
            </w:r>
          </w:p>
          <w:p w14:paraId="0C86117D">
            <w:pPr>
              <w:autoSpaceDE w:val="0"/>
              <w:adjustRightInd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区生态环境局</w:t>
            </w:r>
          </w:p>
          <w:p w14:paraId="41C569CE">
            <w:pPr>
              <w:autoSpaceDE w:val="0"/>
              <w:adjustRightInd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市规划自然资源委大兴分局</w:t>
            </w:r>
          </w:p>
        </w:tc>
        <w:tc>
          <w:tcPr>
            <w:tcW w:w="2278" w:type="dxa"/>
            <w:vAlign w:val="center"/>
          </w:tcPr>
          <w:p w14:paraId="22F2060A">
            <w:pPr>
              <w:autoSpaceDE w:val="0"/>
              <w:adjustRightInd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区水务局</w:t>
            </w:r>
          </w:p>
          <w:p w14:paraId="317FA099">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各镇人民政府</w:t>
            </w:r>
          </w:p>
          <w:p w14:paraId="16E5B74D">
            <w:pPr>
              <w:autoSpaceDE w:val="0"/>
              <w:adjustRightInd w:val="0"/>
              <w:snapToGrid w:val="0"/>
              <w:spacing w:line="26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各街道办事处</w:t>
            </w:r>
          </w:p>
        </w:tc>
      </w:tr>
      <w:tr w14:paraId="0BFF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561" w:type="dxa"/>
            <w:vMerge w:val="restart"/>
            <w:vAlign w:val="center"/>
          </w:tcPr>
          <w:p w14:paraId="21564A37">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446" w:type="dxa"/>
            <w:vMerge w:val="restart"/>
            <w:vAlign w:val="center"/>
          </w:tcPr>
          <w:p w14:paraId="3D8FF117">
            <w:pPr>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统筹推进实施生态保护修复</w:t>
            </w:r>
          </w:p>
        </w:tc>
        <w:tc>
          <w:tcPr>
            <w:tcW w:w="6292" w:type="dxa"/>
            <w:shd w:val="clear" w:color="auto" w:fill="auto"/>
            <w:vAlign w:val="center"/>
          </w:tcPr>
          <w:p w14:paraId="3254BD21">
            <w:pPr>
              <w:pStyle w:val="9"/>
              <w:snapToGrid w:val="0"/>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推进园林绿化“增绿提质”，森林覆盖率达到32%（全市45%）。</w:t>
            </w:r>
          </w:p>
          <w:p w14:paraId="53937252">
            <w:pPr>
              <w:pStyle w:val="9"/>
              <w:snapToGrid w:val="0"/>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推进自然带营建工作，建设生态保育小区**处（全市100处），推进平原生态林养护经营示范区**处（全市70处）。新增口袋公园及小微绿地**处（全市30处）。</w:t>
            </w:r>
          </w:p>
        </w:tc>
        <w:tc>
          <w:tcPr>
            <w:tcW w:w="1319" w:type="dxa"/>
            <w:shd w:val="clear" w:color="auto" w:fill="auto"/>
            <w:vAlign w:val="center"/>
          </w:tcPr>
          <w:p w14:paraId="668550D6">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shd w:val="clear" w:color="auto" w:fill="auto"/>
            <w:vAlign w:val="center"/>
          </w:tcPr>
          <w:p w14:paraId="34A1C19F">
            <w:pPr>
              <w:autoSpaceDE w:val="0"/>
              <w:adjustRightInd w:val="0"/>
              <w:snapToGrid w:val="0"/>
              <w:jc w:val="center"/>
              <w:rPr>
                <w:rFonts w:hint="eastAsia" w:asciiTheme="minorEastAsia" w:hAnsiTheme="minorEastAsia" w:eastAsiaTheme="minorEastAsia" w:cstheme="minorEastAsia"/>
                <w:spacing w:val="-22"/>
                <w:sz w:val="21"/>
                <w:szCs w:val="21"/>
              </w:rPr>
            </w:pPr>
            <w:r>
              <w:rPr>
                <w:rFonts w:hint="eastAsia" w:asciiTheme="minorEastAsia" w:hAnsiTheme="minorEastAsia" w:eastAsiaTheme="minorEastAsia" w:cstheme="minorEastAsia"/>
                <w:sz w:val="21"/>
                <w:szCs w:val="21"/>
              </w:rPr>
              <w:t>区园林绿化局</w:t>
            </w:r>
          </w:p>
        </w:tc>
        <w:tc>
          <w:tcPr>
            <w:tcW w:w="2278" w:type="dxa"/>
            <w:shd w:val="clear" w:color="auto" w:fill="auto"/>
            <w:vAlign w:val="center"/>
          </w:tcPr>
          <w:p w14:paraId="120C3408">
            <w:pPr>
              <w:autoSpaceDE w:val="0"/>
              <w:snapToGrid w:val="0"/>
              <w:jc w:val="center"/>
              <w:rPr>
                <w:rFonts w:hint="eastAsia" w:asciiTheme="minorEastAsia" w:hAnsiTheme="minorEastAsia" w:eastAsiaTheme="minorEastAsia" w:cstheme="minorEastAsia"/>
                <w:spacing w:val="-26"/>
                <w:sz w:val="21"/>
                <w:szCs w:val="21"/>
              </w:rPr>
            </w:pPr>
            <w:r>
              <w:rPr>
                <w:rFonts w:hint="eastAsia" w:asciiTheme="minorEastAsia" w:hAnsiTheme="minorEastAsia" w:eastAsiaTheme="minorEastAsia" w:cstheme="minorEastAsia"/>
                <w:spacing w:val="-26"/>
                <w:sz w:val="21"/>
                <w:szCs w:val="21"/>
              </w:rPr>
              <w:t>——</w:t>
            </w:r>
          </w:p>
        </w:tc>
      </w:tr>
      <w:tr w14:paraId="2FEA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561" w:type="dxa"/>
            <w:vMerge w:val="continue"/>
            <w:vAlign w:val="center"/>
          </w:tcPr>
          <w:p w14:paraId="2351FAA7">
            <w:pPr>
              <w:widowControl/>
              <w:snapToGrid w:val="0"/>
              <w:jc w:val="center"/>
              <w:rPr>
                <w:rFonts w:hint="eastAsia" w:asciiTheme="minorEastAsia" w:hAnsiTheme="minorEastAsia" w:eastAsiaTheme="minorEastAsia" w:cstheme="minorEastAsia"/>
                <w:sz w:val="21"/>
                <w:szCs w:val="21"/>
              </w:rPr>
            </w:pPr>
          </w:p>
        </w:tc>
        <w:tc>
          <w:tcPr>
            <w:tcW w:w="1446" w:type="dxa"/>
            <w:vMerge w:val="continue"/>
            <w:vAlign w:val="center"/>
          </w:tcPr>
          <w:p w14:paraId="75BD303B">
            <w:pPr>
              <w:widowControl/>
              <w:snapToGrid w:val="0"/>
              <w:jc w:val="left"/>
              <w:rPr>
                <w:rFonts w:hint="eastAsia" w:asciiTheme="minorEastAsia" w:hAnsiTheme="minorEastAsia" w:eastAsiaTheme="minorEastAsia" w:cstheme="minorEastAsia"/>
                <w:sz w:val="21"/>
                <w:szCs w:val="21"/>
              </w:rPr>
            </w:pPr>
          </w:p>
        </w:tc>
        <w:tc>
          <w:tcPr>
            <w:tcW w:w="6292" w:type="dxa"/>
            <w:vAlign w:val="center"/>
          </w:tcPr>
          <w:p w14:paraId="4F9EE8E0">
            <w:pPr>
              <w:pStyle w:val="9"/>
              <w:snapToGrid w:val="0"/>
              <w:spacing w:before="0" w:beforeAutospacing="0" w:after="0" w:afterAutospacing="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在满足防洪排涝安全的前提下，对具备条件的硬质化河湖岸线进行自然化改造和生态修复，恢复自然岸线，并加强河湖现状自然岸线保护。</w:t>
            </w:r>
          </w:p>
        </w:tc>
        <w:tc>
          <w:tcPr>
            <w:tcW w:w="1319" w:type="dxa"/>
            <w:vAlign w:val="center"/>
          </w:tcPr>
          <w:p w14:paraId="09614401">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2D3E4DA8">
            <w:pPr>
              <w:autoSpaceDE w:val="0"/>
              <w:adjustRightInd w:val="0"/>
              <w:snapToGrid w:val="0"/>
              <w:jc w:val="center"/>
              <w:rPr>
                <w:rFonts w:hint="eastAsia" w:asciiTheme="minorEastAsia" w:hAnsiTheme="minorEastAsia" w:eastAsiaTheme="minorEastAsia" w:cstheme="minorEastAsia"/>
                <w:spacing w:val="-22"/>
                <w:sz w:val="21"/>
                <w:szCs w:val="21"/>
              </w:rPr>
            </w:pPr>
            <w:r>
              <w:rPr>
                <w:rFonts w:hint="eastAsia" w:asciiTheme="minorEastAsia" w:hAnsiTheme="minorEastAsia" w:eastAsiaTheme="minorEastAsia" w:cstheme="minorEastAsia"/>
                <w:spacing w:val="-22"/>
                <w:sz w:val="21"/>
                <w:szCs w:val="21"/>
              </w:rPr>
              <w:t>区水务局</w:t>
            </w:r>
          </w:p>
        </w:tc>
        <w:tc>
          <w:tcPr>
            <w:tcW w:w="2278" w:type="dxa"/>
            <w:vAlign w:val="center"/>
          </w:tcPr>
          <w:p w14:paraId="47DCFF05">
            <w:pPr>
              <w:autoSpaceDE w:val="0"/>
              <w:snapToGrid w:val="0"/>
              <w:jc w:val="center"/>
              <w:rPr>
                <w:rFonts w:hint="eastAsia" w:asciiTheme="minorEastAsia" w:hAnsiTheme="minorEastAsia" w:eastAsiaTheme="minorEastAsia" w:cstheme="minorEastAsia"/>
                <w:spacing w:val="-26"/>
                <w:sz w:val="21"/>
                <w:szCs w:val="21"/>
              </w:rPr>
            </w:pPr>
            <w:r>
              <w:rPr>
                <w:rFonts w:hint="eastAsia" w:asciiTheme="minorEastAsia" w:hAnsiTheme="minorEastAsia" w:eastAsiaTheme="minorEastAsia" w:cstheme="minorEastAsia"/>
                <w:spacing w:val="-26"/>
                <w:sz w:val="21"/>
                <w:szCs w:val="21"/>
              </w:rPr>
              <w:t>——</w:t>
            </w:r>
          </w:p>
        </w:tc>
      </w:tr>
      <w:tr w14:paraId="575C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2" w:hRule="atLeast"/>
          <w:jc w:val="center"/>
        </w:trPr>
        <w:tc>
          <w:tcPr>
            <w:tcW w:w="561" w:type="dxa"/>
            <w:vMerge w:val="continue"/>
            <w:vAlign w:val="center"/>
          </w:tcPr>
          <w:p w14:paraId="3DD04059">
            <w:pPr>
              <w:adjustRightInd w:val="0"/>
              <w:snapToGrid w:val="0"/>
              <w:jc w:val="center"/>
              <w:rPr>
                <w:rFonts w:hint="eastAsia" w:ascii="仿宋_GB2312" w:hAnsi="仿宋_GB2312" w:eastAsia="仿宋_GB2312" w:cs="仿宋_GB2312"/>
                <w:sz w:val="24"/>
              </w:rPr>
            </w:pPr>
          </w:p>
        </w:tc>
        <w:tc>
          <w:tcPr>
            <w:tcW w:w="1446" w:type="dxa"/>
            <w:vMerge w:val="continue"/>
            <w:vAlign w:val="center"/>
          </w:tcPr>
          <w:p w14:paraId="186297EE">
            <w:pPr>
              <w:adjustRightInd w:val="0"/>
              <w:snapToGrid w:val="0"/>
              <w:jc w:val="left"/>
              <w:rPr>
                <w:rFonts w:hint="eastAsia" w:ascii="仿宋_GB2312" w:hAnsi="仿宋_GB2312" w:eastAsia="仿宋_GB2312" w:cs="仿宋_GB2312"/>
                <w:sz w:val="24"/>
              </w:rPr>
            </w:pPr>
          </w:p>
        </w:tc>
        <w:tc>
          <w:tcPr>
            <w:tcW w:w="6292" w:type="dxa"/>
            <w:vAlign w:val="center"/>
          </w:tcPr>
          <w:p w14:paraId="61A75B82">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立体绿化，有效提升绿视率。推进建筑物墙面、围栏、围墙垂直绿化，优化乔灌草立体结构；推进试点花园示范街区建设；结合老旧小区改造，持续推动花园住区建设；配合市级部门开展绿视率调查监测，科学评价生态建设成效。</w:t>
            </w:r>
          </w:p>
        </w:tc>
        <w:tc>
          <w:tcPr>
            <w:tcW w:w="1319" w:type="dxa"/>
            <w:vAlign w:val="center"/>
          </w:tcPr>
          <w:p w14:paraId="73C5D9A2">
            <w:pPr>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7A9840AE">
            <w:pPr>
              <w:autoSpaceDE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区园林绿化局</w:t>
            </w:r>
          </w:p>
          <w:p w14:paraId="16F36AC9">
            <w:pPr>
              <w:autoSpaceDE w:val="0"/>
              <w:snapToGrid w:val="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区住房城乡建设委</w:t>
            </w:r>
          </w:p>
          <w:p w14:paraId="771B023A">
            <w:pPr>
              <w:autoSpaceDE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区交通局</w:t>
            </w:r>
          </w:p>
          <w:p w14:paraId="0AE826AB">
            <w:pPr>
              <w:autoSpaceDE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区生态环境局</w:t>
            </w:r>
          </w:p>
        </w:tc>
        <w:tc>
          <w:tcPr>
            <w:tcW w:w="2278" w:type="dxa"/>
            <w:vAlign w:val="center"/>
          </w:tcPr>
          <w:p w14:paraId="668DA3B4">
            <w:pPr>
              <w:autoSpaceDE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市规划自然资源委大兴分局</w:t>
            </w:r>
          </w:p>
        </w:tc>
      </w:tr>
      <w:tr w14:paraId="3E63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4173" w:type="dxa"/>
            <w:gridSpan w:val="6"/>
            <w:vAlign w:val="center"/>
          </w:tcPr>
          <w:p w14:paraId="3517B191">
            <w:pPr>
              <w:autoSpaceDE w:val="0"/>
              <w:snapToGrid w:val="0"/>
              <w:spacing w:line="320" w:lineRule="exact"/>
              <w:ind w:left="-105" w:leftChars="-50" w:right="-105" w:rightChars="-50"/>
              <w:jc w:val="center"/>
              <w:rPr>
                <w:rFonts w:hint="eastAsia" w:ascii="宋体" w:hAnsi="宋体" w:cs="宋体"/>
                <w:sz w:val="24"/>
              </w:rPr>
            </w:pPr>
            <w:r>
              <w:rPr>
                <w:rFonts w:hint="eastAsia" w:ascii="黑体" w:hAnsi="黑体" w:eastAsia="黑体" w:cs="黑体"/>
                <w:sz w:val="24"/>
              </w:rPr>
              <w:t>四、促进生态保护可持续发展</w:t>
            </w:r>
          </w:p>
        </w:tc>
      </w:tr>
      <w:tr w14:paraId="5986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561" w:type="dxa"/>
            <w:vAlign w:val="center"/>
          </w:tcPr>
          <w:p w14:paraId="43E0AB00">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446" w:type="dxa"/>
            <w:vAlign w:val="center"/>
          </w:tcPr>
          <w:p w14:paraId="2F24E49E">
            <w:pPr>
              <w:adjustRightInd w:val="0"/>
              <w:snapToGrid w:val="0"/>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推进区域生态协同治理</w:t>
            </w:r>
          </w:p>
        </w:tc>
        <w:tc>
          <w:tcPr>
            <w:tcW w:w="6292" w:type="dxa"/>
            <w:vAlign w:val="center"/>
          </w:tcPr>
          <w:p w14:paraId="6E653888">
            <w:pPr>
              <w:adjustRightInd w:val="0"/>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加大京津冀联合工作力度。积极推进京津冀林木良种备案互认工作，协同防控美国白蛾、松材线虫等有害生物。</w:t>
            </w:r>
          </w:p>
        </w:tc>
        <w:tc>
          <w:tcPr>
            <w:tcW w:w="1319" w:type="dxa"/>
            <w:vAlign w:val="center"/>
          </w:tcPr>
          <w:p w14:paraId="06F63808">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11F79B6A">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区园林绿化局</w:t>
            </w:r>
          </w:p>
        </w:tc>
        <w:tc>
          <w:tcPr>
            <w:tcW w:w="2278" w:type="dxa"/>
            <w:vAlign w:val="center"/>
          </w:tcPr>
          <w:p w14:paraId="09E8B599">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区农业农村局</w:t>
            </w:r>
          </w:p>
          <w:p w14:paraId="14B4841A">
            <w:pPr>
              <w:autoSpaceDE w:val="0"/>
              <w:snapToGrid w:val="0"/>
              <w:spacing w:line="320" w:lineRule="exact"/>
              <w:jc w:val="center"/>
              <w:rPr>
                <w:rFonts w:hint="eastAsia" w:asciiTheme="minorEastAsia" w:hAnsiTheme="minorEastAsia" w:eastAsiaTheme="minorEastAsia" w:cstheme="minorEastAsia"/>
                <w:spacing w:val="-26"/>
                <w:sz w:val="21"/>
                <w:szCs w:val="21"/>
                <w:lang w:eastAsia="zh-CN"/>
              </w:rPr>
            </w:pPr>
            <w:r>
              <w:rPr>
                <w:rFonts w:hint="eastAsia" w:asciiTheme="minorEastAsia" w:hAnsiTheme="minorEastAsia" w:eastAsiaTheme="minorEastAsia" w:cstheme="minorEastAsia"/>
                <w:sz w:val="21"/>
                <w:szCs w:val="21"/>
                <w:lang w:eastAsia="zh-CN"/>
              </w:rPr>
              <w:t>区公安分局</w:t>
            </w:r>
          </w:p>
        </w:tc>
      </w:tr>
      <w:tr w14:paraId="4DD8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atLeast"/>
          <w:jc w:val="center"/>
        </w:trPr>
        <w:tc>
          <w:tcPr>
            <w:tcW w:w="561" w:type="dxa"/>
            <w:vMerge w:val="restart"/>
            <w:vAlign w:val="center"/>
          </w:tcPr>
          <w:p w14:paraId="7CF1F9E6">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446" w:type="dxa"/>
            <w:vMerge w:val="restart"/>
            <w:vAlign w:val="center"/>
          </w:tcPr>
          <w:p w14:paraId="7F2F5FAC">
            <w:pPr>
              <w:adjustRightInd w:val="0"/>
              <w:snapToGrid w:val="0"/>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开展生态环境质量评价</w:t>
            </w:r>
          </w:p>
        </w:tc>
        <w:tc>
          <w:tcPr>
            <w:tcW w:w="6292" w:type="dxa"/>
            <w:vAlign w:val="center"/>
          </w:tcPr>
          <w:p w14:paraId="0F4B0E13">
            <w:pPr>
              <w:adjustRightInd w:val="0"/>
              <w:snapToGri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配合市级部门开展生态环境质量评价，客观反映生态环境质量状况及变化趋势。</w:t>
            </w:r>
          </w:p>
          <w:p w14:paraId="609D527C">
            <w:pPr>
              <w:adjustRightInd w:val="0"/>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开展</w:t>
            </w:r>
            <w:r>
              <w:rPr>
                <w:rFonts w:hint="eastAsia" w:asciiTheme="minorEastAsia" w:hAnsiTheme="minorEastAsia" w:eastAsiaTheme="minorEastAsia" w:cstheme="minorEastAsia"/>
                <w:sz w:val="21"/>
                <w:szCs w:val="21"/>
              </w:rPr>
              <w:t>生态环境质量提升研究，</w:t>
            </w:r>
            <w:r>
              <w:rPr>
                <w:rFonts w:hint="eastAsia" w:asciiTheme="minorEastAsia" w:hAnsiTheme="minorEastAsia" w:eastAsiaTheme="minorEastAsia" w:cstheme="minorEastAsia"/>
                <w:kern w:val="0"/>
                <w:sz w:val="21"/>
                <w:szCs w:val="21"/>
              </w:rPr>
              <w:t>探索提升我区</w:t>
            </w:r>
            <w:r>
              <w:rPr>
                <w:rFonts w:hint="eastAsia" w:asciiTheme="minorEastAsia" w:hAnsiTheme="minorEastAsia" w:eastAsiaTheme="minorEastAsia" w:cstheme="minorEastAsia"/>
                <w:sz w:val="21"/>
                <w:szCs w:val="21"/>
              </w:rPr>
              <w:t>生态环境质量路径。</w:t>
            </w:r>
          </w:p>
        </w:tc>
        <w:tc>
          <w:tcPr>
            <w:tcW w:w="1319" w:type="dxa"/>
            <w:vAlign w:val="center"/>
          </w:tcPr>
          <w:p w14:paraId="11D8E433">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7CD2461F">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区生态环境局</w:t>
            </w:r>
          </w:p>
        </w:tc>
        <w:tc>
          <w:tcPr>
            <w:tcW w:w="2278" w:type="dxa"/>
            <w:vAlign w:val="center"/>
          </w:tcPr>
          <w:p w14:paraId="1C23065C">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6"/>
                <w:sz w:val="21"/>
                <w:szCs w:val="21"/>
              </w:rPr>
              <w:t>——</w:t>
            </w:r>
          </w:p>
        </w:tc>
      </w:tr>
      <w:tr w14:paraId="28C5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561" w:type="dxa"/>
            <w:vMerge w:val="continue"/>
            <w:vAlign w:val="center"/>
          </w:tcPr>
          <w:p w14:paraId="0E0477E4">
            <w:pPr>
              <w:adjustRightInd w:val="0"/>
              <w:snapToGrid w:val="0"/>
              <w:spacing w:line="320" w:lineRule="exact"/>
              <w:jc w:val="center"/>
              <w:rPr>
                <w:rFonts w:hint="eastAsia" w:asciiTheme="minorEastAsia" w:hAnsiTheme="minorEastAsia" w:eastAsiaTheme="minorEastAsia" w:cstheme="minorEastAsia"/>
                <w:sz w:val="21"/>
                <w:szCs w:val="21"/>
              </w:rPr>
            </w:pPr>
          </w:p>
        </w:tc>
        <w:tc>
          <w:tcPr>
            <w:tcW w:w="1446" w:type="dxa"/>
            <w:vMerge w:val="continue"/>
            <w:vAlign w:val="center"/>
          </w:tcPr>
          <w:p w14:paraId="30259098">
            <w:pPr>
              <w:adjustRightInd w:val="0"/>
              <w:snapToGrid w:val="0"/>
              <w:spacing w:line="320" w:lineRule="exact"/>
              <w:jc w:val="left"/>
              <w:rPr>
                <w:rFonts w:hint="eastAsia" w:asciiTheme="minorEastAsia" w:hAnsiTheme="minorEastAsia" w:eastAsiaTheme="minorEastAsia" w:cstheme="minorEastAsia"/>
                <w:sz w:val="21"/>
                <w:szCs w:val="21"/>
              </w:rPr>
            </w:pPr>
          </w:p>
        </w:tc>
        <w:tc>
          <w:tcPr>
            <w:tcW w:w="6292" w:type="dxa"/>
            <w:vAlign w:val="center"/>
          </w:tcPr>
          <w:p w14:paraId="6CFBE4D9">
            <w:pPr>
              <w:adjustRightInd w:val="0"/>
              <w:snapToGri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组织对生态用地变化线索开展实地核查，提升生态保护精细化水平。</w:t>
            </w:r>
          </w:p>
        </w:tc>
        <w:tc>
          <w:tcPr>
            <w:tcW w:w="1319" w:type="dxa"/>
            <w:vAlign w:val="center"/>
          </w:tcPr>
          <w:p w14:paraId="5E7D7AD8">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4D4C9E65">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区生态环境局</w:t>
            </w:r>
          </w:p>
        </w:tc>
        <w:tc>
          <w:tcPr>
            <w:tcW w:w="2278" w:type="dxa"/>
            <w:vAlign w:val="center"/>
          </w:tcPr>
          <w:p w14:paraId="42CB7A3B">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市规划自然资源委大兴分局</w:t>
            </w:r>
          </w:p>
          <w:p w14:paraId="6132BC1D">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区园林绿化局</w:t>
            </w:r>
          </w:p>
          <w:p w14:paraId="44A7F0C1">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区水务局</w:t>
            </w:r>
          </w:p>
          <w:p w14:paraId="11DF391E">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各镇人民政府</w:t>
            </w:r>
          </w:p>
          <w:p w14:paraId="2481F597">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各街道办事处</w:t>
            </w:r>
          </w:p>
        </w:tc>
      </w:tr>
      <w:tr w14:paraId="1F3F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561" w:type="dxa"/>
            <w:vMerge w:val="restart"/>
            <w:vAlign w:val="center"/>
          </w:tcPr>
          <w:p w14:paraId="746B1D80">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p w14:paraId="6454008A">
            <w:pPr>
              <w:adjustRightInd w:val="0"/>
              <w:snapToGrid w:val="0"/>
              <w:spacing w:line="320" w:lineRule="exact"/>
              <w:jc w:val="center"/>
              <w:rPr>
                <w:rFonts w:hint="eastAsia" w:asciiTheme="minorEastAsia" w:hAnsiTheme="minorEastAsia" w:eastAsiaTheme="minorEastAsia" w:cstheme="minorEastAsia"/>
                <w:sz w:val="21"/>
                <w:szCs w:val="21"/>
              </w:rPr>
            </w:pPr>
          </w:p>
        </w:tc>
        <w:tc>
          <w:tcPr>
            <w:tcW w:w="1446" w:type="dxa"/>
            <w:vMerge w:val="restart"/>
            <w:vAlign w:val="center"/>
          </w:tcPr>
          <w:p w14:paraId="7616134E">
            <w:pPr>
              <w:adjustRightInd w:val="0"/>
              <w:snapToGrid w:val="0"/>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w:t>
            </w:r>
            <w:bookmarkStart w:id="0" w:name="lawyee_37028_8"/>
            <w:r>
              <w:rPr>
                <w:rFonts w:hint="eastAsia" w:asciiTheme="minorEastAsia" w:hAnsiTheme="minorEastAsia" w:eastAsiaTheme="minorEastAsia" w:cstheme="minorEastAsia"/>
                <w:sz w:val="21"/>
                <w:szCs w:val="21"/>
              </w:rPr>
              <w:t>展</w:t>
            </w:r>
            <w:r>
              <w:rPr>
                <w:rFonts w:hint="eastAsia" w:asciiTheme="minorEastAsia" w:hAnsiTheme="minorEastAsia" w:eastAsiaTheme="minorEastAsia" w:cstheme="minorEastAsia"/>
                <w:kern w:val="0"/>
                <w:sz w:val="21"/>
                <w:szCs w:val="21"/>
              </w:rPr>
              <w:t>GEP-R</w:t>
            </w:r>
            <w:r>
              <w:rPr>
                <w:rFonts w:hint="eastAsia" w:asciiTheme="minorEastAsia" w:hAnsiTheme="minorEastAsia" w:eastAsiaTheme="minorEastAsia" w:cstheme="minorEastAsia"/>
                <w:sz w:val="21"/>
                <w:szCs w:val="21"/>
              </w:rPr>
              <w:t>核算</w:t>
            </w:r>
            <w:bookmarkEnd w:id="0"/>
            <w:r>
              <w:rPr>
                <w:rFonts w:hint="eastAsia" w:asciiTheme="minorEastAsia" w:hAnsiTheme="minorEastAsia" w:eastAsiaTheme="minorEastAsia" w:cstheme="minorEastAsia"/>
                <w:sz w:val="21"/>
                <w:szCs w:val="21"/>
              </w:rPr>
              <w:t>和应用</w:t>
            </w:r>
          </w:p>
          <w:p w14:paraId="36292C92">
            <w:pPr>
              <w:adjustRightInd w:val="0"/>
              <w:snapToGrid w:val="0"/>
              <w:spacing w:line="320" w:lineRule="exact"/>
              <w:jc w:val="left"/>
              <w:rPr>
                <w:rFonts w:hint="eastAsia" w:asciiTheme="minorEastAsia" w:hAnsiTheme="minorEastAsia" w:eastAsiaTheme="minorEastAsia" w:cstheme="minorEastAsia"/>
                <w:sz w:val="21"/>
                <w:szCs w:val="21"/>
              </w:rPr>
            </w:pPr>
          </w:p>
        </w:tc>
        <w:tc>
          <w:tcPr>
            <w:tcW w:w="6292" w:type="dxa"/>
            <w:vAlign w:val="center"/>
          </w:tcPr>
          <w:p w14:paraId="14B84D41">
            <w:pPr>
              <w:adjustRightInd w:val="0"/>
              <w:snapToGrid w:val="0"/>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以GEP-R不降低为底线，稳步推进GEP-R核算结果在横向交换补偿中的应用，实现保护同责，发展共享。</w:t>
            </w:r>
          </w:p>
        </w:tc>
        <w:tc>
          <w:tcPr>
            <w:tcW w:w="1319" w:type="dxa"/>
            <w:vAlign w:val="center"/>
          </w:tcPr>
          <w:p w14:paraId="381DFBBA">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121BB8F0">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区发展改革委</w:t>
            </w:r>
          </w:p>
        </w:tc>
        <w:tc>
          <w:tcPr>
            <w:tcW w:w="2278" w:type="dxa"/>
            <w:vAlign w:val="center"/>
          </w:tcPr>
          <w:p w14:paraId="3B92CD85">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区生态环境局</w:t>
            </w:r>
          </w:p>
          <w:p w14:paraId="5A982228">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各镇人民政府</w:t>
            </w:r>
          </w:p>
          <w:p w14:paraId="2E352147">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各街道办事处</w:t>
            </w:r>
          </w:p>
        </w:tc>
      </w:tr>
      <w:tr w14:paraId="0B3A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5" w:hRule="atLeast"/>
          <w:jc w:val="center"/>
        </w:trPr>
        <w:tc>
          <w:tcPr>
            <w:tcW w:w="561" w:type="dxa"/>
            <w:vMerge w:val="continue"/>
            <w:vAlign w:val="center"/>
          </w:tcPr>
          <w:p w14:paraId="521C002A">
            <w:pPr>
              <w:adjustRightInd w:val="0"/>
              <w:snapToGrid w:val="0"/>
              <w:spacing w:line="320" w:lineRule="exact"/>
              <w:jc w:val="center"/>
              <w:rPr>
                <w:rFonts w:hint="eastAsia" w:asciiTheme="minorEastAsia" w:hAnsiTheme="minorEastAsia" w:eastAsiaTheme="minorEastAsia" w:cstheme="minorEastAsia"/>
                <w:sz w:val="21"/>
                <w:szCs w:val="21"/>
              </w:rPr>
            </w:pPr>
          </w:p>
        </w:tc>
        <w:tc>
          <w:tcPr>
            <w:tcW w:w="1446" w:type="dxa"/>
            <w:vMerge w:val="continue"/>
            <w:vAlign w:val="center"/>
          </w:tcPr>
          <w:p w14:paraId="15B85011">
            <w:pPr>
              <w:adjustRightInd w:val="0"/>
              <w:snapToGrid w:val="0"/>
              <w:spacing w:line="320" w:lineRule="exact"/>
              <w:jc w:val="left"/>
              <w:rPr>
                <w:rFonts w:hint="eastAsia" w:asciiTheme="minorEastAsia" w:hAnsiTheme="minorEastAsia" w:eastAsiaTheme="minorEastAsia" w:cstheme="minorEastAsia"/>
                <w:sz w:val="21"/>
                <w:szCs w:val="21"/>
              </w:rPr>
            </w:pPr>
          </w:p>
        </w:tc>
        <w:tc>
          <w:tcPr>
            <w:tcW w:w="6292" w:type="dxa"/>
            <w:vAlign w:val="center"/>
          </w:tcPr>
          <w:p w14:paraId="7D657F59">
            <w:pPr>
              <w:adjustRightInd w:val="0"/>
              <w:snapToGrid w:val="0"/>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配合市级部门做好我区年度GEP-R核算工作，探索提升我区GEP-R路径。</w:t>
            </w:r>
          </w:p>
        </w:tc>
        <w:tc>
          <w:tcPr>
            <w:tcW w:w="1319" w:type="dxa"/>
            <w:vAlign w:val="center"/>
          </w:tcPr>
          <w:p w14:paraId="06EF33D9">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5EF152D1">
            <w:pPr>
              <w:autoSpaceDE w:val="0"/>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区生态环境局</w:t>
            </w:r>
          </w:p>
        </w:tc>
        <w:tc>
          <w:tcPr>
            <w:tcW w:w="2278" w:type="dxa"/>
            <w:vAlign w:val="center"/>
          </w:tcPr>
          <w:p w14:paraId="50ACBB47">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区发展改革委</w:t>
            </w:r>
          </w:p>
          <w:p w14:paraId="3BB00743">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市规划自然资源委大兴分局</w:t>
            </w:r>
          </w:p>
          <w:p w14:paraId="5D2A3716">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区水务局</w:t>
            </w:r>
          </w:p>
          <w:p w14:paraId="4817BB3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区农业农村局</w:t>
            </w:r>
          </w:p>
          <w:p w14:paraId="328EBA3B">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区园林绿化局</w:t>
            </w:r>
          </w:p>
          <w:p w14:paraId="41977D3C">
            <w:pPr>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区统计局</w:t>
            </w:r>
          </w:p>
          <w:p w14:paraId="6463233A">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区气象局</w:t>
            </w:r>
          </w:p>
          <w:p w14:paraId="0AB75B71">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各镇人民政府</w:t>
            </w:r>
          </w:p>
          <w:p w14:paraId="29611479">
            <w:pPr>
              <w:autoSpaceDE w:val="0"/>
              <w:snapToGrid w:val="0"/>
              <w:spacing w:line="320" w:lineRule="exact"/>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各街道办事处</w:t>
            </w:r>
          </w:p>
          <w:p w14:paraId="6B60C033">
            <w:pPr>
              <w:autoSpaceDE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各产业园区管委会</w:t>
            </w:r>
          </w:p>
        </w:tc>
      </w:tr>
      <w:tr w14:paraId="7B67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561" w:type="dxa"/>
            <w:vAlign w:val="center"/>
          </w:tcPr>
          <w:p w14:paraId="3C4A8952">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446" w:type="dxa"/>
            <w:vAlign w:val="center"/>
          </w:tcPr>
          <w:p w14:paraId="12446E4E">
            <w:pPr>
              <w:adjustRightInd w:val="0"/>
              <w:snapToGrid w:val="0"/>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深化生态文明示范创建</w:t>
            </w:r>
          </w:p>
        </w:tc>
        <w:tc>
          <w:tcPr>
            <w:tcW w:w="6292" w:type="dxa"/>
            <w:vAlign w:val="center"/>
          </w:tcPr>
          <w:p w14:paraId="7CA9011A">
            <w:pPr>
              <w:adjustRightInd w:val="0"/>
              <w:snapToGrid w:val="0"/>
              <w:spacing w:line="32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持续推进生态文明示范创建工作，对照建设指标体系，梳理“两山”转化的大兴案例，研究制定大兴区“绿水青山就是金山银山”实践创新基地建设实施方案，培育生态文明建设大兴新样板。</w:t>
            </w:r>
          </w:p>
        </w:tc>
        <w:tc>
          <w:tcPr>
            <w:tcW w:w="1319" w:type="dxa"/>
            <w:vAlign w:val="center"/>
          </w:tcPr>
          <w:p w14:paraId="0A767E3A">
            <w:pPr>
              <w:adjustRightInd w:val="0"/>
              <w:snapToGrid w:val="0"/>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年底前</w:t>
            </w:r>
          </w:p>
        </w:tc>
        <w:tc>
          <w:tcPr>
            <w:tcW w:w="2277" w:type="dxa"/>
            <w:vAlign w:val="center"/>
          </w:tcPr>
          <w:p w14:paraId="7FD68E52">
            <w:pPr>
              <w:autoSpaceDE w:val="0"/>
              <w:snapToGrid w:val="0"/>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区生态环境局</w:t>
            </w:r>
            <w:bookmarkStart w:id="1" w:name="_GoBack"/>
            <w:bookmarkEnd w:id="1"/>
          </w:p>
        </w:tc>
        <w:tc>
          <w:tcPr>
            <w:tcW w:w="2278" w:type="dxa"/>
            <w:vAlign w:val="center"/>
          </w:tcPr>
          <w:p w14:paraId="63D65396">
            <w:pPr>
              <w:autoSpaceDE w:val="0"/>
              <w:snapToGrid w:val="0"/>
              <w:spacing w:line="320" w:lineRule="exact"/>
              <w:jc w:val="center"/>
              <w:rPr>
                <w:rFonts w:hint="eastAsia" w:asciiTheme="minorEastAsia" w:hAnsiTheme="minorEastAsia" w:eastAsiaTheme="minorEastAsia" w:cstheme="minorEastAsia"/>
                <w:spacing w:val="-26"/>
                <w:sz w:val="21"/>
                <w:szCs w:val="21"/>
              </w:rPr>
            </w:pPr>
            <w:r>
              <w:rPr>
                <w:rFonts w:hint="eastAsia" w:asciiTheme="minorEastAsia" w:hAnsiTheme="minorEastAsia" w:eastAsiaTheme="minorEastAsia" w:cstheme="minorEastAsia"/>
                <w:spacing w:val="-26"/>
                <w:sz w:val="21"/>
                <w:szCs w:val="21"/>
              </w:rPr>
              <w:t>——</w:t>
            </w:r>
          </w:p>
        </w:tc>
      </w:tr>
    </w:tbl>
    <w:p w14:paraId="1CDE41BC"/>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AB7E0">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C7BCBF7">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GqFah3pAQAA&#10;ygMAAA4AAAAAAAAAAQAgAAAAHgEAAGRycy9lMm9Eb2MueG1sUEsFBgAAAAAGAAYAWQEAAHkFAAAA&#10;AA==&#10;">
              <v:fill on="f" focussize="0,0"/>
              <v:stroke on="f"/>
              <v:imagedata o:title=""/>
              <o:lock v:ext="edit" aspectratio="f"/>
              <v:textbox inset="0mm,0mm,0mm,0mm" style="mso-fit-shape-to-text:t;">
                <w:txbxContent>
                  <w:p w14:paraId="3C7BCBF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zUwYmM2ZDhkZGFkMGFlYjkzM2ZjZGQ2NzQ5M2UifQ=="/>
  </w:docVars>
  <w:rsids>
    <w:rsidRoot w:val="79D6508F"/>
    <w:rsid w:val="016964AB"/>
    <w:rsid w:val="08633FCF"/>
    <w:rsid w:val="222F0168"/>
    <w:rsid w:val="227E3026"/>
    <w:rsid w:val="39B51BBA"/>
    <w:rsid w:val="5D0C7F6D"/>
    <w:rsid w:val="79D6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00" w:lineRule="atLeast"/>
      <w:jc w:val="center"/>
    </w:pPr>
    <w:rPr>
      <w:rFonts w:ascii="Times New Roman" w:hAnsi="Times New Roman" w:eastAsia="宋体" w:cs="Times New Roman"/>
      <w:color w:val="000000"/>
      <w:kern w:val="2"/>
      <w:sz w:val="44"/>
      <w:lang w:val="en-US" w:eastAsia="zh-CN" w:bidi="ar-SA"/>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Body Text Indent"/>
    <w:basedOn w:val="1"/>
    <w:unhideWhenUsed/>
    <w:qFormat/>
    <w:uiPriority w:val="99"/>
    <w:pPr>
      <w:spacing w:after="120"/>
      <w:ind w:left="420" w:leftChars="200"/>
    </w:pPr>
  </w:style>
  <w:style w:type="paragraph" w:styleId="5">
    <w:name w:val="toc 3"/>
    <w:basedOn w:val="1"/>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7">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index 9"/>
    <w:basedOn w:val="1"/>
    <w:next w:val="1"/>
    <w:uiPriority w:val="0"/>
    <w:pPr>
      <w:ind w:left="1600" w:leftChars="1600"/>
    </w:pPr>
  </w:style>
  <w:style w:type="paragraph" w:styleId="9">
    <w:name w:val="Normal (Web)"/>
    <w:basedOn w:val="1"/>
    <w:qFormat/>
    <w:uiPriority w:val="0"/>
    <w:rPr>
      <w:sz w:val="24"/>
    </w:rPr>
  </w:style>
  <w:style w:type="paragraph" w:styleId="10">
    <w:name w:val="Body Text First Indent 2"/>
    <w:basedOn w:val="4"/>
    <w:next w:val="2"/>
    <w:qFormat/>
    <w:uiPriority w:val="0"/>
    <w:pPr>
      <w:widowControl w:val="0"/>
      <w:spacing w:after="120" w:line="560" w:lineRule="exact"/>
      <w:ind w:firstLine="420" w:firstLineChars="200"/>
      <w:jc w:val="both"/>
    </w:pPr>
    <w:rPr>
      <w:rFonts w:ascii="Times New Roman" w:hAnsi="Times New Roman" w:eastAsia="宋体" w:cs="Times New Roman"/>
      <w:kern w:val="2"/>
      <w:sz w:val="21"/>
      <w:szCs w:val="32"/>
      <w:lang w:val="en-US" w:eastAsia="zh-CN" w:bidi="ar-SA"/>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2058</Words>
  <Characters>2096</Characters>
  <Lines>0</Lines>
  <Paragraphs>0</Paragraphs>
  <TotalTime>2</TotalTime>
  <ScaleCrop>false</ScaleCrop>
  <LinksUpToDate>false</LinksUpToDate>
  <CharactersWithSpaces>2096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2025-01-13T01:20:00Z</dcterms:created>
  <dc:creator>刘灿灿</dc:creator>
  <cp:lastModifiedBy>刘灿灿</cp:lastModifiedBy>
  <dcterms:modified xsi:type="dcterms:W3CDTF">2025-01-13T03:23:10Z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4701E93433074D04A6225288A5001EFD_13</vt:lpwstr>
  </property>
</Properties>
</file>