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N/>
        <w:bidi w:val="0"/>
        <w:snapToGrid w:val="0"/>
        <w:spacing w:line="240" w:lineRule="auto"/>
        <w:rPr>
          <w:rFonts w:hint="eastAsia" w:ascii="黑体" w:hAnsi="黑体" w:eastAsia="黑体" w:cs="黑体"/>
          <w:spacing w:val="0"/>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大兴区碧水保卫战2025年行动计划</w:t>
      </w:r>
      <w:r>
        <w:rPr>
          <w:rFonts w:hint="eastAsia" w:ascii="方正小标宋简体" w:hAnsi="方正小标宋简体" w:eastAsia="方正小标宋简体" w:cs="方正小标宋简体"/>
          <w:sz w:val="44"/>
          <w:szCs w:val="44"/>
        </w:rPr>
        <w:t>（征求意见稿）</w:t>
      </w:r>
    </w:p>
    <w:tbl>
      <w:tblPr>
        <w:tblStyle w:val="8"/>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463"/>
        <w:gridCol w:w="6296"/>
        <w:gridCol w:w="1238"/>
        <w:gridCol w:w="2306"/>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cs="黑体"/>
                <w:szCs w:val="21"/>
              </w:rPr>
            </w:pPr>
            <w:r>
              <w:rPr>
                <w:rFonts w:hint="eastAsia" w:ascii="黑体" w:hAnsi="黑体" w:eastAsia="黑体" w:cs="黑体"/>
                <w:szCs w:val="21"/>
              </w:rPr>
              <w:t>序号</w:t>
            </w:r>
          </w:p>
        </w:tc>
        <w:tc>
          <w:tcPr>
            <w:tcW w:w="146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黑体" w:hAnsi="黑体" w:eastAsia="黑体" w:cs="黑体"/>
                <w:szCs w:val="21"/>
              </w:rPr>
            </w:pPr>
            <w:r>
              <w:rPr>
                <w:rFonts w:hint="eastAsia" w:ascii="黑体" w:hAnsi="黑体" w:eastAsia="黑体" w:cs="黑体"/>
                <w:szCs w:val="21"/>
              </w:rPr>
              <w:t>重点任务</w:t>
            </w: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黑体" w:hAnsi="黑体" w:eastAsia="黑体" w:cs="黑体"/>
                <w:szCs w:val="21"/>
              </w:rPr>
            </w:pPr>
            <w:r>
              <w:rPr>
                <w:rFonts w:hint="eastAsia" w:ascii="黑体" w:hAnsi="黑体" w:eastAsia="黑体" w:cs="黑体"/>
                <w:szCs w:val="21"/>
              </w:rPr>
              <w:t>工作措施</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黑体" w:hAnsi="黑体" w:eastAsia="黑体" w:cs="黑体"/>
                <w:szCs w:val="21"/>
              </w:rPr>
            </w:pPr>
            <w:r>
              <w:rPr>
                <w:rFonts w:hint="eastAsia" w:ascii="黑体" w:hAnsi="黑体" w:eastAsia="黑体" w:cs="黑体"/>
                <w:szCs w:val="21"/>
              </w:rPr>
              <w:t>完成时限</w:t>
            </w:r>
          </w:p>
        </w:tc>
        <w:tc>
          <w:tcPr>
            <w:tcW w:w="23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黑体" w:hAnsi="黑体" w:eastAsia="黑体" w:cs="黑体"/>
                <w:szCs w:val="21"/>
              </w:rPr>
            </w:pPr>
            <w:r>
              <w:rPr>
                <w:rFonts w:hint="eastAsia" w:ascii="黑体" w:hAnsi="黑体" w:eastAsia="黑体" w:cs="黑体"/>
                <w:szCs w:val="21"/>
              </w:rPr>
              <w:t>牵头单位</w:t>
            </w:r>
          </w:p>
        </w:tc>
        <w:tc>
          <w:tcPr>
            <w:tcW w:w="241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黑体" w:hAnsi="黑体" w:eastAsia="黑体" w:cs="黑体"/>
                <w:szCs w:val="21"/>
              </w:rPr>
            </w:pPr>
            <w:r>
              <w:rPr>
                <w:rFonts w:hint="eastAsia" w:ascii="黑体" w:hAnsi="黑体" w:eastAsia="黑体" w:cs="黑体"/>
                <w:szCs w:val="21"/>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17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cs="黑体"/>
                <w:szCs w:val="21"/>
              </w:rPr>
            </w:pPr>
            <w:r>
              <w:rPr>
                <w:rFonts w:hint="eastAsia" w:ascii="黑体" w:hAnsi="黑体" w:eastAsia="黑体" w:cs="黑体"/>
                <w:szCs w:val="21"/>
              </w:rPr>
              <w:t>一、水环境质量目标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453"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463" w:type="dxa"/>
            <w:tcBorders>
              <w:top w:val="single" w:color="auto" w:sz="4" w:space="0"/>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目标任务</w:t>
            </w: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巩固水生态环境质量改善成效，地表水国家和市级考核断面水质达到市级的目标要求。区级集中式饮用水水源地水质保持稳定达标。地下水水质总体保持稳定。</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年底前</w:t>
            </w:r>
          </w:p>
        </w:tc>
        <w:tc>
          <w:tcPr>
            <w:tcW w:w="23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区生态环境局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区水务局</w:t>
            </w:r>
          </w:p>
        </w:tc>
        <w:tc>
          <w:tcPr>
            <w:tcW w:w="241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区农业农村局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各镇人民政府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各街道办事处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46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深入实施总量减排</w:t>
            </w: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实现主要水污染物排放总量持续下降，完成化学需氧量(COD)累计减排量4775吨、氨氮(NH3-N)累计减排量575吨目标要求（指2021年至2025年累计减排量）。</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年底前</w:t>
            </w:r>
          </w:p>
        </w:tc>
        <w:tc>
          <w:tcPr>
            <w:tcW w:w="23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rPr>
            </w:pPr>
            <w:r>
              <w:rPr>
                <w:rFonts w:hint="eastAsia" w:asciiTheme="minorEastAsia" w:hAnsiTheme="minorEastAsia" w:eastAsiaTheme="minorEastAsia" w:cstheme="minorEastAsia"/>
                <w:sz w:val="21"/>
                <w:szCs w:val="21"/>
                <w:lang w:val="en-US" w:eastAsia="zh-CN"/>
              </w:rPr>
              <w:t>区生态环境局</w:t>
            </w:r>
          </w:p>
        </w:tc>
        <w:tc>
          <w:tcPr>
            <w:tcW w:w="241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区水务局</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相关镇人民政府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相关街道办事处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相关产业园区管委会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17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szCs w:val="21"/>
                <w:lang w:val="en-US" w:eastAsia="zh-CN"/>
              </w:rPr>
            </w:pPr>
            <w:r>
              <w:rPr>
                <w:rFonts w:hint="eastAsia" w:ascii="黑体" w:hAnsi="黑体" w:eastAsia="黑体" w:cs="黑体"/>
                <w:szCs w:val="21"/>
                <w:lang w:val="en-US" w:eastAsia="zh-CN"/>
              </w:rPr>
              <w:t>二、水资源保护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45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463" w:type="dxa"/>
            <w:vMerge w:val="restart"/>
            <w:tcBorders>
              <w:top w:val="single" w:color="auto" w:sz="4" w:space="0"/>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加强饮用水保护</w:t>
            </w: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落实《北京市大兴区推进供水高质量发展三年行动方案（2023年—2025年）》任务要求，水务部门结合饮用水供水设施建设进展和水源地布局调整，动态更新大兴区饮用水水源地名录及取水井、取水量、供水人口等数据并与生态环境部门共享。加强饮用水供水厂站水源水和出厂水水质检测；对水质不达标的饮用水水源，采取水源置换、集中供水、深度处理等措施确保饮用水安全。加强农村水源保护巡查，确保水源井周边30米范围内无污水、无垃圾、无渗厕、无养殖场等污染源。</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长期实施</w:t>
            </w:r>
          </w:p>
        </w:tc>
        <w:tc>
          <w:tcPr>
            <w:tcW w:w="23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区水务局</w:t>
            </w:r>
          </w:p>
        </w:tc>
        <w:tc>
          <w:tcPr>
            <w:tcW w:w="241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区生态环境局</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相关镇人民政府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结合大兴区饮用水水源地名录及区域规划，统筹实施辖区集中式水源地饮用水水源保护区划定调整和分散式水源地饮用水水源保护范围划定，推进完善全覆盖的饮用水水源地保护管理体系。2025年底前完成名录内所有集中式水源地保护区和分散式水源地保护范围划定。</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长期实施</w:t>
            </w:r>
          </w:p>
        </w:tc>
        <w:tc>
          <w:tcPr>
            <w:tcW w:w="23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区生态环境局</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区水务局</w:t>
            </w:r>
          </w:p>
        </w:tc>
        <w:tc>
          <w:tcPr>
            <w:tcW w:w="241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相关镇人民政府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开展全区饮用水水源地环境状况年度调查评估，按国家要求完成系统填报，年底前提交评估报告至市生态环境部门和市水务部门，实现水源地“一源一档”动态管理。</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年底前</w:t>
            </w:r>
          </w:p>
        </w:tc>
        <w:tc>
          <w:tcPr>
            <w:tcW w:w="23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val="en-US" w:eastAsia="zh-CN"/>
              </w:rPr>
              <w:t>区生态环境局</w:t>
            </w:r>
          </w:p>
        </w:tc>
        <w:tc>
          <w:tcPr>
            <w:tcW w:w="241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区水务局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相关镇人民政府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开展水源地专项执法和日常监管，加强“三监联动”，动态清理整治水源保护区内影响水源安全的排污口、垃圾堆放等环境问题。对新划定、调整或受水毁影响的水源保护区(水源井)完善封闭隔离设施和标志标识牌。加强饮用水水源地风险防范和应急管理。</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长期实施</w:t>
            </w:r>
          </w:p>
        </w:tc>
        <w:tc>
          <w:tcPr>
            <w:tcW w:w="23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区生态环境局</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区城管执法局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区水务局</w:t>
            </w:r>
          </w:p>
        </w:tc>
        <w:tc>
          <w:tcPr>
            <w:tcW w:w="241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相关镇人民政府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5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加强饮用水水质监测评价，定期向社会公开区级、镇级饮用水安全状况信息，推进村级饮用水安全状况信息公开。</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长期实施</w:t>
            </w:r>
          </w:p>
        </w:tc>
        <w:tc>
          <w:tcPr>
            <w:tcW w:w="23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区生态环境局</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区水务局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区卫生健康委</w:t>
            </w:r>
          </w:p>
        </w:tc>
        <w:tc>
          <w:tcPr>
            <w:tcW w:w="241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相关镇人民政府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45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463" w:type="dxa"/>
            <w:vMerge w:val="restart"/>
            <w:tcBorders>
              <w:top w:val="single" w:color="auto" w:sz="4" w:space="0"/>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加强地下水保护</w:t>
            </w: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落实辖区地下水水质保持方案，确保地下水水质保持稳定。对大兴区地下水水质保持方案中13处地下水重点监测点位开展丰、枯水期监测。</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长期实施</w:t>
            </w:r>
          </w:p>
        </w:tc>
        <w:tc>
          <w:tcPr>
            <w:tcW w:w="23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val="en-US" w:eastAsia="zh-CN"/>
              </w:rPr>
              <w:t>区生态环境局</w:t>
            </w:r>
          </w:p>
        </w:tc>
        <w:tc>
          <w:tcPr>
            <w:tcW w:w="241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区水务局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市规划自然资源委大兴分局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相关镇人民政府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相关街道办事处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相关产业园区管委会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推进地下水超采治理，落实《北京市大兴区地下水超采综合治理工作方案(2023年-2025年)》，2025年地下水年开采量力争降至1.75亿立方米左右。</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长期实施</w:t>
            </w:r>
          </w:p>
        </w:tc>
        <w:tc>
          <w:tcPr>
            <w:tcW w:w="23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区水务局</w:t>
            </w:r>
          </w:p>
        </w:tc>
        <w:tc>
          <w:tcPr>
            <w:tcW w:w="241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区财政局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区发展改革委</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区农业农村局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各镇人民政府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各街道办事处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45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配合市级部门落实地下水污染风险源分类分级管控要求，完成地下水风险源信息调查。</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年底前</w:t>
            </w:r>
          </w:p>
        </w:tc>
        <w:tc>
          <w:tcPr>
            <w:tcW w:w="23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1"/>
                <w:szCs w:val="21"/>
                <w:lang w:val="en-US" w:eastAsia="zh-CN"/>
              </w:rPr>
              <w:t>区生态环境局</w:t>
            </w:r>
          </w:p>
        </w:tc>
        <w:tc>
          <w:tcPr>
            <w:tcW w:w="241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相关镇人民政府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相关街道办事处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相关产业园区管委会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45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w:t>
            </w:r>
          </w:p>
        </w:tc>
        <w:tc>
          <w:tcPr>
            <w:tcW w:w="1463" w:type="dxa"/>
            <w:vMerge w:val="restart"/>
            <w:tcBorders>
              <w:top w:val="single" w:color="auto" w:sz="4" w:space="0"/>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节水型社会建设</w:t>
            </w: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持续推进节水型社会建设，全区生产生活用水总量及单位地区生产总值水耗达到XX立方米/万元以内。</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年底前</w:t>
            </w:r>
          </w:p>
        </w:tc>
        <w:tc>
          <w:tcPr>
            <w:tcW w:w="2306" w:type="dxa"/>
            <w:tcBorders>
              <w:top w:val="single" w:color="auto" w:sz="4" w:space="0"/>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区水务局</w:t>
            </w:r>
          </w:p>
        </w:tc>
        <w:tc>
          <w:tcPr>
            <w:tcW w:w="2417" w:type="dxa"/>
            <w:tcBorders>
              <w:top w:val="single" w:color="auto" w:sz="4" w:space="0"/>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各镇人民政府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各街道办事处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健全供水管网漏损管控体系，推进供水管网漏损治理和老旧更新改造工程，城镇供水管网漏损率力争降至X%。</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年底前</w:t>
            </w:r>
          </w:p>
        </w:tc>
        <w:tc>
          <w:tcPr>
            <w:tcW w:w="2306" w:type="dxa"/>
            <w:tcBorders>
              <w:top w:val="single" w:color="auto" w:sz="4" w:space="0"/>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区水务局</w:t>
            </w:r>
          </w:p>
        </w:tc>
        <w:tc>
          <w:tcPr>
            <w:tcW w:w="2417" w:type="dxa"/>
            <w:tcBorders>
              <w:top w:val="single" w:color="auto" w:sz="4" w:space="0"/>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各镇人民政府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各街道办事处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417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zCs w:val="21"/>
              </w:rPr>
            </w:pPr>
            <w:r>
              <w:rPr>
                <w:rFonts w:hint="eastAsia" w:ascii="黑体" w:hAnsi="黑体" w:eastAsia="黑体" w:cs="黑体"/>
                <w:szCs w:val="21"/>
                <w:lang w:val="en-US" w:eastAsia="zh-CN"/>
              </w:rPr>
              <w:t>三、水环境治理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45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c>
          <w:tcPr>
            <w:tcW w:w="1463" w:type="dxa"/>
            <w:vMerge w:val="restart"/>
            <w:tcBorders>
              <w:top w:val="single" w:color="auto" w:sz="4" w:space="0"/>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强化城乡</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生活污染治理</w:t>
            </w: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完成《北京市大兴区全面打赢城乡水环境治理歼灭战三年行动方案(2023年-2025年)》，实现城镇污水收集处理设施基本全覆盖，全区污水处理率达到96%。</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年底前</w:t>
            </w:r>
          </w:p>
        </w:tc>
        <w:tc>
          <w:tcPr>
            <w:tcW w:w="2306"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区水务局</w:t>
            </w:r>
          </w:p>
        </w:tc>
        <w:tc>
          <w:tcPr>
            <w:tcW w:w="2417"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相关委办局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各镇人民政府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各街道办事处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强化再生水配置利用能力，扩大无水河湖再生水生态补水，新建再生水管线4公里，新增再生水补水能力1000万立方米。</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年底前</w:t>
            </w:r>
          </w:p>
        </w:tc>
        <w:tc>
          <w:tcPr>
            <w:tcW w:w="2306"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区水务局</w:t>
            </w:r>
          </w:p>
        </w:tc>
        <w:tc>
          <w:tcPr>
            <w:tcW w:w="2417"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市规划自然资源委大兴分局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区园林绿化局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区城市管理委</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区环境卫生服务中心</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区园林服务中心</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相关镇人民政府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完成大兴区永兴河第二再生水厂工程。</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年底前</w:t>
            </w:r>
          </w:p>
        </w:tc>
        <w:tc>
          <w:tcPr>
            <w:tcW w:w="2306"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区水务局</w:t>
            </w:r>
          </w:p>
        </w:tc>
        <w:tc>
          <w:tcPr>
            <w:tcW w:w="2417"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大兴生物医药基地管委会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持续对庞各庄污水处理厂进水BOD5浓度低于100毫克/升的情况进行排查，实施系统化整治，提升污水收集效能。巩固治理成效，确保已完成整治的黄村再生水厂进水BOD5平均浓度保持100毫克/升以上。</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长期实施</w:t>
            </w:r>
          </w:p>
        </w:tc>
        <w:tc>
          <w:tcPr>
            <w:tcW w:w="2306"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区水务局</w:t>
            </w:r>
          </w:p>
        </w:tc>
        <w:tc>
          <w:tcPr>
            <w:tcW w:w="2417"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庞各庄镇人民政府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黄村镇人民政府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补齐农村地区水环境治理短板，因地制宜采取工程和生态措施推进农村生活污水治理，完成XX个适宜“管网+厂站”模式的村庄生活污水治理。</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年底前</w:t>
            </w:r>
          </w:p>
        </w:tc>
        <w:tc>
          <w:tcPr>
            <w:tcW w:w="2306"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区水务局</w:t>
            </w:r>
          </w:p>
        </w:tc>
        <w:tc>
          <w:tcPr>
            <w:tcW w:w="2417"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市规划自然资源委大兴分局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区发展改革委</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组织开展现有农村污水处理设施运行情况调查评估，持续更新完善农村生活污水处理设施运行台账。加强农村生活污水处理设施运行监督管理，对运行不正常的设施随发现随督促整改。</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年底前</w:t>
            </w:r>
          </w:p>
        </w:tc>
        <w:tc>
          <w:tcPr>
            <w:tcW w:w="2306"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区水务局</w:t>
            </w:r>
          </w:p>
        </w:tc>
        <w:tc>
          <w:tcPr>
            <w:tcW w:w="2417"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区生态环境局</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区农业农村局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相关镇人民政府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5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因地制宜推广小微湿地治理农村生活污水模式，加快推进榆垡镇农村污水生态治理工程建设，确保年内完工并投入使用，解决农村生活污水末端处理问题。</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年底前</w:t>
            </w:r>
          </w:p>
        </w:tc>
        <w:tc>
          <w:tcPr>
            <w:tcW w:w="2306"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榆垡镇人民政府</w:t>
            </w:r>
          </w:p>
        </w:tc>
        <w:tc>
          <w:tcPr>
            <w:tcW w:w="2417"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区生态环境局</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区水务局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区发展改革委</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区农业农村局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市规划自然资源委大兴分局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5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463" w:type="dxa"/>
            <w:vMerge w:val="restart"/>
            <w:tcBorders>
              <w:top w:val="single" w:color="auto" w:sz="4" w:space="0"/>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加强工业污染防治</w:t>
            </w: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加大工业污染防治力度，通过排污许可管理、重点排污单位管理等措施加强工业园区污水处理设施监管，推动工业园区产生的污水全收集全处理并达标排放，强化工业园区污水集中处理设施自动在线监控。</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长期实施</w:t>
            </w:r>
          </w:p>
        </w:tc>
        <w:tc>
          <w:tcPr>
            <w:tcW w:w="2306"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区经济和信息化局</w:t>
            </w:r>
          </w:p>
          <w:p>
            <w:pPr>
              <w:adjustRightInd w:val="0"/>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val="en-US" w:eastAsia="zh-CN"/>
              </w:rPr>
              <w:t>区生态环境局</w:t>
            </w:r>
          </w:p>
        </w:tc>
        <w:tc>
          <w:tcPr>
            <w:tcW w:w="2417"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相关镇人民政府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按照生态环境部要求，组织排查整治工业园区污水管网老旧破损、混接错接等情况，建立工业园区污水集中处理设施进水浓度异常等突出问题清单，实施清单管理、动态销号。</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长期实施</w:t>
            </w:r>
          </w:p>
        </w:tc>
        <w:tc>
          <w:tcPr>
            <w:tcW w:w="2306"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区经济和信息化局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区生态环境局</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区水务局</w:t>
            </w:r>
          </w:p>
        </w:tc>
        <w:tc>
          <w:tcPr>
            <w:tcW w:w="2417"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相关镇人民政府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6"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开展排污许可证单位执行报告提交率审核。对2021年以来新核发、重新申请排污许可证以及重点行业排污许可证进行许可证质量、2024年度执行报告全覆盖审核，审核总数不少于持证单位总数的三分之一。2024年度执行报告按时提交率应达到98%以上。</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长期实施</w:t>
            </w:r>
          </w:p>
        </w:tc>
        <w:tc>
          <w:tcPr>
            <w:tcW w:w="2306"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区生态环境局</w:t>
            </w:r>
          </w:p>
          <w:p>
            <w:pPr>
              <w:adjustRightInd w:val="0"/>
              <w:snapToGrid w:val="0"/>
              <w:jc w:val="center"/>
              <w:rPr>
                <w:rFonts w:hint="eastAsia" w:asciiTheme="minorEastAsia" w:hAnsiTheme="minorEastAsia" w:eastAsiaTheme="minorEastAsia" w:cstheme="minorEastAsia"/>
              </w:rPr>
            </w:pPr>
          </w:p>
        </w:tc>
        <w:tc>
          <w:tcPr>
            <w:tcW w:w="2417"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45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463" w:type="dxa"/>
            <w:vMerge w:val="restart"/>
            <w:tcBorders>
              <w:top w:val="single" w:color="auto" w:sz="4" w:space="0"/>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加强入河排污口监管</w:t>
            </w: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按照《入河排污口监督管理办法》以及《北京市加强入河排污口监督管理工作方案》，做好入河排口（含入河排污口）设置审批、登记工作。</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长期实施</w:t>
            </w:r>
          </w:p>
        </w:tc>
        <w:tc>
          <w:tcPr>
            <w:tcW w:w="2306"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区生态环境局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区水务局</w:t>
            </w:r>
          </w:p>
        </w:tc>
        <w:tc>
          <w:tcPr>
            <w:tcW w:w="2417" w:type="dxa"/>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加强入河排污口长效监督管理，每季度对不低于辖区内总数10%的入河排污口开展监督检查，并确保每年度常态有水排污口现场检查、监测全覆盖。巩固排查整治成效，持续实施重点水体监管工作，实现违规排污口动态清零。</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长期实施</w:t>
            </w:r>
          </w:p>
        </w:tc>
        <w:tc>
          <w:tcPr>
            <w:tcW w:w="2306" w:type="dxa"/>
            <w:tcBorders>
              <w:left w:val="nil"/>
              <w:right w:val="single" w:color="auto" w:sz="4" w:space="0"/>
            </w:tcBorders>
            <w:noWrap w:val="0"/>
            <w:vAlign w:val="center"/>
          </w:tcPr>
          <w:p>
            <w:pPr>
              <w:adjustRightInd w:val="0"/>
              <w:snapToGrid w:val="0"/>
              <w:jc w:val="center"/>
              <w:rPr>
                <w:rFonts w:hint="eastAsia"/>
              </w:rPr>
            </w:pPr>
            <w:r>
              <w:rPr>
                <w:rFonts w:hint="eastAsia" w:ascii="宋体" w:hAnsi="宋体" w:eastAsia="宋体" w:cs="宋体"/>
                <w:sz w:val="21"/>
                <w:szCs w:val="21"/>
                <w:lang w:val="en-US" w:eastAsia="zh-CN"/>
              </w:rPr>
              <w:t>区生态环境局</w:t>
            </w:r>
          </w:p>
        </w:tc>
        <w:tc>
          <w:tcPr>
            <w:tcW w:w="2417"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区水务局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区农业农村局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区城市管理委</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区公路分局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各镇人民政府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各街道办事处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按照生态环境部要求，动态更新入河排污口管理台账，持续开展全区入河排污口巡查及溯源工作，加强入河排污口设置审批、登记、排查整治、日常监督检查等信息管理。</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长期实施</w:t>
            </w:r>
          </w:p>
        </w:tc>
        <w:tc>
          <w:tcPr>
            <w:tcW w:w="2306"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区生态环境局</w:t>
            </w:r>
          </w:p>
          <w:p>
            <w:pPr>
              <w:adjustRightInd w:val="0"/>
              <w:snapToGrid w:val="0"/>
              <w:jc w:val="center"/>
              <w:rPr>
                <w:rFonts w:hint="eastAsia"/>
              </w:rPr>
            </w:pPr>
          </w:p>
        </w:tc>
        <w:tc>
          <w:tcPr>
            <w:tcW w:w="2417"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区水务局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区农业农村局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区城市管理委</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区公路分局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各镇人民政府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各街道办事处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45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1463" w:type="dxa"/>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巩固水体整治成效</w:t>
            </w: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发挥“河长制”统筹作用，加强汛期面源污染治理、污水直排混排入河监管、已完成整治的黑臭水体管护、农村小微水体管护等巡查力度，区有关部门依职责加强日常监督检查并做好技术指导工作。</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长期实施</w:t>
            </w:r>
          </w:p>
        </w:tc>
        <w:tc>
          <w:tcPr>
            <w:tcW w:w="2306"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区水务局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区生态环境局</w:t>
            </w:r>
          </w:p>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区农业农村局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区公路分局</w:t>
            </w:r>
          </w:p>
        </w:tc>
        <w:tc>
          <w:tcPr>
            <w:tcW w:w="2417"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各镇人民政府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各街道办事处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lang w:val="en-US" w:eastAsia="zh-CN"/>
              </w:rPr>
            </w:pPr>
          </w:p>
        </w:tc>
        <w:tc>
          <w:tcPr>
            <w:tcW w:w="1463" w:type="dxa"/>
            <w:vMerge w:val="continue"/>
            <w:tcBorders>
              <w:left w:val="nil"/>
              <w:right w:val="single" w:color="auto" w:sz="4" w:space="0"/>
            </w:tcBorders>
            <w:noWrap w:val="0"/>
            <w:vAlign w:val="center"/>
          </w:tcPr>
          <w:p>
            <w:pPr>
              <w:widowControl/>
              <w:adjustRightInd w:val="0"/>
              <w:snapToGrid w:val="0"/>
              <w:jc w:val="center"/>
              <w:rPr>
                <w:rFonts w:hint="eastAsia" w:ascii="宋体" w:hAnsi="宋体" w:eastAsia="宋体" w:cs="宋体"/>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加强对黑臭水体、劣Ⅴ类水体监测巡查，第二、三季度每月开展黑臭水体水质监测，对发现的黑臭等问题，及时开展整改，确保动态清零。</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长期实施</w:t>
            </w:r>
          </w:p>
        </w:tc>
        <w:tc>
          <w:tcPr>
            <w:tcW w:w="2306"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区生态环境局</w:t>
            </w:r>
          </w:p>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区水务局</w:t>
            </w:r>
          </w:p>
        </w:tc>
        <w:tc>
          <w:tcPr>
            <w:tcW w:w="2417"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相关镇人民政府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45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lang w:val="en-US" w:eastAsia="zh-CN"/>
              </w:rPr>
            </w:pPr>
          </w:p>
        </w:tc>
        <w:tc>
          <w:tcPr>
            <w:tcW w:w="1463" w:type="dxa"/>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加强污染减排与生态扩容，防止已销号的劣Ⅴ类水体反弹。推进消除黄村镇小龙河狼各庄断面、北臧村镇永兴河西中堡断面、西红门镇老凤河宏康路断面等镇街评价断面不达标情况。</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年底前</w:t>
            </w:r>
          </w:p>
        </w:tc>
        <w:tc>
          <w:tcPr>
            <w:tcW w:w="2306"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区水务局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区生态环境局</w:t>
            </w:r>
          </w:p>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黄村镇人民政府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北臧村镇人民政府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西红门镇人民政府</w:t>
            </w:r>
          </w:p>
        </w:tc>
        <w:tc>
          <w:tcPr>
            <w:tcW w:w="2417"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区城市管理委</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区公路分局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区农业农村局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相关镇人民政府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相关街道办事处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相关产业园区管委会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45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463"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深化流域生态补偿</w:t>
            </w:r>
          </w:p>
        </w:tc>
        <w:tc>
          <w:tcPr>
            <w:tcW w:w="62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配合实施《北京市水生态区域补偿暂行办法》及《北京市水生态区域补偿金核算细则（试行）》，推进全区水生态环境质量持续改善。</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年底前</w:t>
            </w:r>
          </w:p>
        </w:tc>
        <w:tc>
          <w:tcPr>
            <w:tcW w:w="2306"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区水务局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区生态环境局</w:t>
            </w:r>
          </w:p>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区财政局</w:t>
            </w:r>
          </w:p>
        </w:tc>
        <w:tc>
          <w:tcPr>
            <w:tcW w:w="2417"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相关镇人民政府</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453" w:type="dxa"/>
            <w:vMerge w:val="restart"/>
            <w:tcBorders>
              <w:left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463" w:type="dxa"/>
            <w:vMerge w:val="restart"/>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强化跨部门、跨区域监管执法</w:t>
            </w:r>
          </w:p>
        </w:tc>
        <w:tc>
          <w:tcPr>
            <w:tcW w:w="62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巩固多部门联合执法机制，加大环境执法力度。以水环境问题为导向，开展流域“点穴”执法，重点对饮用水水源地、入河排污口、未纳管企业和农村污水处理设施等开展跨区域专项执法。</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年底前</w:t>
            </w:r>
          </w:p>
        </w:tc>
        <w:tc>
          <w:tcPr>
            <w:tcW w:w="2306"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区生态环境局</w:t>
            </w:r>
          </w:p>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区城管执法局</w:t>
            </w:r>
          </w:p>
        </w:tc>
        <w:tc>
          <w:tcPr>
            <w:tcW w:w="2417"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区农业农村局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区水务局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各镇人民政府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各街道办事处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45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1463" w:type="dxa"/>
            <w:vMerge w:val="continue"/>
            <w:tcBorders>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严厉打击向城市雨水管道排污及倾倒垃圾、向河道倾倒及填埋垃圾等违法行为，切实降低初期雨水污染对河流水质的影响。</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长期实施</w:t>
            </w:r>
          </w:p>
        </w:tc>
        <w:tc>
          <w:tcPr>
            <w:tcW w:w="2306"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区城管执法局</w:t>
            </w:r>
          </w:p>
        </w:tc>
        <w:tc>
          <w:tcPr>
            <w:tcW w:w="2417"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区水务局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区城市管理委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各镇人民政府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各街道办事处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45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463"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落实监督指导</w:t>
            </w:r>
          </w:p>
        </w:tc>
        <w:tc>
          <w:tcPr>
            <w:tcW w:w="62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持续完善水生态环境领域“三监联动”。聚焦饮用水水源地、重点河流、农村污水处理设施、汛期面源污染等重点区域和问题，加强指导帮扶，推动问题整改，促进各镇（街道）有效保障水环境质量。</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长期实施</w:t>
            </w:r>
          </w:p>
        </w:tc>
        <w:tc>
          <w:tcPr>
            <w:tcW w:w="2306" w:type="dxa"/>
            <w:tcBorders>
              <w:left w:val="nil"/>
              <w:right w:val="single" w:color="auto" w:sz="4" w:space="0"/>
            </w:tcBorders>
            <w:noWrap w:val="0"/>
            <w:vAlign w:val="center"/>
          </w:tcPr>
          <w:p>
            <w:pPr>
              <w:adjustRightInd w:val="0"/>
              <w:snapToGrid w:val="0"/>
              <w:jc w:val="center"/>
              <w:rPr>
                <w:rFonts w:hint="eastAsia"/>
              </w:rPr>
            </w:pPr>
            <w:r>
              <w:rPr>
                <w:rFonts w:hint="eastAsia" w:ascii="宋体" w:hAnsi="宋体" w:eastAsia="宋体" w:cs="宋体"/>
                <w:sz w:val="21"/>
                <w:szCs w:val="21"/>
                <w:lang w:val="en-US" w:eastAsia="zh-CN"/>
              </w:rPr>
              <w:t>区生态环境局</w:t>
            </w:r>
          </w:p>
        </w:tc>
        <w:tc>
          <w:tcPr>
            <w:tcW w:w="2417"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各镇人民政府</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各街道办事处</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73" w:type="dxa"/>
            <w:gridSpan w:val="6"/>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s="宋体"/>
                <w:szCs w:val="21"/>
              </w:rPr>
            </w:pPr>
            <w:r>
              <w:rPr>
                <w:rFonts w:hint="eastAsia" w:ascii="黑体" w:hAnsi="黑体" w:eastAsia="黑体" w:cs="黑体"/>
                <w:szCs w:val="21"/>
                <w:lang w:val="en-US" w:eastAsia="zh-CN"/>
              </w:rPr>
              <w:t>四、水生态保护与修复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45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463"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推进美丽河湖保护与建设</w:t>
            </w:r>
          </w:p>
        </w:tc>
        <w:tc>
          <w:tcPr>
            <w:tcW w:w="62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启动美丽河湖保护与建设工作，研究编制辖区重点河流、湖库美丽河湖保护与建设“一河一策”措施方案。</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年底前</w:t>
            </w:r>
          </w:p>
        </w:tc>
        <w:tc>
          <w:tcPr>
            <w:tcW w:w="2306"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区水务局</w:t>
            </w:r>
          </w:p>
        </w:tc>
        <w:tc>
          <w:tcPr>
            <w:tcW w:w="2417"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5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463" w:type="dxa"/>
            <w:vMerge w:val="restart"/>
            <w:tcBorders>
              <w:top w:val="single" w:color="auto" w:sz="4" w:space="0"/>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保障重点河流生态流量</w:t>
            </w:r>
          </w:p>
        </w:tc>
        <w:tc>
          <w:tcPr>
            <w:tcW w:w="62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统筹生活、生产、生态用水配置，加强河湖生态用水保障，鼓励再生水用于河湖生态补水。</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年底前</w:t>
            </w:r>
          </w:p>
        </w:tc>
        <w:tc>
          <w:tcPr>
            <w:tcW w:w="2306"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区水务局</w:t>
            </w:r>
          </w:p>
        </w:tc>
        <w:tc>
          <w:tcPr>
            <w:tcW w:w="2417"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各镇人民政府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各街道办事处</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研究符合美丽河湖保护与建设需求的生态流量，建立生态流量保障清单，并纳入河湖长制统一管理。</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年底前</w:t>
            </w:r>
          </w:p>
        </w:tc>
        <w:tc>
          <w:tcPr>
            <w:tcW w:w="2306"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区水务局</w:t>
            </w:r>
          </w:p>
        </w:tc>
        <w:tc>
          <w:tcPr>
            <w:tcW w:w="2417"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各镇人民政府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45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配合市级部门继续实施永定河流域生态补水，力争永定河全年有水贯通。</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年底前</w:t>
            </w:r>
          </w:p>
        </w:tc>
        <w:tc>
          <w:tcPr>
            <w:tcW w:w="2306"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区水务局</w:t>
            </w:r>
          </w:p>
        </w:tc>
        <w:tc>
          <w:tcPr>
            <w:tcW w:w="2417"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区生态环境局</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相关镇人民政府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45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463" w:type="dxa"/>
            <w:vMerge w:val="restart"/>
            <w:tcBorders>
              <w:top w:val="single" w:color="auto" w:sz="4" w:space="0"/>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提升水生态系统健康</w:t>
            </w:r>
          </w:p>
        </w:tc>
        <w:tc>
          <w:tcPr>
            <w:tcW w:w="62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完成大兴区大龙河（安定段）水生态修复，建设生态缓冲带，提升水体自净能力。加强生态修复效果监测评价。</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年底前</w:t>
            </w:r>
          </w:p>
        </w:tc>
        <w:tc>
          <w:tcPr>
            <w:tcW w:w="2306"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安定镇人民政府</w:t>
            </w:r>
          </w:p>
        </w:tc>
        <w:tc>
          <w:tcPr>
            <w:tcW w:w="2417"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区生态环境局</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配合市级部门推进永定河平原段河道生态修复工作。</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年底前</w:t>
            </w:r>
          </w:p>
        </w:tc>
        <w:tc>
          <w:tcPr>
            <w:tcW w:w="2306"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区水务局</w:t>
            </w:r>
          </w:p>
        </w:tc>
        <w:tc>
          <w:tcPr>
            <w:tcW w:w="2417"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区园林绿化局</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相关镇人民政府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45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1463" w:type="dxa"/>
            <w:vMerge w:val="continue"/>
            <w:tcBorders>
              <w:left w:val="nil"/>
              <w:bottom w:val="single" w:color="auto" w:sz="4" w:space="0"/>
              <w:right w:val="single" w:color="auto" w:sz="4" w:space="0"/>
            </w:tcBorders>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加强水土保护，到2025年底，全区水土保持率保持在100%。</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年底前</w:t>
            </w:r>
          </w:p>
        </w:tc>
        <w:tc>
          <w:tcPr>
            <w:tcW w:w="2306"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区水务局</w:t>
            </w:r>
          </w:p>
        </w:tc>
        <w:tc>
          <w:tcPr>
            <w:tcW w:w="2417"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46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加强生态环境监测</w:t>
            </w:r>
          </w:p>
        </w:tc>
        <w:tc>
          <w:tcPr>
            <w:tcW w:w="62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按照《河流和水库水生态质量监测与评价技术规范》，开展区级水生态环境状况监测评价。</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长期实施</w:t>
            </w:r>
          </w:p>
        </w:tc>
        <w:tc>
          <w:tcPr>
            <w:tcW w:w="2306"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区生态环境局</w:t>
            </w:r>
          </w:p>
        </w:tc>
        <w:tc>
          <w:tcPr>
            <w:tcW w:w="2417"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17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zCs w:val="21"/>
              </w:rPr>
            </w:pPr>
            <w:r>
              <w:rPr>
                <w:rFonts w:hint="eastAsia" w:ascii="黑体" w:hAnsi="黑体" w:eastAsia="黑体" w:cs="黑体"/>
                <w:szCs w:val="21"/>
                <w:lang w:val="en-US" w:eastAsia="zh-CN"/>
              </w:rPr>
              <w:t>五、汛期污染防治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45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17</w:t>
            </w:r>
          </w:p>
        </w:tc>
        <w:tc>
          <w:tcPr>
            <w:tcW w:w="1463" w:type="dxa"/>
            <w:vMerge w:val="restart"/>
            <w:tcBorders>
              <w:top w:val="single" w:color="auto" w:sz="4" w:space="0"/>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加强排查和分析研判</w:t>
            </w: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加强各类风险隐患排查，聚焦重点区域、行业、企业，精准识别影响汛期水质和饮用水安全的主要污染源和各类水环境风险隐患，建立问题清单，推动突出问题整改。</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年底前</w:t>
            </w:r>
          </w:p>
        </w:tc>
        <w:tc>
          <w:tcPr>
            <w:tcW w:w="2306"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区生态环境局</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区水务局</w:t>
            </w:r>
          </w:p>
        </w:tc>
        <w:tc>
          <w:tcPr>
            <w:tcW w:w="2417"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各镇人民政府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各街道办事处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5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1463" w:type="dxa"/>
            <w:vMerge w:val="continue"/>
            <w:tcBorders>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加强汛期分析研判与应急处置，对汛期污染强度高值水体和存在风险隐患的饮用水水源及时预警，开展溯源排查，查清问题症结及原因，制定实施综合整治方案；对水质出现异常波动的，迅速采取有效处置措施。</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年底前</w:t>
            </w:r>
          </w:p>
        </w:tc>
        <w:tc>
          <w:tcPr>
            <w:tcW w:w="2306"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区生态环境局</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区水务局</w:t>
            </w:r>
          </w:p>
        </w:tc>
        <w:tc>
          <w:tcPr>
            <w:tcW w:w="2417"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各镇人民政府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各街道办事处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45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463" w:type="dxa"/>
            <w:vMerge w:val="restart"/>
            <w:tcBorders>
              <w:top w:val="single" w:color="auto" w:sz="4" w:space="0"/>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提高溢流污染控制水平</w:t>
            </w: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开展雨污混接错接巡查整治，督促相关单位对发现的混接错接点位及时处置。</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年底前</w:t>
            </w:r>
          </w:p>
        </w:tc>
        <w:tc>
          <w:tcPr>
            <w:tcW w:w="2306"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区水务局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区公路分局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区城管执法局</w:t>
            </w:r>
          </w:p>
        </w:tc>
        <w:tc>
          <w:tcPr>
            <w:tcW w:w="2417"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各镇人民政府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各街道办事处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53" w:type="dxa"/>
            <w:vMerge w:val="continue"/>
            <w:tcBorders>
              <w:left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1463" w:type="dxa"/>
            <w:vMerge w:val="continue"/>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城镇污水处理厂做好厂站和管网“降位腾容”，降雨前提前加大抽升处理，降低管网液位，实现管网腾容，最大程度减少新城地区污水溢流排河，并排查推动上游汇水范围内雨污合流改造。</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9月底前</w:t>
            </w:r>
          </w:p>
        </w:tc>
        <w:tc>
          <w:tcPr>
            <w:tcW w:w="2306"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区水务局</w:t>
            </w:r>
          </w:p>
        </w:tc>
        <w:tc>
          <w:tcPr>
            <w:tcW w:w="2417" w:type="dxa"/>
            <w:tcBorders>
              <w:left w:val="nil"/>
              <w:right w:val="single" w:color="auto" w:sz="4" w:space="0"/>
            </w:tcBorders>
            <w:noWrap w:val="0"/>
            <w:vAlign w:val="center"/>
          </w:tcPr>
          <w:p>
            <w:pPr>
              <w:adjustRightInd w:val="0"/>
              <w:snapToGrid w:val="0"/>
              <w:jc w:val="center"/>
              <w:rPr>
                <w:rFonts w:hint="eastAsia"/>
              </w:rPr>
            </w:pPr>
            <w:r>
              <w:rPr>
                <w:rFonts w:hint="eastAsia" w:ascii="宋体" w:hAnsi="宋体" w:eastAsia="宋体" w:cs="宋体"/>
                <w:sz w:val="21"/>
                <w:szCs w:val="21"/>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53"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19</w:t>
            </w:r>
          </w:p>
        </w:tc>
        <w:tc>
          <w:tcPr>
            <w:tcW w:w="1463" w:type="dxa"/>
            <w:tcBorders>
              <w:top w:val="single" w:color="auto" w:sz="4" w:space="0"/>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持续开展“清管行动”</w:t>
            </w: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汛期前对雨水管涵、雨污合流管涵、雨水口(雨箅子)等进行全面清掏并加大巡查、清理力度，对马路边沟、无水支流沟渠等关键节点开展垃圾杂物清理。</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9月底前</w:t>
            </w:r>
          </w:p>
        </w:tc>
        <w:tc>
          <w:tcPr>
            <w:tcW w:w="2306"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区水务局</w:t>
            </w:r>
          </w:p>
        </w:tc>
        <w:tc>
          <w:tcPr>
            <w:tcW w:w="2417"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各镇人民政府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各街道办事处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46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强化监督管理</w:t>
            </w:r>
          </w:p>
        </w:tc>
        <w:tc>
          <w:tcPr>
            <w:tcW w:w="629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强化汛期河湖水环境精细化管理，雨前对重点河流等马路边沟、无水支流沟渠等开展垃圾杂物清理，雨后对国市考断面所在重点水体及时清理垃圾、漂浮物。开展雨后入河排口排污检查，严厉打击污水直排、借雨偷排行为。优化道路保洁作业模式，避免影响水环境。 </w:t>
            </w:r>
          </w:p>
        </w:tc>
        <w:tc>
          <w:tcPr>
            <w:tcW w:w="123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长期实施</w:t>
            </w:r>
          </w:p>
        </w:tc>
        <w:tc>
          <w:tcPr>
            <w:tcW w:w="2306"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区水务局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区城市管理委</w:t>
            </w:r>
            <w:r>
              <w:rPr>
                <w:rFonts w:hint="eastAsia" w:ascii="宋体" w:hAnsi="宋体" w:eastAsia="宋体" w:cs="宋体"/>
                <w:sz w:val="21"/>
                <w:szCs w:val="21"/>
                <w:lang w:val="en-US" w:eastAsia="zh-CN"/>
              </w:rPr>
              <w:br w:type="textWrapping"/>
            </w:r>
            <w:r>
              <w:rPr>
                <w:rFonts w:hint="eastAsia" w:ascii="宋体" w:hAnsi="宋体" w:cs="宋体"/>
                <w:sz w:val="21"/>
                <w:szCs w:val="21"/>
                <w:lang w:val="en-US" w:eastAsia="zh-CN"/>
              </w:rPr>
              <w:t>区环境卫生服务中心</w:t>
            </w:r>
          </w:p>
        </w:tc>
        <w:tc>
          <w:tcPr>
            <w:tcW w:w="2417" w:type="dxa"/>
            <w:tcBorders>
              <w:left w:val="nil"/>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各镇人民政府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各街道办事处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17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19"/>
                <w:szCs w:val="19"/>
                <w:u w:val="none"/>
                <w:lang w:val="en-US" w:eastAsia="zh-CN" w:bidi="ar"/>
              </w:rPr>
            </w:pPr>
            <w:r>
              <w:rPr>
                <w:rFonts w:hint="eastAsia" w:ascii="黑体" w:hAnsi="黑体" w:eastAsia="黑体" w:cs="黑体"/>
                <w:szCs w:val="21"/>
                <w:lang w:val="en-US" w:eastAsia="zh-CN"/>
              </w:rPr>
              <w:t>六、龙河流域综合提升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463"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水环境精细化治理提升</w:t>
            </w:r>
          </w:p>
        </w:tc>
        <w:tc>
          <w:tcPr>
            <w:tcW w:w="62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完善小龙河截污治污系统。加强魏善庄镇西枣林至魏永路截污管线清理修缮，防止污水溢流入河；对小龙河沿线其余截污管线老化损毁及雨污合流问题进行查漏补缺，杜绝点源污染对河道水质冲击。</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年底前</w:t>
            </w:r>
          </w:p>
        </w:tc>
        <w:tc>
          <w:tcPr>
            <w:tcW w:w="2306"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区水务局</w:t>
            </w:r>
          </w:p>
        </w:tc>
        <w:tc>
          <w:tcPr>
            <w:tcW w:w="2417"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相关镇人民政府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53"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63"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加强龙河流域生态用水保障，动态调配河道生态补水水量，提高河道生态自净能力。</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年底前</w:t>
            </w:r>
          </w:p>
        </w:tc>
        <w:tc>
          <w:tcPr>
            <w:tcW w:w="2306"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区水务局</w:t>
            </w:r>
          </w:p>
        </w:tc>
        <w:tc>
          <w:tcPr>
            <w:tcW w:w="2417"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453"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63"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加强龙河流域城镇、农村污水处理设施运行监管，加强沿线农村生活污水收集处理，做好河道巡查管护，建立“发现-分析-解决”水环境问题闭环管理机制。</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年底前</w:t>
            </w:r>
          </w:p>
        </w:tc>
        <w:tc>
          <w:tcPr>
            <w:tcW w:w="2306"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区水务局</w:t>
            </w:r>
          </w:p>
        </w:tc>
        <w:tc>
          <w:tcPr>
            <w:tcW w:w="2417"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区生态环境局</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相关镇人民政府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53"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63"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大龙河三小营国考断面水质稳定达到Ⅲ类。</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年底前</w:t>
            </w:r>
          </w:p>
        </w:tc>
        <w:tc>
          <w:tcPr>
            <w:tcW w:w="2306"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区生态环境局</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0" w:name="_GoBack"/>
            <w:bookmarkEnd w:id="0"/>
            <w:r>
              <w:rPr>
                <w:rFonts w:hint="eastAsia" w:ascii="宋体" w:hAnsi="宋体" w:eastAsia="宋体" w:cs="宋体"/>
                <w:i w:val="0"/>
                <w:iCs w:val="0"/>
                <w:color w:val="000000"/>
                <w:kern w:val="0"/>
                <w:sz w:val="21"/>
                <w:szCs w:val="21"/>
                <w:u w:val="none"/>
                <w:lang w:val="en-US" w:eastAsia="zh-CN" w:bidi="ar"/>
              </w:rPr>
              <w:t>区水务局</w:t>
            </w:r>
          </w:p>
        </w:tc>
        <w:tc>
          <w:tcPr>
            <w:tcW w:w="2417" w:type="dxa"/>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安定镇人民政府</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YTgxZmQ4Mzg0YTYxYzIzYjRjZTgwMjIyY2EyYmQifQ=="/>
  </w:docVars>
  <w:rsids>
    <w:rsidRoot w:val="79D6508F"/>
    <w:rsid w:val="222F0168"/>
    <w:rsid w:val="36151CE8"/>
    <w:rsid w:val="5D0C7F6D"/>
    <w:rsid w:val="62D9793F"/>
    <w:rsid w:val="79D6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line="300" w:lineRule="atLeast"/>
      <w:jc w:val="center"/>
    </w:pPr>
    <w:rPr>
      <w:rFonts w:ascii="Times New Roman" w:hAnsi="Times New Roman" w:eastAsia="宋体" w:cs="Times New Roman"/>
      <w:color w:val="000000"/>
      <w:kern w:val="2"/>
      <w:sz w:val="44"/>
      <w:lang w:val="en-US" w:eastAsia="zh-CN" w:bidi="ar-SA"/>
    </w:rPr>
  </w:style>
  <w:style w:type="paragraph" w:customStyle="1" w:styleId="3">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6">
    <w:name w:val="index 9"/>
    <w:basedOn w:val="1"/>
    <w:next w:val="1"/>
    <w:qFormat/>
    <w:uiPriority w:val="0"/>
    <w:pPr>
      <w:ind w:left="1600" w:leftChars="1600"/>
    </w:pPr>
  </w:style>
  <w:style w:type="paragraph" w:styleId="7">
    <w:name w:val="Body Text First Indent 2"/>
    <w:basedOn w:val="4"/>
    <w:next w:val="2"/>
    <w:qFormat/>
    <w:uiPriority w:val="0"/>
    <w:pPr>
      <w:widowControl w:val="0"/>
      <w:spacing w:after="120" w:line="560" w:lineRule="exact"/>
      <w:ind w:firstLine="420" w:firstLineChars="200"/>
      <w:jc w:val="both"/>
    </w:pPr>
    <w:rPr>
      <w:rFonts w:ascii="Times New Roman" w:hAnsi="Times New Roman" w:eastAsia="宋体" w:cs="Times New Roman"/>
      <w:kern w:val="2"/>
      <w:sz w:val="21"/>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5446</Words>
  <Characters>5552</Characters>
  <Lines>0</Lines>
  <Paragraphs>0</Paragraphs>
  <TotalTime>7</TotalTime>
  <ScaleCrop>false</ScaleCrop>
  <LinksUpToDate>false</LinksUpToDate>
  <CharactersWithSpaces>5553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2025-01-13T01:20:00Z</dcterms:created>
  <dc:creator>刘灿灿</dc:creator>
  <cp:lastModifiedBy>Q</cp:lastModifiedBy>
  <dcterms:modified xsi:type="dcterms:W3CDTF">2025-01-13T03:19:55Z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296D7C54BC7E43D4A696247995DEDB33_11</vt:lpwstr>
  </property>
</Properties>
</file>