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ind w:firstLine="420"/>
        <w:jc w:val="both"/>
        <w:rPr>
          <w:rFonts w:hint="default" w:ascii="Times New Roman" w:eastAsia="方正小标宋简体"/>
          <w:sz w:val="44"/>
          <w:szCs w:val="44"/>
          <w:lang w:val="en-US" w:eastAsia="zh-CN"/>
        </w:rPr>
      </w:pPr>
    </w:p>
    <w:p>
      <w:pPr>
        <w:spacing w:line="560" w:lineRule="exact"/>
        <w:ind w:firstLine="420"/>
        <w:jc w:val="center"/>
        <w:rPr>
          <w:rFonts w:hint="eastAsia" w:ascii="Times New Roman" w:eastAsia="方正小标宋简体"/>
          <w:sz w:val="44"/>
          <w:szCs w:val="44"/>
        </w:rPr>
      </w:pPr>
      <w:r>
        <w:rPr>
          <w:rFonts w:hint="eastAsia" w:ascii="Times New Roman" w:eastAsia="方正小标宋简体"/>
          <w:sz w:val="44"/>
          <w:szCs w:val="44"/>
        </w:rPr>
        <w:t>大兴新城地区城市道路及配套供排水</w:t>
      </w:r>
    </w:p>
    <w:p>
      <w:pPr>
        <w:spacing w:line="560" w:lineRule="exact"/>
        <w:ind w:firstLine="420"/>
        <w:jc w:val="center"/>
        <w:rPr>
          <w:rFonts w:hint="eastAsia" w:ascii="Times New Roman" w:eastAsia="方正小标宋简体"/>
          <w:sz w:val="44"/>
          <w:szCs w:val="44"/>
        </w:rPr>
      </w:pPr>
      <w:r>
        <w:rPr>
          <w:rFonts w:hint="eastAsia" w:ascii="Times New Roman" w:eastAsia="方正小标宋简体"/>
          <w:sz w:val="44"/>
          <w:szCs w:val="44"/>
        </w:rPr>
        <w:t>设施移交管理办法</w:t>
      </w:r>
    </w:p>
    <w:p>
      <w:pPr>
        <w:pStyle w:val="10"/>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（征求意见稿）</w:t>
      </w:r>
    </w:p>
    <w:p>
      <w:pPr>
        <w:spacing w:line="560" w:lineRule="exact"/>
        <w:ind w:firstLine="640" w:firstLineChars="200"/>
        <w:rPr>
          <w:rFonts w:hint="eastAsia" w:ascii="Times New Roman" w:eastAsia="黑体"/>
          <w:szCs w:val="32"/>
        </w:rPr>
      </w:pPr>
      <w:r>
        <w:rPr>
          <w:rFonts w:hint="eastAsia" w:ascii="Times New Roman" w:eastAsia="黑体"/>
          <w:szCs w:val="32"/>
        </w:rPr>
        <w:t xml:space="preserve">第一条  </w:t>
      </w:r>
      <w:r>
        <w:rPr>
          <w:rFonts w:hint="eastAsia"/>
          <w:szCs w:val="32"/>
        </w:rPr>
        <w:t>为提高城市道路及配套供排水设施的管理和维护水平，规范建设、管理工作，明确移交程序及建设主管部门、管理养护主管部门、建设单位和管理养护单位的权力、义务，依据《北京市城市道路接养管理暂行办法》(京路法制发〔2006〕293号)、《北京市中心城区公共排水管网移交管理暂行规定（试行）》(京水务排〔2016〕88号)等规定，制定本办法。</w:t>
      </w:r>
    </w:p>
    <w:p>
      <w:pPr>
        <w:spacing w:line="560" w:lineRule="exact"/>
        <w:ind w:firstLine="640" w:firstLineChars="200"/>
        <w:rPr>
          <w:rFonts w:hint="eastAsia" w:ascii="Times New Roman" w:eastAsia="黑体"/>
          <w:szCs w:val="32"/>
        </w:rPr>
      </w:pPr>
      <w:r>
        <w:rPr>
          <w:rFonts w:hint="eastAsia" w:ascii="Times New Roman" w:eastAsia="黑体"/>
          <w:szCs w:val="32"/>
        </w:rPr>
        <w:t xml:space="preserve">第二条  </w:t>
      </w:r>
      <w:r>
        <w:rPr>
          <w:rFonts w:hint="eastAsia" w:hAnsi="Calibri"/>
          <w:szCs w:val="32"/>
        </w:rPr>
        <w:t>本办法所称城市道路，是指经规划部门审批，按城市道路相关规范进行设计、施工，由市、区政府投资</w:t>
      </w:r>
      <w:bookmarkStart w:id="0" w:name="_GoBack"/>
      <w:bookmarkEnd w:id="0"/>
      <w:r>
        <w:rPr>
          <w:rFonts w:hint="eastAsia" w:hAnsi="Calibri"/>
          <w:szCs w:val="32"/>
        </w:rPr>
        <w:t>，或者由市、区政府通过投、融资渠道投资建设，具备一定技术条件，并通过竣工验收投入使用的道路、桥梁及其附属设施。</w:t>
      </w:r>
    </w:p>
    <w:p>
      <w:pPr>
        <w:spacing w:line="560" w:lineRule="exact"/>
        <w:ind w:firstLine="640" w:firstLineChars="200"/>
        <w:rPr>
          <w:rFonts w:hint="eastAsia" w:ascii="Times New Roman"/>
          <w:szCs w:val="32"/>
        </w:rPr>
      </w:pPr>
      <w:r>
        <w:rPr>
          <w:rFonts w:hint="eastAsia" w:ascii="Times New Roman"/>
          <w:szCs w:val="32"/>
        </w:rPr>
        <w:t>道路配套供排水设施是指随城市道路建设的自来水、再生水、雨水、污水管线以及雨水泵站</w:t>
      </w:r>
      <w:r>
        <w:rPr>
          <w:rFonts w:hint="eastAsia" w:ascii="Times New Roman"/>
          <w:szCs w:val="32"/>
          <w:lang w:eastAsia="zh-CN"/>
        </w:rPr>
        <w:t>（包括附属设施）</w:t>
      </w:r>
      <w:r>
        <w:rPr>
          <w:rFonts w:hint="eastAsia" w:ascii="Times New Roman"/>
          <w:szCs w:val="32"/>
        </w:rPr>
        <w:t>、污水泵站</w:t>
      </w:r>
      <w:r>
        <w:rPr>
          <w:rFonts w:hint="eastAsia" w:ascii="Times New Roman"/>
          <w:szCs w:val="32"/>
          <w:lang w:eastAsia="zh-CN"/>
        </w:rPr>
        <w:t>（</w:t>
      </w:r>
      <w:r>
        <w:rPr>
          <w:rFonts w:hint="eastAsia" w:ascii="Times New Roman"/>
          <w:szCs w:val="32"/>
          <w:lang w:val="en-US" w:eastAsia="zh-CN"/>
        </w:rPr>
        <w:t>包括附属设施</w:t>
      </w:r>
      <w:r>
        <w:rPr>
          <w:rFonts w:hint="eastAsia" w:ascii="Times New Roman"/>
          <w:szCs w:val="32"/>
          <w:lang w:eastAsia="zh-CN"/>
        </w:rPr>
        <w:t>）、污</w:t>
      </w:r>
      <w:r>
        <w:rPr>
          <w:rFonts w:hint="eastAsia" w:ascii="Times New Roman"/>
          <w:szCs w:val="32"/>
        </w:rPr>
        <w:t>水处理设施。其他道路供排水设施参照执行。</w:t>
      </w:r>
    </w:p>
    <w:p>
      <w:pPr>
        <w:pStyle w:val="21"/>
        <w:spacing w:after="0" w:line="560" w:lineRule="exact"/>
        <w:ind w:left="0" w:leftChars="0" w:firstLine="640"/>
        <w:rPr>
          <w:rFonts w:hint="eastAsia" w:ascii="黑体" w:hAnsi="黑体" w:eastAsia="黑体"/>
          <w:kern w:val="2"/>
        </w:rPr>
      </w:pPr>
      <w:r>
        <w:rPr>
          <w:rFonts w:hint="eastAsia" w:ascii="黑体" w:hAnsi="黑体" w:eastAsia="黑体"/>
          <w:kern w:val="2"/>
        </w:rPr>
        <w:t>第三条</w:t>
      </w:r>
      <w:r>
        <w:rPr>
          <w:rFonts w:hint="eastAsia" w:ascii="仿宋_GB2312" w:hAnsi="Calibri" w:eastAsia="仿宋_GB2312"/>
          <w:kern w:val="2"/>
        </w:rPr>
        <w:t xml:space="preserve">  区城市管理委是大兴新城地区城市道路的管理部门，区水务局是大兴新城地区供排水设施的管理部门。</w:t>
      </w:r>
    </w:p>
    <w:p>
      <w:pPr>
        <w:pStyle w:val="21"/>
        <w:spacing w:after="0" w:line="560" w:lineRule="exact"/>
        <w:ind w:left="0" w:leftChars="0" w:firstLine="640"/>
        <w:rPr>
          <w:rFonts w:hint="eastAsia" w:ascii="黑体" w:hAnsi="黑体" w:eastAsia="黑体"/>
          <w:kern w:val="2"/>
        </w:rPr>
      </w:pPr>
      <w:r>
        <w:rPr>
          <w:rFonts w:hint="eastAsia" w:ascii="黑体" w:hAnsi="黑体" w:eastAsia="黑体"/>
          <w:kern w:val="2"/>
        </w:rPr>
        <w:t>第四条</w:t>
      </w:r>
      <w:r>
        <w:rPr>
          <w:rFonts w:hint="eastAsia" w:ascii="仿宋_GB2312" w:hAnsi="Calibri" w:eastAsia="仿宋_GB2312"/>
          <w:kern w:val="2"/>
        </w:rPr>
        <w:t xml:space="preserve">  城市道路及供排水设施建设单位应按职责分工分别移交到相应设施养护单位，涉及固定资产移交的也应分别移交至相应养护管理部门。</w:t>
      </w:r>
    </w:p>
    <w:p>
      <w:pPr>
        <w:pStyle w:val="10"/>
        <w:spacing w:after="0" w:line="560" w:lineRule="exact"/>
        <w:ind w:firstLine="640" w:firstLineChars="200"/>
        <w:rPr>
          <w:rFonts w:hint="eastAsia"/>
          <w:szCs w:val="32"/>
        </w:rPr>
      </w:pPr>
      <w:r>
        <w:rPr>
          <w:rFonts w:hint="eastAsia"/>
          <w:szCs w:val="32"/>
        </w:rPr>
        <w:t>（一）城市道路</w:t>
      </w:r>
      <w:r>
        <w:rPr>
          <w:rFonts w:hint="eastAsia" w:ascii="Times New Roman"/>
          <w:szCs w:val="32"/>
        </w:rPr>
        <w:t>移</w:t>
      </w:r>
      <w:r>
        <w:rPr>
          <w:rFonts w:hint="eastAsia"/>
          <w:szCs w:val="32"/>
        </w:rPr>
        <w:t>交至区城市管理委；</w:t>
      </w:r>
    </w:p>
    <w:p>
      <w:pPr>
        <w:shd w:val="clea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（二）城市道路配套的供水管线及其附属设施移交至北京市自来水集团有限责任公司；</w:t>
      </w:r>
    </w:p>
    <w:p>
      <w:pPr>
        <w:shd w:val="clea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（三）城市道路配套的排水管线及其附属设施移交至区水务局；</w:t>
      </w:r>
    </w:p>
    <w:p>
      <w:pPr>
        <w:pStyle w:val="10"/>
        <w:spacing w:after="0" w:line="560" w:lineRule="exact"/>
        <w:ind w:firstLine="640" w:firstLineChars="200"/>
        <w:rPr>
          <w:rFonts w:hint="eastAsia" w:ascii="Times New Roman" w:eastAsia="黑体"/>
          <w:szCs w:val="32"/>
        </w:rPr>
      </w:pPr>
      <w:r>
        <w:rPr>
          <w:rFonts w:hint="eastAsia" w:ascii="Times New Roman" w:eastAsia="黑体"/>
          <w:szCs w:val="32"/>
        </w:rPr>
        <w:t>第五条</w:t>
      </w:r>
      <w:r>
        <w:rPr>
          <w:rFonts w:hint="eastAsia" w:eastAsia="黑体"/>
          <w:szCs w:val="32"/>
        </w:rPr>
        <w:t xml:space="preserve"> </w:t>
      </w:r>
      <w:r>
        <w:rPr>
          <w:rFonts w:hint="eastAsia" w:ascii="Times New Roman" w:eastAsia="黑体"/>
          <w:szCs w:val="32"/>
        </w:rPr>
        <w:t xml:space="preserve"> </w:t>
      </w:r>
      <w:r>
        <w:rPr>
          <w:rFonts w:hint="eastAsia"/>
          <w:szCs w:val="32"/>
        </w:rPr>
        <w:t>城市道路及配套供排水设施的建设单位应当按照规划设计要求、工程建设质量标准和技术规范要求进行城市道路及配套供排水设施的建设，并在项目通过竣工验收后负责组织城市道路及配套供排水设施的移交接管工作，及时向相关的设施管理养护单位移交。</w:t>
      </w:r>
    </w:p>
    <w:p>
      <w:pPr>
        <w:pStyle w:val="10"/>
        <w:spacing w:after="0" w:line="560" w:lineRule="exact"/>
        <w:ind w:firstLine="640" w:firstLineChars="200"/>
        <w:rPr>
          <w:rFonts w:hint="eastAsia"/>
          <w:szCs w:val="32"/>
        </w:rPr>
      </w:pPr>
      <w:r>
        <w:rPr>
          <w:rFonts w:hint="eastAsia"/>
          <w:szCs w:val="32"/>
        </w:rPr>
        <w:t>现有路段进行大中修或改造等没有新增设施养护量的项目，在通过竣工验收后，无需办理移交手续，由原管理养护单位负责管养。</w:t>
      </w:r>
    </w:p>
    <w:p>
      <w:pPr>
        <w:pStyle w:val="21"/>
        <w:spacing w:after="0" w:line="560" w:lineRule="exact"/>
        <w:ind w:left="0" w:leftChars="0" w:firstLine="640"/>
        <w:rPr>
          <w:rFonts w:hint="eastAsia" w:eastAsia="黑体"/>
        </w:rPr>
      </w:pPr>
      <w:r>
        <w:rPr>
          <w:rFonts w:hint="eastAsia" w:eastAsia="黑体"/>
        </w:rPr>
        <w:t xml:space="preserve">第六条  </w:t>
      </w:r>
      <w:r>
        <w:rPr>
          <w:rFonts w:hint="eastAsia" w:ascii="仿宋_GB2312" w:hAnsi="Calibri" w:eastAsia="仿宋_GB2312"/>
          <w:kern w:val="2"/>
        </w:rPr>
        <w:t>各管理养护单位应及时接管城市道路及配套供排水设施，并在接管后按照有关规定和技术规范要求进行管理养护。</w:t>
      </w:r>
    </w:p>
    <w:p>
      <w:pPr>
        <w:pStyle w:val="10"/>
        <w:spacing w:after="0" w:line="560" w:lineRule="exact"/>
        <w:ind w:firstLine="640" w:firstLineChars="200"/>
        <w:rPr>
          <w:rFonts w:hint="eastAsia" w:ascii="Times New Roman" w:eastAsia="黑体"/>
          <w:szCs w:val="32"/>
        </w:rPr>
      </w:pPr>
      <w:r>
        <w:rPr>
          <w:rFonts w:hint="eastAsia" w:ascii="Times New Roman" w:eastAsia="黑体"/>
          <w:szCs w:val="32"/>
        </w:rPr>
        <w:t>第七条</w:t>
      </w:r>
      <w:r>
        <w:rPr>
          <w:rFonts w:hint="eastAsia" w:eastAsia="黑体"/>
          <w:szCs w:val="32"/>
        </w:rPr>
        <w:t xml:space="preserve"> </w:t>
      </w:r>
      <w:r>
        <w:rPr>
          <w:rFonts w:hint="eastAsia" w:ascii="Times New Roman" w:eastAsia="黑体"/>
          <w:szCs w:val="32"/>
        </w:rPr>
        <w:t xml:space="preserve"> </w:t>
      </w:r>
      <w:r>
        <w:rPr>
          <w:rFonts w:hint="eastAsia"/>
          <w:szCs w:val="32"/>
        </w:rPr>
        <w:t>城市道路及配套供排水设施建设单位需在项目开工前，向相应的管理养护主管部门提出移交申请，具体内容参照《北京市城市道路接养管理暂行办法》(京路法制发〔2006〕293号)、《北京市中心城区公共排水管网移交管理暂行规定（试行）》(京水务排〔2016〕88号)执行。</w:t>
      </w:r>
    </w:p>
    <w:p>
      <w:pPr>
        <w:pStyle w:val="10"/>
        <w:spacing w:after="0" w:line="560" w:lineRule="exact"/>
        <w:ind w:firstLine="640" w:firstLineChars="200"/>
        <w:rPr>
          <w:rFonts w:hint="eastAsia" w:ascii="Times New Roman" w:eastAsia="黑体"/>
          <w:szCs w:val="32"/>
        </w:rPr>
      </w:pPr>
      <w:r>
        <w:rPr>
          <w:rFonts w:hint="eastAsia" w:ascii="Times New Roman" w:eastAsia="黑体"/>
          <w:szCs w:val="32"/>
        </w:rPr>
        <w:t>第</w:t>
      </w:r>
      <w:r>
        <w:rPr>
          <w:rFonts w:hint="eastAsia" w:eastAsia="黑体"/>
          <w:szCs w:val="32"/>
        </w:rPr>
        <w:t>八</w:t>
      </w:r>
      <w:r>
        <w:rPr>
          <w:rFonts w:hint="eastAsia" w:ascii="Times New Roman" w:eastAsia="黑体"/>
          <w:szCs w:val="32"/>
        </w:rPr>
        <w:t>条</w:t>
      </w:r>
      <w:r>
        <w:rPr>
          <w:rFonts w:hint="eastAsia" w:eastAsia="黑体"/>
          <w:szCs w:val="32"/>
        </w:rPr>
        <w:t xml:space="preserve"> </w:t>
      </w:r>
      <w:r>
        <w:rPr>
          <w:rFonts w:hint="eastAsia" w:ascii="Times New Roman" w:eastAsia="黑体"/>
          <w:szCs w:val="32"/>
        </w:rPr>
        <w:t xml:space="preserve"> </w:t>
      </w:r>
      <w:r>
        <w:rPr>
          <w:rFonts w:hint="eastAsia"/>
          <w:szCs w:val="32"/>
        </w:rPr>
        <w:t>管理养护主管部门收到建设单位移交申请后应对建设单位提出书面告知，说明对该设施移交接养的相应要求。</w:t>
      </w:r>
    </w:p>
    <w:p>
      <w:pPr>
        <w:spacing w:line="560" w:lineRule="exact"/>
        <w:ind w:firstLine="640" w:firstLineChars="200"/>
        <w:rPr>
          <w:rFonts w:hint="eastAsia"/>
          <w:szCs w:val="32"/>
        </w:rPr>
      </w:pPr>
      <w:r>
        <w:rPr>
          <w:rFonts w:hint="eastAsia"/>
          <w:szCs w:val="32"/>
        </w:rPr>
        <w:t>各管理养护主管部门和管理养护单位应通过“多规合一”协同信息平台，提前了解建设项目情况及建设时序，主动对接服务。</w:t>
      </w:r>
    </w:p>
    <w:p>
      <w:pPr>
        <w:pStyle w:val="21"/>
        <w:spacing w:after="0"/>
        <w:ind w:left="0" w:leftChars="0" w:firstLine="640"/>
        <w:rPr>
          <w:rFonts w:hint="eastAsia" w:ascii="仿宋_GB2312" w:eastAsia="仿宋_GB2312"/>
          <w:kern w:val="2"/>
        </w:rPr>
      </w:pPr>
      <w:r>
        <w:rPr>
          <w:rFonts w:hint="eastAsia" w:ascii="仿宋_GB2312" w:eastAsia="仿宋_GB2312"/>
          <w:kern w:val="2"/>
        </w:rPr>
        <w:t>养护接收单位在对工程项目资料进行查验时，可通过北京市发改委官方网站的“政务公开-行政许可公示”板块对项目批复及招标方案核准意见进行查验；通过北京市住建委官方网站的“查询中心-120工程竣工备案信息”板块对项目的竣工备案情况进行查验。</w:t>
      </w:r>
    </w:p>
    <w:p>
      <w:pPr>
        <w:pStyle w:val="10"/>
        <w:spacing w:after="0" w:line="560" w:lineRule="exact"/>
        <w:ind w:firstLine="640" w:firstLineChars="200"/>
        <w:rPr>
          <w:rFonts w:hint="eastAsia" w:ascii="Times New Roman" w:eastAsia="黑体"/>
          <w:szCs w:val="32"/>
        </w:rPr>
      </w:pPr>
      <w:r>
        <w:rPr>
          <w:rFonts w:hint="eastAsia" w:ascii="Times New Roman" w:eastAsia="黑体"/>
          <w:szCs w:val="32"/>
        </w:rPr>
        <w:t xml:space="preserve">第九条  </w:t>
      </w:r>
      <w:r>
        <w:rPr>
          <w:rFonts w:hint="eastAsia"/>
          <w:szCs w:val="32"/>
        </w:rPr>
        <w:t>城市道路满足以下条件后可以移交：</w:t>
      </w:r>
    </w:p>
    <w:p>
      <w:pPr>
        <w:pStyle w:val="10"/>
        <w:spacing w:after="0" w:line="560" w:lineRule="exact"/>
        <w:ind w:firstLine="640" w:firstLineChars="200"/>
        <w:rPr>
          <w:rFonts w:hint="eastAsia"/>
          <w:szCs w:val="32"/>
        </w:rPr>
      </w:pPr>
      <w:r>
        <w:rPr>
          <w:rFonts w:hint="eastAsia"/>
          <w:szCs w:val="32"/>
        </w:rPr>
        <w:t>（一）</w:t>
      </w:r>
      <w:r>
        <w:rPr>
          <w:rFonts w:hint="eastAsia" w:hAnsi="仿宋_GB2312"/>
          <w:szCs w:val="32"/>
        </w:rPr>
        <w:t>具有发展改革、规划国土等相关部门审批文件，</w:t>
      </w:r>
      <w:r>
        <w:rPr>
          <w:rFonts w:hint="eastAsia"/>
          <w:szCs w:val="32"/>
        </w:rPr>
        <w:t>工程实体与批复的设计文件一致，符合规划、交管、消防和环保等部门的相关规定以及专业设计要求；</w:t>
      </w:r>
    </w:p>
    <w:p>
      <w:pPr>
        <w:pStyle w:val="10"/>
        <w:spacing w:after="0" w:line="560" w:lineRule="exact"/>
        <w:ind w:firstLine="640" w:firstLineChars="200"/>
        <w:rPr>
          <w:rFonts w:hint="eastAsia"/>
          <w:szCs w:val="32"/>
        </w:rPr>
      </w:pPr>
      <w:r>
        <w:rPr>
          <w:rFonts w:hint="eastAsia"/>
          <w:szCs w:val="32"/>
        </w:rPr>
        <w:t>（二）工程质量合格，配套设施齐备，功能完善，</w:t>
      </w:r>
      <w:r>
        <w:rPr>
          <w:rFonts w:hint="eastAsia" w:hAnsi="仿宋_GB2312"/>
          <w:szCs w:val="32"/>
          <w:lang w:eastAsia="zh-CN"/>
        </w:rPr>
        <w:t>完成竣工备案手续</w:t>
      </w:r>
      <w:r>
        <w:rPr>
          <w:rFonts w:hint="eastAsia"/>
          <w:szCs w:val="32"/>
        </w:rPr>
        <w:t>；</w:t>
      </w:r>
    </w:p>
    <w:p>
      <w:pPr>
        <w:pStyle w:val="10"/>
        <w:spacing w:after="0" w:line="560" w:lineRule="exact"/>
        <w:ind w:firstLine="640" w:firstLineChars="200"/>
        <w:rPr>
          <w:rFonts w:hint="eastAsia"/>
          <w:szCs w:val="32"/>
        </w:rPr>
      </w:pPr>
      <w:r>
        <w:rPr>
          <w:rFonts w:hint="eastAsia"/>
          <w:szCs w:val="32"/>
        </w:rPr>
        <w:t>（三）技术文件、档案资料齐全、真实、有效，</w:t>
      </w:r>
      <w:r>
        <w:rPr>
          <w:rFonts w:hint="eastAsia" w:hAnsi="仿宋_GB2312"/>
          <w:szCs w:val="32"/>
        </w:rPr>
        <w:t>满足使用标准和运行维护条件</w:t>
      </w:r>
      <w:r>
        <w:rPr>
          <w:rFonts w:hint="eastAsia"/>
          <w:szCs w:val="32"/>
        </w:rPr>
        <w:t>；</w:t>
      </w:r>
    </w:p>
    <w:p>
      <w:pPr>
        <w:pStyle w:val="10"/>
        <w:spacing w:after="0" w:line="560" w:lineRule="exact"/>
        <w:ind w:firstLine="640" w:firstLineChars="200"/>
        <w:rPr>
          <w:rFonts w:hint="eastAsia"/>
          <w:szCs w:val="32"/>
        </w:rPr>
      </w:pPr>
      <w:r>
        <w:rPr>
          <w:rFonts w:hint="eastAsia"/>
          <w:szCs w:val="32"/>
        </w:rPr>
        <w:t>（四）养护单位提交的验收合格意见。</w:t>
      </w:r>
    </w:p>
    <w:p>
      <w:pPr>
        <w:pStyle w:val="10"/>
        <w:spacing w:after="0" w:line="560" w:lineRule="exact"/>
        <w:ind w:firstLine="640" w:firstLineChars="200"/>
        <w:rPr>
          <w:rFonts w:hint="eastAsia" w:ascii="Times New Roman" w:eastAsia="黑体"/>
          <w:szCs w:val="32"/>
        </w:rPr>
      </w:pPr>
      <w:r>
        <w:rPr>
          <w:rFonts w:hint="eastAsia" w:ascii="Times New Roman" w:eastAsia="黑体"/>
          <w:szCs w:val="32"/>
        </w:rPr>
        <w:t xml:space="preserve">第十条  </w:t>
      </w:r>
      <w:r>
        <w:rPr>
          <w:rFonts w:hint="eastAsia"/>
          <w:szCs w:val="32"/>
        </w:rPr>
        <w:t>道路配套供排水设施满足以下条件后可以移交：</w:t>
      </w:r>
    </w:p>
    <w:p>
      <w:pPr>
        <w:spacing w:line="560" w:lineRule="exact"/>
        <w:ind w:firstLine="640" w:firstLineChars="200"/>
        <w:rPr>
          <w:rFonts w:hint="eastAsia" w:hAnsi="仿宋_GB2312"/>
          <w:szCs w:val="32"/>
        </w:rPr>
      </w:pPr>
      <w:r>
        <w:rPr>
          <w:rFonts w:hint="eastAsia" w:hAnsi="仿宋_GB2312"/>
          <w:szCs w:val="32"/>
        </w:rPr>
        <w:t>（一）具有发展改革、规划国土等相关部门审批文件，</w:t>
      </w:r>
      <w:r>
        <w:rPr>
          <w:rFonts w:hint="eastAsia"/>
          <w:szCs w:val="32"/>
        </w:rPr>
        <w:t>工程实体与批复的设计文件一致，符合规划、交管、消防和环保等部门的相关规定以及专业设计要求；</w:t>
      </w:r>
    </w:p>
    <w:p>
      <w:pPr>
        <w:pStyle w:val="21"/>
        <w:spacing w:after="0" w:line="560" w:lineRule="exact"/>
        <w:ind w:left="0" w:leftChars="0" w:firstLine="64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kern w:val="2"/>
        </w:rPr>
        <w:t>（二）工程质量合格，配套设施齐备，功能完善</w:t>
      </w:r>
      <w:r>
        <w:rPr>
          <w:rFonts w:hint="eastAsia" w:ascii="仿宋_GB2312" w:hAnsi="仿宋_GB2312" w:eastAsia="仿宋_GB2312" w:cs="Times New Roman"/>
          <w:kern w:val="2"/>
          <w:sz w:val="32"/>
          <w:szCs w:val="32"/>
          <w:lang w:val="en-US" w:eastAsia="zh-CN" w:bidi="ar-SA"/>
        </w:rPr>
        <w:t>，完成施工五方竣工验收手续；</w:t>
      </w:r>
    </w:p>
    <w:p>
      <w:pPr>
        <w:pStyle w:val="10"/>
        <w:spacing w:after="0" w:line="560" w:lineRule="exact"/>
        <w:ind w:firstLine="640" w:firstLineChars="200"/>
        <w:rPr>
          <w:rFonts w:hint="eastAsia" w:hAnsi="仿宋_GB2312"/>
          <w:szCs w:val="32"/>
        </w:rPr>
      </w:pPr>
      <w:r>
        <w:rPr>
          <w:rFonts w:hint="eastAsia" w:hAnsi="仿宋_GB2312"/>
          <w:szCs w:val="32"/>
        </w:rPr>
        <w:t>（三）</w:t>
      </w:r>
      <w:r>
        <w:rPr>
          <w:rFonts w:hint="eastAsia"/>
          <w:szCs w:val="32"/>
        </w:rPr>
        <w:t>技术文件、档案资料齐全、真实、有效，</w:t>
      </w:r>
      <w:r>
        <w:rPr>
          <w:rFonts w:hint="eastAsia" w:hAnsi="仿宋_GB2312"/>
          <w:szCs w:val="32"/>
        </w:rPr>
        <w:t>满足使用标准和运行维护条件；</w:t>
      </w:r>
    </w:p>
    <w:p>
      <w:pPr>
        <w:pStyle w:val="21"/>
        <w:spacing w:after="0"/>
        <w:ind w:left="0" w:leftChars="0" w:firstLine="640"/>
        <w:rPr>
          <w:rFonts w:hint="eastAsia" w:ascii="仿宋_GB2312" w:hAnsi="仿宋_GB2312" w:eastAsia="仿宋_GB2312"/>
          <w:kern w:val="2"/>
        </w:rPr>
      </w:pPr>
      <w:r>
        <w:rPr>
          <w:rFonts w:hint="eastAsia" w:ascii="仿宋_GB2312" w:hAnsi="仿宋_GB2312" w:eastAsia="仿宋_GB2312"/>
          <w:kern w:val="2"/>
        </w:rPr>
        <w:t>（四）法律、法规规定的和水行政主管部门规定的其他条件</w:t>
      </w:r>
      <w:r>
        <w:rPr>
          <w:rFonts w:hint="eastAsia" w:hAnsi="仿宋_GB2312"/>
          <w:kern w:val="2"/>
        </w:rPr>
        <w:t>。</w:t>
      </w:r>
    </w:p>
    <w:p>
      <w:pPr>
        <w:pStyle w:val="21"/>
        <w:spacing w:after="0" w:line="560" w:lineRule="exact"/>
        <w:ind w:left="0" w:leftChars="0" w:firstLine="640"/>
        <w:rPr>
          <w:rFonts w:hint="eastAsia" w:eastAsia="黑体"/>
        </w:rPr>
      </w:pPr>
      <w:r>
        <w:rPr>
          <w:rFonts w:hint="eastAsia" w:eastAsia="黑体"/>
        </w:rPr>
        <w:t xml:space="preserve">第十一条  </w:t>
      </w:r>
      <w:r>
        <w:rPr>
          <w:rFonts w:hint="eastAsia" w:ascii="仿宋_GB2312" w:hAnsi="仿宋_GB2312" w:eastAsia="仿宋_GB2312"/>
          <w:kern w:val="2"/>
        </w:rPr>
        <w:t>区城市管理委应组织城市道路建设单位、养护接收单位开展接养移交工作，对已完成竣工验收的城市道路进行接养验收，</w:t>
      </w:r>
      <w:r>
        <w:rPr>
          <w:rFonts w:hint="eastAsia" w:ascii="仿宋_GB2312" w:hAnsi="仿宋_GB2312" w:eastAsia="仿宋_GB2312"/>
          <w:kern w:val="2"/>
          <w:lang w:val="en-US" w:eastAsia="zh-CN"/>
        </w:rPr>
        <w:t>七个工作日内</w:t>
      </w:r>
      <w:r>
        <w:rPr>
          <w:rFonts w:hint="eastAsia" w:ascii="仿宋_GB2312" w:hAnsi="仿宋_GB2312" w:eastAsia="仿宋_GB2312"/>
          <w:kern w:val="2"/>
        </w:rPr>
        <w:t>由养护接收单位提出接养验收意见。</w:t>
      </w:r>
    </w:p>
    <w:p>
      <w:pPr>
        <w:pStyle w:val="10"/>
        <w:spacing w:after="0"/>
        <w:ind w:firstLine="640" w:firstLineChars="200"/>
        <w:rPr>
          <w:rFonts w:hint="eastAsia" w:ascii="Times New Roman" w:eastAsia="黑体"/>
          <w:szCs w:val="32"/>
        </w:rPr>
      </w:pPr>
      <w:r>
        <w:rPr>
          <w:rFonts w:hint="eastAsia" w:ascii="Times New Roman" w:eastAsia="黑体"/>
          <w:szCs w:val="32"/>
        </w:rPr>
        <w:t>第</w:t>
      </w:r>
      <w:r>
        <w:rPr>
          <w:rFonts w:hint="eastAsia" w:eastAsia="黑体"/>
          <w:szCs w:val="32"/>
        </w:rPr>
        <w:t>十</w:t>
      </w:r>
      <w:r>
        <w:rPr>
          <w:rFonts w:hint="eastAsia" w:ascii="Times New Roman" w:eastAsia="黑体"/>
          <w:szCs w:val="32"/>
        </w:rPr>
        <w:t xml:space="preserve">二条  </w:t>
      </w:r>
      <w:r>
        <w:rPr>
          <w:rFonts w:hint="eastAsia" w:hAnsi="仿宋_GB2312"/>
          <w:szCs w:val="32"/>
        </w:rPr>
        <w:t>区水务局应组织道路配套供排水设施建设单位、养护接收单位开展设施接养移交工作，对已完成竣工验收的供排水设施进行接养验收，</w:t>
      </w:r>
      <w:r>
        <w:rPr>
          <w:rFonts w:hint="eastAsia" w:hAnsi="仿宋_GB2312"/>
          <w:szCs w:val="32"/>
          <w:lang w:val="en-US" w:eastAsia="zh-CN"/>
        </w:rPr>
        <w:t>七个工作日内</w:t>
      </w:r>
      <w:r>
        <w:rPr>
          <w:rFonts w:hint="eastAsia" w:hAnsi="仿宋_GB2312"/>
          <w:szCs w:val="32"/>
        </w:rPr>
        <w:t>由养护接收单位提出接养验收意见。</w:t>
      </w:r>
    </w:p>
    <w:p>
      <w:pPr>
        <w:pStyle w:val="10"/>
        <w:spacing w:after="0" w:line="560" w:lineRule="exact"/>
        <w:ind w:firstLine="640" w:firstLineChars="200"/>
        <w:rPr>
          <w:rFonts w:hint="eastAsia" w:ascii="仿宋_GB2312" w:hAnsi="仿宋_GB2312" w:eastAsia="仿宋_GB2312" w:cs="Times New Roman"/>
          <w:kern w:val="2"/>
          <w:sz w:val="32"/>
          <w:szCs w:val="32"/>
          <w:lang w:val="en-US" w:eastAsia="zh-CN" w:bidi="ar-SA"/>
        </w:rPr>
      </w:pPr>
      <w:r>
        <w:rPr>
          <w:rFonts w:hint="eastAsia" w:ascii="Times New Roman" w:eastAsia="黑体"/>
          <w:szCs w:val="32"/>
        </w:rPr>
        <w:t xml:space="preserve">第十三条  </w:t>
      </w:r>
      <w:r>
        <w:rPr>
          <w:rFonts w:hint="eastAsia" w:hAnsi="仿宋_GB2312"/>
          <w:szCs w:val="32"/>
        </w:rPr>
        <w:t>养护接收单位应对接养验收中存在问题的工程，提出整改意见，并进行复查。</w:t>
      </w:r>
      <w:r>
        <w:rPr>
          <w:rFonts w:hint="eastAsia" w:ascii="仿宋_GB2312" w:hAnsi="仿宋_GB2312" w:eastAsia="仿宋_GB2312" w:cs="Times New Roman"/>
          <w:kern w:val="2"/>
          <w:sz w:val="32"/>
          <w:szCs w:val="32"/>
          <w:lang w:val="en-US" w:eastAsia="zh-CN" w:bidi="ar-SA"/>
        </w:rPr>
        <w:t>对复查验收合格的，</w:t>
      </w:r>
      <w:r>
        <w:rPr>
          <w:rFonts w:hint="eastAsia" w:hAnsi="仿宋_GB2312" w:cs="Times New Roman"/>
          <w:kern w:val="2"/>
          <w:sz w:val="32"/>
          <w:szCs w:val="32"/>
          <w:lang w:val="en-US" w:eastAsia="zh-CN" w:bidi="ar-SA"/>
        </w:rPr>
        <w:t>七个工作日</w:t>
      </w:r>
      <w:r>
        <w:rPr>
          <w:rFonts w:hint="eastAsia" w:ascii="仿宋_GB2312" w:hAnsi="仿宋_GB2312" w:eastAsia="仿宋_GB2312" w:cs="Times New Roman"/>
          <w:kern w:val="2"/>
          <w:sz w:val="32"/>
          <w:szCs w:val="32"/>
          <w:lang w:val="en-US" w:eastAsia="zh-CN" w:bidi="ar-SA"/>
        </w:rPr>
        <w:t>内出具验收意见，并告知相应的养护管理部门，验收不合格的道路及管线不得投入使用。</w:t>
      </w:r>
    </w:p>
    <w:p>
      <w:pPr>
        <w:spacing w:line="560" w:lineRule="exact"/>
        <w:ind w:firstLine="640" w:firstLineChars="200"/>
        <w:rPr>
          <w:rFonts w:hint="eastAsia" w:ascii="Times New Roman" w:eastAsia="黑体"/>
          <w:szCs w:val="32"/>
        </w:rPr>
      </w:pPr>
      <w:r>
        <w:rPr>
          <w:rFonts w:hint="eastAsia" w:ascii="Times New Roman" w:eastAsia="黑体"/>
          <w:szCs w:val="32"/>
        </w:rPr>
        <w:t>第十</w:t>
      </w:r>
      <w:r>
        <w:rPr>
          <w:rFonts w:hint="eastAsia" w:eastAsia="黑体"/>
          <w:szCs w:val="32"/>
        </w:rPr>
        <w:t>四</w:t>
      </w:r>
      <w:r>
        <w:rPr>
          <w:rFonts w:hint="eastAsia" w:ascii="Times New Roman" w:eastAsia="黑体"/>
          <w:szCs w:val="32"/>
        </w:rPr>
        <w:t xml:space="preserve">条  </w:t>
      </w:r>
      <w:r>
        <w:rPr>
          <w:rFonts w:hint="eastAsia" w:hAnsi="仿宋_GB2312"/>
          <w:szCs w:val="32"/>
        </w:rPr>
        <w:t>由养护接收单位接养验收合格的城市道路及配套供排水设施，移交双方应签订移交协议，并向养护主管部门进行备案，协议应约定保修期及具体接养时间，根据时间节点明确各自责任。</w:t>
      </w:r>
    </w:p>
    <w:p>
      <w:pPr>
        <w:pStyle w:val="21"/>
        <w:spacing w:after="0" w:line="560" w:lineRule="exact"/>
        <w:ind w:left="0" w:leftChars="0" w:firstLine="640"/>
        <w:rPr>
          <w:rFonts w:hint="eastAsia" w:ascii="仿宋_GB2312" w:hAnsi="仿宋_GB2312" w:eastAsia="仿宋_GB2312"/>
          <w:kern w:val="2"/>
        </w:rPr>
      </w:pPr>
      <w:r>
        <w:rPr>
          <w:rFonts w:hint="eastAsia" w:ascii="仿宋_GB2312" w:hAnsi="仿宋_GB2312" w:eastAsia="仿宋_GB2312"/>
          <w:kern w:val="2"/>
        </w:rPr>
        <w:t>移交协议签署前，城市道路及供排水设施的运营、养护和应急抢险等责任由建设单位承担。移交协议签署后，城市道路及供排水设施的运营、养护和应急抢险等责任，按照移交协议确定的时间节点由管理养护单位承担。</w:t>
      </w:r>
    </w:p>
    <w:p>
      <w:pPr>
        <w:pStyle w:val="21"/>
        <w:spacing w:after="0" w:line="560" w:lineRule="exact"/>
        <w:ind w:left="0" w:leftChars="0" w:firstLine="640"/>
        <w:rPr>
          <w:rFonts w:hint="eastAsia" w:eastAsia="黑体"/>
        </w:rPr>
      </w:pPr>
      <w:r>
        <w:rPr>
          <w:rFonts w:hint="eastAsia" w:eastAsia="黑体"/>
        </w:rPr>
        <w:t xml:space="preserve">第十五条  </w:t>
      </w:r>
      <w:r>
        <w:rPr>
          <w:rFonts w:hint="eastAsia" w:ascii="仿宋_GB2312" w:hAnsi="仿宋_GB2312" w:eastAsia="仿宋_GB2312"/>
          <w:kern w:val="2"/>
        </w:rPr>
        <w:t>城市道路及配套排水设施管理养护经费由管理养护主管部门按相关标准向区财政局申请年度预算，区财政局负责养护经费的核定及拨付。</w:t>
      </w:r>
    </w:p>
    <w:p>
      <w:pPr>
        <w:pStyle w:val="10"/>
        <w:spacing w:after="0" w:line="560" w:lineRule="exact"/>
        <w:ind w:firstLine="640" w:firstLineChars="200"/>
        <w:rPr>
          <w:rFonts w:hint="eastAsia" w:ascii="Times New Roman" w:eastAsia="黑体"/>
          <w:szCs w:val="32"/>
        </w:rPr>
      </w:pPr>
      <w:r>
        <w:rPr>
          <w:rFonts w:hint="eastAsia" w:ascii="Times New Roman" w:eastAsia="黑体"/>
          <w:szCs w:val="32"/>
        </w:rPr>
        <w:t>第</w:t>
      </w:r>
      <w:r>
        <w:rPr>
          <w:rFonts w:hint="eastAsia" w:eastAsia="黑体"/>
          <w:szCs w:val="32"/>
        </w:rPr>
        <w:t>十六</w:t>
      </w:r>
      <w:r>
        <w:rPr>
          <w:rFonts w:hint="eastAsia" w:ascii="Times New Roman" w:eastAsia="黑体"/>
          <w:szCs w:val="32"/>
        </w:rPr>
        <w:t xml:space="preserve">条  </w:t>
      </w:r>
      <w:r>
        <w:rPr>
          <w:rFonts w:hint="eastAsia" w:hAnsi="仿宋_GB2312"/>
          <w:szCs w:val="32"/>
        </w:rPr>
        <w:t>建设单位与管理养护单位在移交过程中发生争议的，应协商解决。协商不成的，由区城管委、区水务局组织相关部门及单位进行协商。</w:t>
      </w:r>
    </w:p>
    <w:p>
      <w:pPr>
        <w:pStyle w:val="10"/>
        <w:spacing w:after="0" w:line="560" w:lineRule="exact"/>
        <w:ind w:firstLine="640" w:firstLineChars="200"/>
        <w:rPr>
          <w:rFonts w:hint="eastAsia" w:ascii="Times New Roman" w:eastAsia="黑体"/>
          <w:szCs w:val="32"/>
        </w:rPr>
      </w:pPr>
      <w:r>
        <w:rPr>
          <w:rFonts w:hint="eastAsia" w:ascii="Times New Roman" w:eastAsia="黑体"/>
          <w:szCs w:val="32"/>
        </w:rPr>
        <w:t>第</w:t>
      </w:r>
      <w:r>
        <w:rPr>
          <w:rFonts w:hint="eastAsia" w:eastAsia="黑体"/>
          <w:szCs w:val="32"/>
        </w:rPr>
        <w:t>十七</w:t>
      </w:r>
      <w:r>
        <w:rPr>
          <w:rFonts w:hint="eastAsia" w:ascii="Times New Roman" w:eastAsia="黑体"/>
          <w:szCs w:val="32"/>
        </w:rPr>
        <w:t xml:space="preserve">条  </w:t>
      </w:r>
      <w:r>
        <w:rPr>
          <w:rFonts w:hint="eastAsia" w:hAnsi="仿宋_GB2312"/>
          <w:szCs w:val="32"/>
        </w:rPr>
        <w:t>本办法自</w:t>
      </w:r>
      <w:r>
        <w:rPr>
          <w:rFonts w:hint="eastAsia" w:hAnsi="仿宋_GB2312"/>
          <w:szCs w:val="32"/>
          <w:lang w:eastAsia="zh-CN"/>
        </w:rPr>
        <w:t>发布之日</w:t>
      </w:r>
      <w:r>
        <w:rPr>
          <w:rFonts w:hint="eastAsia" w:hAnsi="仿宋_GB2312"/>
          <w:szCs w:val="32"/>
        </w:rPr>
        <w:t>起施行。</w:t>
      </w:r>
    </w:p>
    <w:p>
      <w:pPr>
        <w:spacing w:line="560" w:lineRule="exact"/>
        <w:ind w:firstLine="640" w:firstLineChars="200"/>
        <w:rPr>
          <w:rFonts w:hint="eastAsia" w:ascii="Times New Roman" w:eastAsia="黑体"/>
          <w:szCs w:val="32"/>
        </w:rPr>
      </w:pPr>
      <w:r>
        <w:rPr>
          <w:rFonts w:hint="eastAsia" w:ascii="Times New Roman" w:eastAsia="黑体"/>
          <w:szCs w:val="32"/>
        </w:rPr>
        <w:t>第</w:t>
      </w:r>
      <w:r>
        <w:rPr>
          <w:rFonts w:hint="eastAsia" w:eastAsia="黑体"/>
          <w:szCs w:val="32"/>
        </w:rPr>
        <w:t>十八</w:t>
      </w:r>
      <w:r>
        <w:rPr>
          <w:rFonts w:hint="eastAsia" w:ascii="Times New Roman" w:eastAsia="黑体"/>
          <w:szCs w:val="32"/>
        </w:rPr>
        <w:t xml:space="preserve">条  </w:t>
      </w:r>
      <w:r>
        <w:rPr>
          <w:rFonts w:hint="eastAsia" w:hAnsi="仿宋_GB2312"/>
          <w:szCs w:val="32"/>
        </w:rPr>
        <w:t>区城市管理委、区水务局对本办法负责解释，有效期3年。有关法律政策依据变化或有效期届满，根据实施情况依法进行评估修订。</w:t>
      </w:r>
    </w:p>
    <w:sectPr>
      <w:footerReference r:id="rId5" w:type="first"/>
      <w:footerReference r:id="rId3" w:type="default"/>
      <w:footerReference r:id="rId4" w:type="even"/>
      <w:pgSz w:w="11906" w:h="16838"/>
      <w:pgMar w:top="2098" w:right="1474" w:bottom="1984" w:left="1588" w:header="851" w:footer="992" w:gutter="0"/>
      <w:paperSrc/>
      <w:pgNumType w:fmt="decimal" w:start="1"/>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BatangChe">
    <w:altName w:val="宋体"/>
    <w:panose1 w:val="00000000000000000000"/>
    <w:charset w:val="81"/>
    <w:family w:val="modern"/>
    <w:pitch w:val="default"/>
    <w:sig w:usb0="00000000" w:usb1="00000000" w:usb2="00000030" w:usb3="00000000" w:csb0="0008009F" w:csb1="00000000"/>
  </w:font>
  <w:font w:name="Verdana">
    <w:altName w:val="DejaVu Sans"/>
    <w:panose1 w:val="020B0604030504040204"/>
    <w:charset w:val="00"/>
    <w:family w:val="swiss"/>
    <w:pitch w:val="default"/>
    <w:sig w:usb0="00000000" w:usb1="00000000"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103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6"/>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- 3 -</w:t>
                          </w:r>
                          <w:r>
                            <w:rPr>
                              <w:rFonts w:hint="eastAsia" w:ascii="宋体" w:hAnsi="宋体" w:eastAsia="宋体"/>
                              <w:sz w:val="28"/>
                              <w:szCs w:val="28"/>
                            </w:rPr>
                            <w:fldChar w:fldCharType="end"/>
                          </w:r>
                        </w:p>
                        <w:p/>
                      </w:txbxContent>
                    </wps:txbx>
                    <wps:bodyPr rot="0" vert="horz" wrap="square" lIns="91440" tIns="45720" rIns="91440" bIns="45720" anchor="t" anchorCtr="false"/>
                  </wps:wsp>
                </a:graphicData>
              </a:graphic>
            </wp:anchor>
          </w:drawing>
        </mc:Choice>
        <mc:Fallback>
          <w:pict>
            <v:rect id="_x0000_s1032" o:spid="_x0000_s1026" o:spt="1" style="position:absolute;left:0pt;margin-top:0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Y&#10;xs8E0wAAAAUBAAAPAAAAAAAAAAEAIAAAADgAAABkcnMvZG93bnJldi54bWxQSwECFAAUAAAACACH&#10;TuJA3hsvKqEBAAA8AwAADgAAAAAAAAABACAAAAA4AQAAZHJzL2Uyb0RvYy54bWxQSwUGAAAAAAYA&#10;BgBZAQAASwUAAAAA&#10;">
              <v:fill on="f" focussize="0,0"/>
              <v:stroke on="f"/>
              <v:imagedata o:title=""/>
              <o:lock v:ext="edit" aspectratio="f"/>
              <v:textbox>
                <w:txbxContent>
                  <w:p>
                    <w:pPr>
                      <w:pStyle w:val="16"/>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- 3 -</w:t>
                    </w:r>
                    <w:r>
                      <w:rPr>
                        <w:rFonts w:hint="eastAsia" w:ascii="宋体" w:hAnsi="宋体" w:eastAsia="宋体"/>
                        <w:sz w:val="28"/>
                        <w:szCs w:val="28"/>
                      </w:rPr>
                      <w:fldChar w:fldCharType="end"/>
                    </w:r>
                  </w:p>
                  <w:p/>
                </w:txbxContent>
              </v:textbox>
            </v:rect>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8"/>
      </w:rPr>
    </w:pPr>
    <w:r>
      <w:rPr>
        <w:sz w:val="2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103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6"/>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- 2 -</w:t>
                          </w:r>
                          <w:r>
                            <w:rPr>
                              <w:rFonts w:hint="eastAsia" w:ascii="宋体" w:hAnsi="宋体" w:eastAsia="宋体"/>
                              <w:sz w:val="28"/>
                              <w:szCs w:val="28"/>
                            </w:rPr>
                            <w:fldChar w:fldCharType="end"/>
                          </w:r>
                        </w:p>
                        <w:p/>
                      </w:txbxContent>
                    </wps:txbx>
                    <wps:bodyPr rot="0" vert="horz" wrap="square" lIns="91440" tIns="45720" rIns="91440" bIns="45720" anchor="t" anchorCtr="false"/>
                  </wps:wsp>
                </a:graphicData>
              </a:graphic>
            </wp:anchor>
          </w:drawing>
        </mc:Choice>
        <mc:Fallback>
          <w:pict>
            <v:rect id="_x0000_s1033" o:spid="_x0000_s1026" o:spt="1" style="position:absolute;left:0pt;margin-top:0pt;height:144pt;width:144pt;mso-position-horizontal:outside;mso-position-horizontal-relative:margin;z-index:251660288;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2MbPBNMAAAAFAQAADwAAAAAAAAABACAAAAA4AAAAZHJzL2Rvd25yZXYueG1sUEsBAhQAFAAAAAgA&#10;h07iQMkpA5yiAQAAPAMAAA4AAAAAAAAAAQAgAAAAOAEAAGRycy9lMm9Eb2MueG1sUEsFBgAAAAAG&#10;AAYAWQEAAEwFAAAAAA==&#10;">
              <v:fill on="f" focussize="0,0"/>
              <v:stroke on="f"/>
              <v:imagedata o:title=""/>
              <o:lock v:ext="edit" aspectratio="f"/>
              <v:textbox>
                <w:txbxContent>
                  <w:p>
                    <w:pPr>
                      <w:pStyle w:val="16"/>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- 2 -</w:t>
                    </w:r>
                    <w:r>
                      <w:rPr>
                        <w:rFonts w:hint="eastAsia" w:ascii="宋体" w:hAnsi="宋体" w:eastAsia="宋体"/>
                        <w:sz w:val="28"/>
                        <w:szCs w:val="28"/>
                      </w:rPr>
                      <w:fldChar w:fldCharType="end"/>
                    </w:r>
                  </w:p>
                  <w:p/>
                </w:txbxContent>
              </v:textbox>
            </v:rect>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left"/>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103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6"/>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- 1 -</w:t>
                          </w:r>
                          <w:r>
                            <w:rPr>
                              <w:rFonts w:hint="eastAsia" w:ascii="宋体" w:hAnsi="宋体" w:eastAsia="宋体"/>
                              <w:sz w:val="28"/>
                              <w:szCs w:val="28"/>
                            </w:rPr>
                            <w:fldChar w:fldCharType="end"/>
                          </w:r>
                        </w:p>
                        <w:p/>
                      </w:txbxContent>
                    </wps:txbx>
                    <wps:bodyPr rot="0" vert="horz" wrap="square" lIns="91440" tIns="45720" rIns="91440" bIns="45720" anchor="t" anchorCtr="false"/>
                  </wps:wsp>
                </a:graphicData>
              </a:graphic>
            </wp:anchor>
          </w:drawing>
        </mc:Choice>
        <mc:Fallback>
          <w:pict>
            <v:rect id="_x0000_s1034" o:spid="_x0000_s1026" o:spt="1" style="position:absolute;left:0pt;margin-top:0pt;height:144pt;width:144pt;mso-position-horizontal:outside;mso-position-horizontal-relative:margin;z-index:251660288;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2MbPBNMAAAAFAQAADwAAAAAAAAABACAAAAA4AAAAZHJzL2Rvd25yZXYueG1sUEsBAhQAFAAAAAgA&#10;h07iQN3qNZKiAQAAPAMAAA4AAAAAAAAAAQAgAAAAOAEAAGRycy9lMm9Eb2MueG1sUEsFBgAAAAAG&#10;AAYAWQEAAEwFAAAAAA==&#10;">
              <v:fill on="f" focussize="0,0"/>
              <v:stroke on="f"/>
              <v:imagedata o:title=""/>
              <o:lock v:ext="edit" aspectratio="f"/>
              <v:textbox>
                <w:txbxContent>
                  <w:p>
                    <w:pPr>
                      <w:pStyle w:val="16"/>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- 1 -</w:t>
                    </w:r>
                    <w:r>
                      <w:rPr>
                        <w:rFonts w:hint="eastAsia" w:ascii="宋体" w:hAnsi="宋体" w:eastAsia="宋体"/>
                        <w:sz w:val="28"/>
                        <w:szCs w:val="28"/>
                      </w:rPr>
                      <w:fldChar w:fldCharType="end"/>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cumentProtection w:enforcement="0"/>
  <w:defaultTabStop w:val="420"/>
  <w:evenAndOddHeaders w:val="true"/>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FC178"/>
    <w:rsid w:val="568E186A"/>
    <w:rsid w:val="630E036B"/>
    <w:rsid w:val="7EF7C247"/>
    <w:rsid w:val="7F1F0A30"/>
    <w:rsid w:val="7F53B093"/>
    <w:rsid w:val="7FAFB714"/>
    <w:rsid w:val="7FDE68ED"/>
    <w:rsid w:val="7FFFBC63"/>
    <w:rsid w:val="B7FF78AF"/>
    <w:rsid w:val="DEC6F6E5"/>
    <w:rsid w:val="DFFF9603"/>
    <w:rsid w:val="E7FFD1B1"/>
    <w:rsid w:val="FEA63052"/>
    <w:rsid w:val="FF3E74D5"/>
    <w:rsid w:val="FFEFE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semiHidden/>
    <w:qFormat/>
    <w:uiPriority w:val="0"/>
    <w:pPr>
      <w:tabs>
        <w:tab w:val="right" w:leader="dot" w:pos="9241"/>
      </w:tabs>
      <w:spacing w:line="560" w:lineRule="exact"/>
    </w:pPr>
    <w:rPr>
      <w:rFonts w:ascii="方正小标宋简体" w:hAnsi="BatangChe" w:eastAsia="方正小标宋简体"/>
      <w:sz w:val="44"/>
      <w:szCs w:val="44"/>
    </w:rPr>
  </w:style>
  <w:style w:type="paragraph" w:customStyle="1" w:styleId="6">
    <w:name w:val="标题 11"/>
    <w:basedOn w:val="1"/>
    <w:qFormat/>
    <w:uiPriority w:val="0"/>
    <w:pPr>
      <w:spacing w:before="100" w:beforeAutospacing="1" w:after="100" w:afterAutospacing="1"/>
      <w:jc w:val="left"/>
    </w:pPr>
    <w:rPr>
      <w:rFonts w:hint="eastAsia" w:ascii="宋体" w:hAnsi="宋体" w:eastAsia="宋体"/>
      <w:b/>
      <w:kern w:val="44"/>
      <w:sz w:val="48"/>
      <w:szCs w:val="48"/>
      <w:lang w:val="en-US" w:eastAsia="zh-CN" w:bidi="ar"/>
    </w:rPr>
  </w:style>
  <w:style w:type="paragraph" w:customStyle="1" w:styleId="7">
    <w:name w:val="标题 21"/>
    <w:basedOn w:val="1"/>
    <w:qFormat/>
    <w:uiPriority w:val="0"/>
    <w:pPr>
      <w:spacing w:before="100" w:beforeAutospacing="1" w:after="100" w:afterAutospacing="1"/>
      <w:jc w:val="left"/>
    </w:pPr>
    <w:rPr>
      <w:rFonts w:hint="eastAsia" w:ascii="宋体" w:hAnsi="宋体" w:eastAsia="宋体"/>
      <w:b/>
      <w:kern w:val="0"/>
      <w:sz w:val="36"/>
      <w:szCs w:val="36"/>
      <w:lang w:val="en-US" w:eastAsia="zh-CN" w:bidi="ar"/>
    </w:rPr>
  </w:style>
  <w:style w:type="character" w:customStyle="1" w:styleId="8">
    <w:name w:val="默认段落字体1"/>
    <w:link w:val="1"/>
    <w:qFormat/>
    <w:uiPriority w:val="0"/>
  </w:style>
  <w:style w:type="table" w:customStyle="1" w:styleId="9">
    <w:name w:val="普通表格1"/>
    <w:qFormat/>
    <w:uiPriority w:val="0"/>
  </w:style>
  <w:style w:type="paragraph" w:customStyle="1" w:styleId="10">
    <w:name w:val="正文文本1"/>
    <w:basedOn w:val="1"/>
    <w:link w:val="11"/>
    <w:qFormat/>
    <w:uiPriority w:val="0"/>
    <w:pPr>
      <w:spacing w:after="120"/>
    </w:pPr>
    <w:rPr>
      <w:rFonts w:hAnsi="Calibri"/>
      <w:szCs w:val="22"/>
    </w:rPr>
  </w:style>
  <w:style w:type="character" w:customStyle="1" w:styleId="11">
    <w:name w:val="正文文本 字符"/>
    <w:link w:val="10"/>
    <w:qFormat/>
    <w:uiPriority w:val="0"/>
    <w:rPr>
      <w:rFonts w:ascii="仿宋_GB2312" w:hAnsi="Calibri" w:eastAsia="仿宋_GB2312"/>
      <w:kern w:val="2"/>
      <w:sz w:val="32"/>
      <w:szCs w:val="22"/>
    </w:rPr>
  </w:style>
  <w:style w:type="paragraph" w:customStyle="1" w:styleId="12">
    <w:name w:val="正文文本缩进1"/>
    <w:basedOn w:val="1"/>
    <w:link w:val="13"/>
    <w:qFormat/>
    <w:uiPriority w:val="0"/>
    <w:pPr>
      <w:snapToGrid w:val="0"/>
      <w:spacing w:line="300" w:lineRule="auto"/>
      <w:ind w:firstLine="198"/>
    </w:pPr>
    <w:rPr>
      <w:rFonts w:ascii="宋体" w:hAnsi="宋体" w:eastAsia="宋体"/>
    </w:rPr>
  </w:style>
  <w:style w:type="character" w:customStyle="1" w:styleId="13">
    <w:name w:val="正文文本缩进 字符"/>
    <w:link w:val="12"/>
    <w:qFormat/>
    <w:uiPriority w:val="0"/>
    <w:rPr>
      <w:rFonts w:ascii="宋体" w:hAnsi="宋体" w:eastAsia="宋体"/>
      <w:kern w:val="2"/>
      <w:sz w:val="32"/>
      <w:szCs w:val="24"/>
      <w:lang w:val="en-US" w:eastAsia="zh-CN" w:bidi="ar-SA"/>
    </w:rPr>
  </w:style>
  <w:style w:type="paragraph" w:customStyle="1" w:styleId="14">
    <w:name w:val="日期1"/>
    <w:basedOn w:val="1"/>
    <w:qFormat/>
    <w:uiPriority w:val="0"/>
    <w:pPr>
      <w:ind w:left="100" w:leftChars="2500"/>
    </w:pPr>
  </w:style>
  <w:style w:type="paragraph" w:customStyle="1" w:styleId="15">
    <w:name w:val="批注框文本1"/>
    <w:basedOn w:val="1"/>
    <w:semiHidden/>
    <w:qFormat/>
    <w:uiPriority w:val="0"/>
    <w:rPr>
      <w:sz w:val="18"/>
      <w:szCs w:val="18"/>
    </w:rPr>
  </w:style>
  <w:style w:type="paragraph" w:customStyle="1" w:styleId="16">
    <w:name w:val="页脚1"/>
    <w:basedOn w:val="1"/>
    <w:link w:val="17"/>
    <w:qFormat/>
    <w:uiPriority w:val="0"/>
    <w:pPr>
      <w:tabs>
        <w:tab w:val="center" w:pos="4153"/>
        <w:tab w:val="right" w:pos="8306"/>
      </w:tabs>
      <w:snapToGrid w:val="0"/>
      <w:jc w:val="left"/>
    </w:pPr>
    <w:rPr>
      <w:rFonts w:hAnsi="Verdana"/>
      <w:sz w:val="18"/>
      <w:szCs w:val="18"/>
    </w:rPr>
  </w:style>
  <w:style w:type="character" w:customStyle="1" w:styleId="17">
    <w:name w:val="页脚 字符"/>
    <w:link w:val="16"/>
    <w:qFormat/>
    <w:uiPriority w:val="0"/>
    <w:rPr>
      <w:rFonts w:ascii="仿宋_GB2312" w:hAnsi="Verdana" w:eastAsia="仿宋_GB2312"/>
      <w:kern w:val="2"/>
      <w:sz w:val="18"/>
      <w:szCs w:val="18"/>
      <w:lang w:val="en-US" w:eastAsia="zh-CN" w:bidi="ar-SA"/>
    </w:rPr>
  </w:style>
  <w:style w:type="paragraph" w:customStyle="1" w:styleId="18">
    <w:name w:val="页眉1"/>
    <w:basedOn w:val="1"/>
    <w:link w:val="19"/>
    <w:qFormat/>
    <w:uiPriority w:val="0"/>
    <w:pPr>
      <w:pBdr>
        <w:bottom w:val="single" w:color="auto" w:sz="6" w:space="1"/>
      </w:pBdr>
      <w:tabs>
        <w:tab w:val="center" w:pos="4153"/>
        <w:tab w:val="right" w:pos="8306"/>
      </w:tabs>
      <w:snapToGrid w:val="0"/>
      <w:jc w:val="center"/>
    </w:pPr>
    <w:rPr>
      <w:sz w:val="18"/>
      <w:szCs w:val="18"/>
    </w:rPr>
  </w:style>
  <w:style w:type="character" w:customStyle="1" w:styleId="19">
    <w:name w:val="页眉 字符"/>
    <w:link w:val="18"/>
    <w:qFormat/>
    <w:uiPriority w:val="0"/>
    <w:rPr>
      <w:rFonts w:ascii="仿宋_GB2312" w:eastAsia="仿宋_GB2312"/>
      <w:kern w:val="2"/>
      <w:sz w:val="18"/>
      <w:szCs w:val="18"/>
    </w:rPr>
  </w:style>
  <w:style w:type="paragraph" w:customStyle="1" w:styleId="20">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21">
    <w:name w:val="正文文本首行缩进 2"/>
    <w:basedOn w:val="12"/>
    <w:link w:val="22"/>
    <w:qFormat/>
    <w:uiPriority w:val="0"/>
    <w:pPr>
      <w:snapToGrid/>
      <w:spacing w:after="120" w:line="240" w:lineRule="auto"/>
      <w:ind w:left="420" w:leftChars="200" w:firstLine="420" w:firstLineChars="200"/>
    </w:pPr>
    <w:rPr>
      <w:rFonts w:ascii="Times New Roman" w:hAnsi="Times New Roman"/>
      <w:kern w:val="0"/>
      <w:szCs w:val="32"/>
    </w:rPr>
  </w:style>
  <w:style w:type="character" w:customStyle="1" w:styleId="22">
    <w:name w:val="正文文本首行缩进 2 字符"/>
    <w:link w:val="21"/>
    <w:qFormat/>
    <w:uiPriority w:val="0"/>
    <w:rPr>
      <w:sz w:val="32"/>
      <w:szCs w:val="32"/>
    </w:rPr>
  </w:style>
  <w:style w:type="table" w:customStyle="1" w:styleId="23">
    <w:name w:val="网格型11"/>
    <w:basedOn w:val="9"/>
    <w:qFormat/>
    <w:uiPriority w:val="0"/>
    <w:pPr>
      <w:widowControl w:val="0"/>
      <w:jc w:val="both"/>
    </w:pPr>
    <w:rPr>
      <w:rFonts w:ascii="仿宋_GB2312" w:eastAsia="仿宋_GB2312"/>
      <w:sz w:val="32"/>
    </w:rPr>
  </w:style>
  <w:style w:type="character" w:customStyle="1" w:styleId="24">
    <w:name w:val="要点1"/>
    <w:link w:val="1"/>
    <w:qFormat/>
    <w:uiPriority w:val="0"/>
    <w:rPr>
      <w:b/>
      <w:bCs/>
    </w:rPr>
  </w:style>
  <w:style w:type="character" w:customStyle="1" w:styleId="25">
    <w:name w:val="页码1"/>
    <w:link w:val="1"/>
    <w:qFormat/>
    <w:uiPriority w:val="0"/>
    <w:rPr>
      <w:rFonts w:ascii="Verdana" w:hAnsi="Verdana" w:eastAsia="仿宋_GB2312"/>
      <w:kern w:val="0"/>
      <w:sz w:val="24"/>
      <w:lang w:eastAsia="en-US"/>
    </w:rPr>
  </w:style>
  <w:style w:type="character" w:customStyle="1" w:styleId="26">
    <w:name w:val="访问过的超链接"/>
    <w:link w:val="1"/>
    <w:qFormat/>
    <w:uiPriority w:val="0"/>
    <w:rPr>
      <w:rFonts w:ascii="Verdana" w:hAnsi="Verdana" w:eastAsia="仿宋_GB2312"/>
      <w:color w:val="800080"/>
      <w:kern w:val="0"/>
      <w:sz w:val="24"/>
      <w:u w:val="single"/>
      <w:lang w:eastAsia="en-US"/>
    </w:rPr>
  </w:style>
  <w:style w:type="character" w:customStyle="1" w:styleId="27">
    <w:name w:val="超链接1"/>
    <w:link w:val="1"/>
    <w:qFormat/>
    <w:uiPriority w:val="0"/>
    <w:rPr>
      <w:rFonts w:ascii="Verdana" w:hAnsi="Verdana" w:eastAsia="仿宋_GB2312"/>
      <w:color w:val="0000FF"/>
      <w:kern w:val="0"/>
      <w:sz w:val="24"/>
      <w:u w:val="single"/>
      <w:lang w:eastAsia="en-US"/>
    </w:rPr>
  </w:style>
  <w:style w:type="character" w:customStyle="1" w:styleId="28">
    <w:name w:val="页脚 Char"/>
    <w:link w:val="1"/>
    <w:qFormat/>
    <w:uiPriority w:val="0"/>
    <w:rPr>
      <w:rFonts w:eastAsia="Calibri"/>
      <w:sz w:val="21"/>
    </w:rPr>
  </w:style>
  <w:style w:type="character" w:customStyle="1" w:styleId="29">
    <w:name w:val="页脚 Char1"/>
    <w:link w:val="1"/>
    <w:qFormat/>
    <w:uiPriority w:val="0"/>
    <w:rPr>
      <w:rFonts w:ascii="仿宋_GB2312" w:hAnsi="Verdana" w:eastAsia="仿宋_GB2312"/>
      <w:kern w:val="2"/>
      <w:sz w:val="18"/>
      <w:szCs w:val="18"/>
      <w:lang w:val="en-US" w:eastAsia="zh-CN" w:bidi="ar-SA"/>
    </w:rPr>
  </w:style>
  <w:style w:type="character" w:customStyle="1" w:styleId="30">
    <w:name w:val="NormalCharacter"/>
    <w:link w:val="1"/>
    <w:qFormat/>
    <w:uiPriority w:val="0"/>
  </w:style>
  <w:style w:type="character" w:customStyle="1" w:styleId="31">
    <w:name w:val="正文首行缩进 2 Char"/>
    <w:link w:val="1"/>
    <w:semiHidden/>
    <w:qFormat/>
    <w:uiPriority w:val="0"/>
    <w:rPr>
      <w:rFonts w:ascii="仿宋_GB2312" w:hAnsi="宋体" w:eastAsia="仿宋_GB2312"/>
      <w:kern w:val="2"/>
      <w:sz w:val="32"/>
      <w:szCs w:val="24"/>
      <w:lang w:val="en-US" w:eastAsia="zh-CN" w:bidi="ar-SA"/>
    </w:rPr>
  </w:style>
  <w:style w:type="paragraph" w:customStyle="1" w:styleId="32">
    <w:name w:val="Char1"/>
    <w:basedOn w:val="1"/>
    <w:qFormat/>
    <w:uiPriority w:val="0"/>
    <w:pPr>
      <w:widowControl/>
      <w:spacing w:after="160" w:line="240" w:lineRule="exact"/>
      <w:jc w:val="left"/>
    </w:pPr>
    <w:rPr>
      <w:rFonts w:ascii="Verdana" w:hAnsi="Verdana"/>
      <w:kern w:val="0"/>
      <w:sz w:val="24"/>
      <w:lang w:eastAsia="en-US"/>
    </w:rPr>
  </w:style>
  <w:style w:type="paragraph" w:customStyle="1" w:styleId="33">
    <w:name w:val="PlainText"/>
    <w:basedOn w:val="1"/>
    <w:qFormat/>
    <w:uiPriority w:val="0"/>
    <w:pPr>
      <w:spacing w:line="240" w:lineRule="auto"/>
      <w:jc w:val="both"/>
    </w:pPr>
    <w:rPr>
      <w:rFonts w:ascii="宋体" w:hAnsi="Courier New" w:eastAsia="宋体"/>
      <w:kern w:val="2"/>
      <w:sz w:val="21"/>
      <w:lang w:val="en-US" w:eastAsia="zh-CN" w:bidi="ar-SA"/>
    </w:rPr>
  </w:style>
  <w:style w:type="paragraph" w:customStyle="1" w:styleId="34">
    <w:name w:val="Char2"/>
    <w:basedOn w:val="1"/>
    <w:qFormat/>
    <w:uiPriority w:val="0"/>
    <w:pPr>
      <w:widowControl/>
      <w:spacing w:after="160" w:line="240" w:lineRule="exact"/>
      <w:jc w:val="left"/>
    </w:pPr>
    <w:rPr>
      <w:rFonts w:ascii="Verdana" w:hAnsi="Verdana"/>
      <w:kern w:val="0"/>
      <w:sz w:val="24"/>
      <w:szCs w:val="20"/>
      <w:lang w:eastAsia="en-US"/>
    </w:rPr>
  </w:style>
  <w:style w:type="paragraph" w:customStyle="1" w:styleId="35">
    <w:name w:val="Default"/>
    <w:basedOn w:val="1"/>
    <w:qFormat/>
    <w:uiPriority w:val="0"/>
    <w:pPr>
      <w:autoSpaceDE w:val="0"/>
      <w:autoSpaceDN w:val="0"/>
      <w:jc w:val="left"/>
    </w:pPr>
    <w:rPr>
      <w:rFonts w:ascii="Calibri" w:hAnsi="Calibri" w:eastAsia="宋体"/>
      <w:color w:val="000000"/>
      <w:kern w:val="0"/>
      <w:sz w:val="24"/>
      <w:szCs w:val="20"/>
    </w:rPr>
  </w:style>
  <w:style w:type="paragraph" w:customStyle="1" w:styleId="36">
    <w:name w:val="p0"/>
    <w:basedOn w:val="1"/>
    <w:qFormat/>
    <w:uiPriority w:val="0"/>
    <w:pPr>
      <w:widowControl/>
    </w:pPr>
    <w:rPr>
      <w:rFonts w:ascii="Times New Roman" w:eastAsia="宋体"/>
      <w:kern w:val="0"/>
      <w:sz w:val="21"/>
      <w:szCs w:val="21"/>
    </w:rPr>
  </w:style>
  <w:style w:type="paragraph" w:customStyle="1" w:styleId="3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8">
    <w:name w:val="无间隔"/>
    <w:qFormat/>
    <w:uiPriority w:val="0"/>
    <w:pPr>
      <w:widowControl w:val="0"/>
      <w:jc w:val="both"/>
    </w:pPr>
    <w:rPr>
      <w:rFonts w:ascii="仿宋_GB2312" w:hAnsi="Times New Roman" w:eastAsia="仿宋_GB2312" w:cs="Times New Roman"/>
      <w:kern w:val="2"/>
      <w:sz w:val="32"/>
      <w:szCs w:val="24"/>
      <w:lang w:val="en-US" w:eastAsia="zh-CN" w:bidi="ar-SA"/>
    </w:rPr>
  </w:style>
  <w:style w:type="paragraph" w:customStyle="1" w:styleId="39">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kern w:val="0"/>
      <w:sz w:val="24"/>
      <w:lang w:eastAsia="en-US"/>
    </w:rPr>
  </w:style>
  <w:style w:type="paragraph" w:customStyle="1" w:styleId="40">
    <w:name w:val="Char"/>
    <w:basedOn w:val="1"/>
    <w:qFormat/>
    <w:uiPriority w:val="0"/>
    <w:pPr>
      <w:widowControl/>
      <w:spacing w:after="160" w:line="240" w:lineRule="exact"/>
      <w:jc w:val="left"/>
    </w:pPr>
    <w:rPr>
      <w:rFonts w:ascii="Verdana" w:hAnsi="Verdana"/>
      <w:kern w:val="0"/>
      <w:sz w:val="24"/>
      <w:lang w:eastAsia="en-US"/>
    </w:rPr>
  </w:style>
  <w:style w:type="paragraph" w:customStyle="1" w:styleId="4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0"/>
    <w:pPr>
      <w:ind w:firstLine="420" w:firstLineChars="200"/>
    </w:pPr>
  </w:style>
  <w:style w:type="paragraph" w:customStyle="1" w:styleId="43">
    <w:name w:val="发文字号"/>
    <w:basedOn w:val="1"/>
    <w:qFormat/>
    <w:uiPriority w:val="0"/>
    <w:pPr>
      <w:jc w:val="center"/>
    </w:pPr>
    <w:rPr>
      <w:rFonts w:ascii="Times New Roman"/>
      <w:szCs w:val="20"/>
    </w:rPr>
  </w:style>
  <w:style w:type="table" w:customStyle="1" w:styleId="44">
    <w:name w:val="网格型4"/>
    <w:basedOn w:val="9"/>
    <w:qFormat/>
    <w:uiPriority w:val="0"/>
    <w:rPr>
      <w:rFonts w:ascii="等线" w:hAnsi="等线" w:eastAsia="等线"/>
      <w:kern w:val="2"/>
      <w:sz w:val="21"/>
      <w:szCs w:val="22"/>
    </w:rPr>
  </w:style>
  <w:style w:type="table" w:customStyle="1" w:styleId="45">
    <w:name w:val="网格型3"/>
    <w:basedOn w:val="9"/>
    <w:qFormat/>
    <w:uiPriority w:val="0"/>
    <w:pPr>
      <w:widowControl w:val="0"/>
      <w:jc w:val="both"/>
    </w:pPr>
  </w:style>
  <w:style w:type="table" w:customStyle="1" w:styleId="46">
    <w:name w:val="网格型1"/>
    <w:basedOn w:val="9"/>
    <w:qFormat/>
    <w:uiPriority w:val="0"/>
    <w:pPr>
      <w:widowControl w:val="0"/>
      <w:jc w:val="both"/>
    </w:pPr>
  </w:style>
  <w:style w:type="table" w:customStyle="1" w:styleId="47">
    <w:name w:val="网格型2"/>
    <w:basedOn w:val="9"/>
    <w:qFormat/>
    <w:uiPriority w:val="0"/>
    <w:pPr>
      <w:widowControl w:val="0"/>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2084</Words>
  <Characters>2108</Characters>
  <Lines>0</Lines>
  <Paragraphs>0</Paragraphs>
  <TotalTime>207</TotalTime>
  <ScaleCrop>false</ScaleCrop>
  <LinksUpToDate>false</LinksUpToDate>
  <CharactersWithSpaces>2144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2025-02-23T07:53:00Z</dcterms:created>
  <dc:creator>user</dc:creator>
  <cp:lastModifiedBy>user</cp:lastModifiedBy>
  <cp:lastPrinted>2025-02-23T07:53:00Z</cp:lastPrinted>
  <dcterms:modified xsi:type="dcterms:W3CDTF">2025-03-20T16:19:44Z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eyJoZGlkIjoiOTFiYTgzNmQ0YmE5NmU4OTIyNDU2YmQ2ZjE0OTFlOTciLCJ1c2VySWQiOiIxNjI3MDcyNDU3In0=</vt:lpwstr>
  </property>
  <property fmtid="{D5CDD505-2E9C-101B-9397-08002B2CF9AE}" pid="4" name="ICV">
    <vt:lpwstr>582547E0BFC34E539CA5023A516E28FD_13</vt:lpwstr>
  </property>
</Properties>
</file>