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Lines="0" w:afterLines="0"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 w:bidi="ar-SA"/>
        </w:rPr>
        <w:t>附件1：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北京市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大兴区202</w:t>
      </w:r>
      <w:r>
        <w:rPr>
          <w:rFonts w:hint="default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年政务公开工作要点</w:t>
      </w:r>
    </w:p>
    <w:p>
      <w:pPr>
        <w:adjustRightInd w:val="0"/>
        <w:snapToGrid w:val="0"/>
        <w:spacing w:line="560" w:lineRule="exact"/>
        <w:jc w:val="center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（征求意见稿）</w:t>
      </w:r>
    </w:p>
    <w:p>
      <w:pPr>
        <w:adjustRightInd w:val="0"/>
        <w:snapToGrid w:val="0"/>
        <w:spacing w:line="560" w:lineRule="exact"/>
        <w:ind w:right="643" w:rightChars="306"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2025年是“十四五”规划收官之年，也是为“十五五”良好开局打牢基础的关键之年，为深化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区政务公开工作，进一步提升政务公开标准化、规范化、数字化水平，更好发挥政务公开促落实、强监管、优服务、助决策功能，助力全区经济社会高质量发展，结合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区实际，制定本工作要点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0"/>
        <w:rPr>
          <w:rFonts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一、总体要求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1"/>
        <w:rPr>
          <w:rFonts w:ascii="楷体_GB2312" w:hAnsi="楷体_GB2312" w:eastAsia="楷体_GB2312" w:cs="楷体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（一）指导思想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坚持以习近平新时代中国特色社会主义思想为指导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全面贯彻党的二十大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二十届二中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三中全会精神，认真落实市委十三届六次全会精神，围绕区委区政府重点工作要求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坚持稳中求进、以进促稳，聚焦公众关切，以公开促落实、以公开强监管、以公开优服务、以公开助决策，不断提升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全区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政务公开工作质效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1"/>
        <w:rPr>
          <w:rFonts w:ascii="楷体_GB2312" w:hAnsi="楷体_GB2312" w:eastAsia="楷体_GB2312" w:cs="楷体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（二）基本原则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坚持依法公开。深入贯彻《中华人民共和国政府信息公开条例》，落实落细《中共中央办公厅、国务院办公厅关于做好新时代政务公开工作的意见》《北京市基层政务公开全流程规范》，</w:t>
      </w:r>
      <w:r>
        <w:rPr>
          <w:rFonts w:hint="default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抓严抓牢法治方向，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严格依照条例要求规范公开流程、细化公开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内容，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确保政务公开工作依法依规开展。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坚持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需求导向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。聚焦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企业公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众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关切，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对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民生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关注度高、专业性强、办事需求量大的政策，各部门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要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“按需归集、应归尽归”，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开展定向精准推送，讲明讲透政策重点，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实现惠企利民政策主动触达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持续提升政策知晓率和兑现效率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坚持改革创新。积极运用互联网、大数据、人工智能等新技术新手段，推进政务公开数字化转型，创新公开方式方法，拓展公开渠道载体，打造智慧政务公开新模式，持续提升政务公开工作效率和质量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1"/>
        <w:rPr>
          <w:rFonts w:ascii="楷体_GB2312" w:hAnsi="楷体_GB2312" w:eastAsia="楷体_GB2312" w:cs="楷体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（三）工作目标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2025年，全区政务公开工作将紧密围绕经济社会发展重点领域和关键环节，进一步做好经济高质量发展、保障和优化民生、城市治理现代化、政府自身建设等方面信息公开，持续优化政策全流程公开，加快推动政务公开数智化，强化公开能力建设，提升政务公开质效，充分发挥以公开促落实、优服务、强监督的作用，持续推动政务公开工作规范提质。</w:t>
      </w:r>
    </w:p>
    <w:p>
      <w:pPr>
        <w:keepNext w:val="0"/>
        <w:keepLines w:val="0"/>
        <w:pageBreakBefore w:val="0"/>
        <w:numPr>
          <w:ilvl w:val="0"/>
          <w:numId w:val="1"/>
        </w:numPr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深化重点领域政府信息公开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1"/>
        <w:rPr>
          <w:rFonts w:ascii="楷体_GB2312" w:hAnsi="楷体_GB2312" w:eastAsia="楷体_GB2312" w:cs="楷体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（一）围绕推动经济高质量发展强化政府信息公开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强化政策引领与产业赋能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，拓展仓储运输、绿色建筑等领域的氢能示范场景应用，进一步推进氢能专项政策、北京绿交所氢能交易中心筹建工作等信息公开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。（区经信局负责落实，完成时限：2025年12月）</w:t>
      </w:r>
    </w:p>
    <w:p>
      <w:pPr>
        <w:pStyle w:val="2"/>
        <w:spacing w:line="560" w:lineRule="exact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2.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贯标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政策服务供给质量，强化优质企业梯度培育机制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持续公开科技创新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国高新专项等相关标签企业政策及服务信息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。（区新兴产业促进服务中心、区科委、区经信局、区投资促进服务中心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分别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按职责负责落实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，完成时限：2025年12月）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1"/>
        <w:rPr>
          <w:rFonts w:ascii="楷体_GB2312" w:hAnsi="楷体_GB2312" w:eastAsia="楷体_GB2312" w:cs="楷体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（二）围绕推进城市</w:t>
      </w:r>
      <w:r>
        <w:rPr>
          <w:rFonts w:hint="default" w:ascii="楷体_GB2312" w:hAnsi="楷体_GB2312" w:eastAsia="楷体_GB2312" w:cs="楷体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精准化</w:t>
      </w: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治理强化政府信息公开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5B9BD5" w:themeColor="accen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accent1"/>
            </w14:solidFill>
          </w14:textFill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3.多样化满足群众居住需求。及时公开商品房、保障房、集租房、棚改回迁等各类住房建设信息。（区住建委、黄村镇人民政府、青云店镇人民政府分别负责落实，完成时限：2025年12月）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4.持续提升群众居住质量。做好老旧小区更新改造、既有多层住宅加装电梯等方面的信息公开。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（区住建委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负责落实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，完成时限：2025年12月）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5.聚焦民生品质跃升，着眼生态与人文共融。及时发布花园式示范街区建设、全龄友好公园提升改造、“三大公园”联通提质等信息。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（区园林绿化局、区园林中心、魏善庄镇人民政府、黄村镇人民政府、高米店街道办事处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林校路街道办事处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分别按职责落实，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完成时限：2025年12月）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6.聚焦民生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关切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与城市管理难点，全力加大生活垃圾分类、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eastAsia="zh-CN"/>
        </w:rPr>
        <w:t>经营性公共停车场备案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eastAsia="zh-CN"/>
        </w:rPr>
        <w:t>管理</w:t>
      </w:r>
      <w:r>
        <w:rPr>
          <w:rFonts w:hint="eastAsia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eastAsia="zh-CN"/>
        </w:rPr>
        <w:t>等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eastAsia="zh-CN"/>
        </w:rPr>
        <w:t>信息公开力度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（区城管委负责落实，完成时限：202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年12月）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560" w:lineRule="exact"/>
        <w:ind w:left="0" w:leftChars="0" w:firstLine="640" w:firstLineChars="200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7.立足绿色可持续发展目标，聚焦居民健康守护需求。扎实做好全区污染防治、空气质量信息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公开工作。（区生态环境局负责落实，完成时限：2025年12月）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1"/>
        <w:rPr>
          <w:rFonts w:ascii="楷体_GB2312" w:hAnsi="楷体_GB2312" w:eastAsia="楷体_GB2312" w:cs="楷体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（三）围绕保障与优化民生持续升级强化政府信息公开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560" w:lineRule="exact"/>
        <w:ind w:left="0" w:leftChars="0" w:firstLine="640" w:firstLineChars="200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8.紧扣乡村振兴战略，及时公开涉农补贴、高标准农田建设、村庄人居环境整治等信息，大力推动“百千工程”永定河“望悠田园”示范片区创建等信息公开工作。（区农业农村局负责落实，完成时限：2025年12月）</w:t>
      </w:r>
    </w:p>
    <w:p>
      <w:pPr>
        <w:pStyle w:val="2"/>
        <w:spacing w:line="560" w:lineRule="exact"/>
        <w:ind w:left="0" w:leftChars="0" w:firstLine="640" w:firstLineChars="200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9.全面提升教育与托育服务质量，持续深化“双减”政策落地见效。及时推动普惠托育服务、“一校一策”深化课程教学改革、“五育并举”等信息公开工作。（区教委、区卫生健康委分别负责落实，2025年12月）</w:t>
      </w:r>
    </w:p>
    <w:p>
      <w:pPr>
        <w:spacing w:line="560" w:lineRule="exact"/>
        <w:ind w:left="0" w:leftChars="0" w:firstLine="640" w:firstLineChars="200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10.聚焦“生老病养”民生关切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持续公开儿童友好城市建设、养老服务提质增效、殡葬领域服务等信息，统筹做好特困人员、孤困儿童等特殊群体救助保障信息公开工作。（区民政局负责落实，完成时限：2025年12月）</w:t>
      </w:r>
    </w:p>
    <w:p>
      <w:pPr>
        <w:pStyle w:val="2"/>
        <w:spacing w:line="560" w:lineRule="exact"/>
        <w:ind w:left="0" w:leftChars="0" w:firstLine="640" w:firstLineChars="200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11.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强化就业优先导向，全力促进群体就业保障。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持续做好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高校毕业生、农村劳动力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和登记失业人员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等重点群体就业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保障信息公开工作，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提升就业服务精准度和实效性。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strike w:val="0"/>
          <w:dstrike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区人保局负责落实，完成时限：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2025年12月）</w:t>
      </w:r>
    </w:p>
    <w:p>
      <w:pPr>
        <w:pStyle w:val="2"/>
        <w:spacing w:line="560" w:lineRule="exact"/>
        <w:ind w:left="0" w:leftChars="0" w:firstLine="640" w:firstLineChars="200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12.严守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食品药品安全防线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，全方位开展隐患排查整治。及时公开食品安全抽检、食品生产及药品监督检查等信息，筑牢安全稳定发展根基。（区市场监督管理局负责落实，完成时限：2025年12月）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13.聚焦群众“急难愁盼”，持续做好“接诉即办”重点民生诉求反馈情况的信息公开，进一步提高便民服务品质，切实满足群众需求。（区城指中心负责落实，完成时限：2025年12月）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spacing w:before="0" w:beforeAutospacing="0" w:after="0" w:afterAutospacing="0" w:line="560" w:lineRule="exact"/>
        <w:ind w:left="0" w:leftChars="0" w:firstLine="640" w:firstLineChars="200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.锚定大兴城市品牌建设目标，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trike w:val="0"/>
          <w:dstrike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着力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提升文旅影响力。持续公开京南艺术中心等重点文旅项目建设、龙河凤河文化带“民宿+旅游”网红路线、“泛博物馆群”等信息。（区文旅局负责落实，完成时限：2025年12月）</w:t>
      </w:r>
    </w:p>
    <w:p>
      <w:pPr>
        <w:spacing w:line="560" w:lineRule="exact"/>
        <w:ind w:left="0" w:leftChars="0" w:firstLine="640" w:firstLineChars="200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15.</w:t>
      </w:r>
      <w:bookmarkStart w:id="0" w:name="OLE_LINK13"/>
      <w:bookmarkStart w:id="1" w:name="OLE_LINK17"/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秉持公开透明原则，强化医保基金使用常态化监管。持续做好医保基金使用及其监督管理等信息公开工作，严守医保基金安全底线。</w:t>
      </w:r>
      <w:bookmarkEnd w:id="0"/>
      <w:bookmarkEnd w:id="1"/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（区医保局负责落实，完成时限：2025年12月）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1"/>
        <w:rPr>
          <w:rFonts w:ascii="楷体_GB2312" w:hAnsi="楷体_GB2312" w:eastAsia="楷体_GB2312" w:cs="楷体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（四）围绕政府自身建设强化政府信息公开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.深化律师、公证、司法鉴定、法律援助等法律服务领域便民服务举措公开。加大执法信息公示、普法宣传教育、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法治政府建设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等信息公开力度。（区司法局负责落实，完成时限：2025年12月）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.聚焦价格监管效能提升，强化财政预决算信息公开，切实提升财政资金透明度，保障资金高效落地。（区财政局负责落实，完成时限：2025年12月）</w:t>
      </w:r>
    </w:p>
    <w:p>
      <w:pPr>
        <w:spacing w:line="560" w:lineRule="exact"/>
        <w:ind w:left="0" w:leftChars="0" w:firstLine="640" w:firstLineChars="200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.全力保障群众权益，助力政府工作紧密贴合民生实际。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定期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公开区政府工作报告重点任务、重要民生实事项目等进度信息。（区政府办、区政务和数据局按职责落实，完成时限：2025年12月）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0"/>
        <w:rPr>
          <w:rFonts w:hint="default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三、</w:t>
      </w:r>
      <w:r>
        <w:rPr>
          <w:rFonts w:hint="default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全流程优化政策公开服务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1"/>
        <w:rPr>
          <w:rFonts w:ascii="楷体_GB2312" w:hAnsi="楷体_GB2312" w:eastAsia="楷体_GB2312" w:cs="楷体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楷体_GB2312" w:hAnsi="楷体_GB2312" w:eastAsia="楷体_GB2312" w:cs="楷体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优化</w:t>
      </w: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政策征集</w:t>
      </w:r>
    </w:p>
    <w:p>
      <w:pPr>
        <w:pStyle w:val="2"/>
        <w:spacing w:line="560" w:lineRule="exact"/>
        <w:ind w:left="0" w:leftChars="0" w:firstLine="640" w:firstLineChars="200"/>
        <w:rPr>
          <w:rFonts w:hint="default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default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建立健全舆情监测预警、分析研判、分级响应全链条工作机制。严格落实政务舆情回应处置主体责任，深化跨部门数据共享与研判会商制度，精准分析舆情态势，切实提升舆情风险防控能力。强化政策性文件出台前舆情前置审核工作，秉持早预判、早评估、早准备、早应对，积极回应社会关切。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（区政府各部门、各镇街负责落实，完成时限：2025年12月）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拓宽</w:t>
      </w:r>
      <w:r>
        <w:rPr>
          <w:rFonts w:hint="default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政策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征集渠道</w:t>
      </w:r>
      <w:r>
        <w:rPr>
          <w:rFonts w:hint="default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，持续优化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</w:t>
      </w:r>
      <w:r>
        <w:rPr>
          <w:rFonts w:hint="default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众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参与政策制定机制</w:t>
      </w:r>
      <w:r>
        <w:rPr>
          <w:rFonts w:hint="default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。将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涉及</w:t>
      </w:r>
      <w:r>
        <w:rPr>
          <w:rFonts w:hint="default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企业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公众切身利益的政策，</w:t>
      </w:r>
      <w:r>
        <w:rPr>
          <w:rFonts w:hint="default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采用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实地调研、专题座谈、问卷调查等方式，通过政府网站、</w:t>
      </w:r>
      <w:r>
        <w:rPr>
          <w:rFonts w:hint="default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政务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新媒体等</w:t>
      </w:r>
      <w:r>
        <w:rPr>
          <w:rFonts w:hint="default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平台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广泛开展政策需求征集工作。（区政务</w:t>
      </w:r>
      <w:r>
        <w:rPr>
          <w:rFonts w:hint="default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和数据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局牵头，区政府各部门、各镇街负责落实，完成时限：202</w:t>
      </w:r>
      <w:r>
        <w:rPr>
          <w:rFonts w:hint="default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2" w:name="OLE_LINK5"/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</w:t>
      </w:r>
      <w:bookmarkStart w:id="3" w:name="OLE_LINK1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</w:t>
      </w:r>
      <w:bookmarkStart w:id="4" w:name="OLE_LINK9"/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持续优化公众意见采纳反馈机制，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确保每项民意有记录、可追溯、得回应。</w:t>
      </w:r>
      <w:bookmarkStart w:id="5" w:name="OLE_LINK11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强化公众参与，将公众反馈内容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准确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有效地融入政策制定过程中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bookmarkEnd w:id="5"/>
      <w:bookmarkStart w:id="6" w:name="OLE_LINK16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通过政府网站专栏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及时予以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公开</w:t>
      </w:r>
      <w:bookmarkEnd w:id="6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推动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为民决策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向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与民共决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共治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转变。</w:t>
      </w:r>
      <w:bookmarkEnd w:id="2"/>
      <w:bookmarkEnd w:id="3"/>
      <w:bookmarkEnd w:id="4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（区政务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和数据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局牵头，区政府各部门、各镇街负责落实，完成时限：202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月）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1"/>
        <w:rPr>
          <w:rFonts w:ascii="楷体_GB2312" w:hAnsi="楷体_GB2312" w:eastAsia="楷体_GB2312" w:cs="楷体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楷体_GB2312" w:hAnsi="楷体_GB2312" w:eastAsia="楷体_GB2312" w:cs="楷体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加强</w:t>
      </w: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政策管理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强化政策执行精准度与实效性。严格落实北京市政策性文件和配套细则制定标准，确保配套细则与政策性文件同步制定、同时发布。（区政务和数据局、区司法局牵头，区政府各部门、各镇街负责落实，完成时限：2025年12月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bookmarkStart w:id="7" w:name="OLE_LINK12"/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.</w:t>
      </w:r>
      <w:bookmarkStart w:id="8" w:name="OLE_LINK8"/>
      <w:bookmarkStart w:id="9" w:name="OLE_LINK7"/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不断健全政策动态清理长效工作机制。定期开展政策有效性集中确认和失效政策标注工作，动态更新政策效力状态并同步更新政府网站和“京策”平台相关信息，确保各项政策信息的准确性和实效性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bookmarkEnd w:id="7"/>
      <w:bookmarkEnd w:id="8"/>
      <w:bookmarkEnd w:id="9"/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（区政务和数据局、区司法局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区政府办牵头，区政府各部门、各镇街负责落实，完成时限：2025年12月）</w:t>
      </w:r>
    </w:p>
    <w:p>
      <w:pPr>
        <w:pStyle w:val="2"/>
        <w:spacing w:line="560" w:lineRule="exact"/>
        <w:ind w:left="0" w:leftChars="0" w:firstLine="640" w:firstLineChars="200"/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.统筹政务公开和安全保密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。依法对拟公开的信息进行保密审查，防止泄露国家秘密、工作秘密和敏感信息，防范数据汇聚引发泄密风险。（区政府各部门、各镇街负责落实，完成时限：2025年12月）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1"/>
        <w:rPr>
          <w:rFonts w:ascii="楷体_GB2312" w:hAnsi="楷体_GB2312" w:eastAsia="楷体_GB2312" w:cs="楷体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（三）</w:t>
      </w:r>
      <w:r>
        <w:rPr>
          <w:rFonts w:hint="default" w:ascii="楷体_GB2312" w:hAnsi="楷体_GB2312" w:eastAsia="楷体_GB2312" w:cs="楷体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创新</w:t>
      </w: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政策解读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健全政策全周期解读工作机制，落实草案解读、发布阶段精细化解读、实施阶段跟踪解读和热点回应，对政策咨询较为集中的问题进行专门解读并公开发布。（区政务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和数据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局牵头，区政府各部门、各镇街负责落实，完成时限：202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年1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月）</w:t>
      </w:r>
    </w:p>
    <w:p>
      <w:pPr>
        <w:pStyle w:val="2"/>
        <w:spacing w:line="560" w:lineRule="exact"/>
        <w:ind w:left="0" w:leftChars="0" w:firstLine="640" w:firstLineChars="200"/>
        <w:rPr>
          <w:rFonts w:hint="default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bookmarkStart w:id="10" w:name="OLE_LINK15"/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</w:t>
      </w:r>
      <w:bookmarkStart w:id="11" w:name="OLE_LINK21"/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精准把握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政策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核心要点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，构建多模态政策解读体系。基于政策重点内容，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采用</w:t>
      </w:r>
      <w:bookmarkStart w:id="12" w:name="OLE_LINK18"/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长图文深度解析、短视频要点提炼、直播互动答疑</w:t>
      </w:r>
      <w:bookmarkEnd w:id="12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等形式，深入开展解读工作，助力政策效能充分释放，实现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策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信息从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公开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共知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的跃升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bookmarkEnd w:id="10"/>
      <w:bookmarkEnd w:id="11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（区政务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和数据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局牵头，区政府各部门、各镇街负责落实，完成时限：202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年1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月）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1"/>
        <w:rPr>
          <w:rFonts w:ascii="楷体_GB2312" w:hAnsi="楷体_GB2312" w:eastAsia="楷体_GB2312" w:cs="楷体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（四）</w:t>
      </w:r>
      <w:r>
        <w:rPr>
          <w:rFonts w:hint="default" w:ascii="楷体_GB2312" w:hAnsi="楷体_GB2312" w:eastAsia="楷体_GB2312" w:cs="楷体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确保</w:t>
      </w: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政策兑现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13" w:name="OLE_LINK19"/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</w:t>
      </w:r>
      <w:bookmarkStart w:id="14" w:name="OLE_LINK22"/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不断探索政策精准推送和数据应用场景，稳步提升政策集中公开质量。持续推进政策服务数字化智能化转型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确保政策兑现标准、流程及结果在政府网站和“京策”平台规范发布、集中公开、有序管理，推动政策“精准匹配、快速直达、一键兑现”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bookmarkEnd w:id="13"/>
      <w:bookmarkEnd w:id="14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（区政务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和数据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局牵头，区政府各部门、各镇街负责落实，完成时限：202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年1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深化政策效果评价协同应用机制。聚焦科技创新、人才保障服务等重点领域，开展政策服务效能梯度评估与精准画像，建立健全政策实施全流程监测反馈机制。完善政策评估结果动态公开制度，通过政府网站、政务新媒体等渠道，定期发布政策实施过程中的阶段性成果及优化调整方案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（区政务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和数据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局牵头，区政府各部门、各镇街负责落实，完成时限：202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月）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0"/>
        <w:rPr>
          <w:rFonts w:hint="default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四、</w:t>
      </w:r>
      <w:r>
        <w:rPr>
          <w:rFonts w:hint="default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全方位提升政务公开能力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1"/>
        <w:rPr>
          <w:rFonts w:hint="eastAsia" w:ascii="仿宋_GB2312" w:hAnsi="仿宋_GB2312" w:eastAsia="楷体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楷体_GB2312" w:hAnsi="楷体_GB2312" w:eastAsia="楷体_GB2312" w:cs="楷体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构建</w:t>
      </w: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政务</w:t>
      </w:r>
      <w:r>
        <w:rPr>
          <w:rFonts w:hint="default" w:ascii="楷体_GB2312" w:hAnsi="楷体_GB2312" w:eastAsia="楷体_GB2312" w:cs="楷体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公开</w:t>
      </w: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智慧化升级新</w:t>
      </w: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全力配合“京策”平台建设工作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规范管理本部门政策事项，及时报送拟兑付事项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推动数据汇集、融合与共享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有效提升政府工作效能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（区政务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和数据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局牵头，区政府各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部门、各镇街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负责落实，完成时限：202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年12月）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.加速政策咨询即时响应效能提升，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保障政策咨询服务质量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规范各级政府信息公开专区建设，</w:t>
      </w:r>
      <w:bookmarkStart w:id="15" w:name="OLE_LINK3"/>
      <w:r>
        <w:rPr>
          <w:rFonts w:hint="eastAsia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提供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优质政府信息</w:t>
      </w:r>
      <w:r>
        <w:rPr>
          <w:rFonts w:hint="default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咨询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服务</w:t>
      </w:r>
      <w:bookmarkEnd w:id="15"/>
      <w:r>
        <w:rPr>
          <w:rFonts w:hint="default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推进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政务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热线接听质效双提升，确保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便民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热线首次响应率保持100%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切实强化政策咨询与回应体系建设。</w:t>
      </w:r>
      <w:bookmarkStart w:id="16" w:name="OLE_LINK1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（区政务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和数据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局牵头，区政府各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部门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、各街镇负责落实，完成时限：202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月）</w:t>
      </w:r>
      <w:bookmarkEnd w:id="16"/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楷体_GB2312" w:hAnsi="楷体_GB2312" w:eastAsia="楷体_GB2312" w:cs="楷体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培育</w:t>
      </w: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政民</w:t>
      </w:r>
      <w:r>
        <w:rPr>
          <w:rFonts w:hint="default" w:ascii="楷体_GB2312" w:hAnsi="楷体_GB2312" w:eastAsia="楷体_GB2312" w:cs="楷体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互动</w:t>
      </w: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双向赋能新生态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17" w:name="OLE_LINK2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常态化开展“政策公开讲”活动，深度促进政民互动。围绕政府重点工作和关注度高、咨询量大的政策内容，多方式、多渠道推进政务公开。实施政策解读效果跟踪评估机制，瞄准企业群众个性化需求，动态调整“政策公开讲”议题清单和回应方式，助推各项政策落地落实。</w:t>
      </w:r>
      <w:bookmarkEnd w:id="17"/>
      <w:r>
        <w:rPr>
          <w:rFonts w:hint="default" w:ascii="仿宋_GB2312" w:hAnsi="Calibri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区政务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和数据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局牵头</w:t>
      </w:r>
      <w:r>
        <w:rPr>
          <w:rFonts w:hint="default" w:ascii="仿宋_GB2312" w:hAnsi="Calibri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，区政府各部门、各镇街负责落实，完成时限：202</w:t>
      </w:r>
      <w:r>
        <w:rPr>
          <w:rFonts w:hint="default" w:ascii="仿宋_GB2312" w:eastAsia="仿宋_GB2312" w:cs="仿宋_GB2312"/>
          <w:color w:val="000000" w:themeColor="text1"/>
          <w:kern w:val="2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仿宋_GB2312" w:hAnsi="Calibri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仿宋_GB2312" w:eastAsia="仿宋_GB2312" w:cs="仿宋_GB2312"/>
          <w:color w:val="000000" w:themeColor="text1"/>
          <w:kern w:val="2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仿宋_GB2312" w:hAnsi="Calibri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月）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完善区长信箱、意见征集等政民互动渠道全流程运维机制，构建诉求响应全周期动态管理体系。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结合各部门、各街镇重点工作，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深化实施“政务开放日”常态化运行等系列活动，建立公众参与全过程跟踪评价制度，构建政民双向赋能的良性互动格局。</w:t>
      </w:r>
      <w:r>
        <w:rPr>
          <w:rFonts w:hint="default" w:ascii="仿宋_GB2312" w:hAnsi="Calibri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区政务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和数据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局牵头</w:t>
      </w:r>
      <w:r>
        <w:rPr>
          <w:rFonts w:hint="default" w:ascii="仿宋_GB2312" w:hAnsi="Calibri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，区政府各部门、各镇街负责落实，完成时限：202</w:t>
      </w:r>
      <w:r>
        <w:rPr>
          <w:rFonts w:hint="default" w:ascii="仿宋_GB2312" w:eastAsia="仿宋_GB2312" w:cs="仿宋_GB2312"/>
          <w:color w:val="000000" w:themeColor="text1"/>
          <w:kern w:val="2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仿宋_GB2312" w:hAnsi="Calibri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仿宋_GB2312" w:eastAsia="仿宋_GB2312" w:cs="仿宋_GB2312"/>
          <w:color w:val="000000" w:themeColor="text1"/>
          <w:kern w:val="2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仿宋_GB2312" w:hAnsi="Calibri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月）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1"/>
        <w:rPr>
          <w:rFonts w:hint="default" w:ascii="楷体_GB2312" w:hAnsi="楷体_GB2312" w:eastAsia="楷体_GB2312" w:cs="楷体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（三）统筹政务公开全领域发展新布局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紧扣《中华人民共和国政府信息公开条例》等文件准则，以依法依规为基石，以科学规划为路径，扎实推进主动公开信息梳理与发布、依申请公开流程标准化运作、政策解读回应精细化处理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政府网站与政务新媒体管理制度化建设，全方位提升政务公开工作规范化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水平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仿宋_GB2312" w:hAnsi="Calibri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区政务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和数据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局牵头</w:t>
      </w:r>
      <w:r>
        <w:rPr>
          <w:rFonts w:hint="default" w:ascii="仿宋_GB2312" w:hAnsi="Calibri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，区政府各部门、各镇街负责落实，完成时限：202</w:t>
      </w:r>
      <w:r>
        <w:rPr>
          <w:rFonts w:hint="default" w:ascii="仿宋_GB2312" w:eastAsia="仿宋_GB2312" w:cs="仿宋_GB2312"/>
          <w:color w:val="000000" w:themeColor="text1"/>
          <w:kern w:val="2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仿宋_GB2312" w:hAnsi="Calibri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年1</w:t>
      </w:r>
      <w:r>
        <w:rPr>
          <w:rFonts w:hint="default" w:ascii="仿宋_GB2312" w:eastAsia="仿宋_GB2312" w:cs="仿宋_GB2312"/>
          <w:color w:val="000000" w:themeColor="text1"/>
          <w:kern w:val="2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仿宋_GB2312" w:hAnsi="Calibri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月）</w:t>
      </w:r>
    </w:p>
    <w:p>
      <w:pPr>
        <w:pStyle w:val="2"/>
        <w:spacing w:line="560" w:lineRule="exact"/>
        <w:ind w:left="0" w:leftChars="0" w:firstLine="640" w:firstLineChars="200"/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.坚持法治化、规范化、数字化三向发力，全面推进政务公开工作提质增效。深化主动公开全链条管理，严格实施清单化动态更新机制。高标准、高质量制作和发布公开年报。聚焦重大建设项目批准和实施、重点民生和实事等重点领域实施靶向公开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完善依申请公开受理、研判、答复、复议规范化流程，</w:t>
      </w:r>
      <w:bookmarkStart w:id="18" w:name="OLE_LINK4"/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提升服务能级与公信力</w:t>
      </w:r>
      <w:bookmarkEnd w:id="18"/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加速政府公报数字转型，构建“网络主渠道+纸质保基本”双轨传播体系，确保政府信息依法、精准、高效触达。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（区政务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和数据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局牵头，区政府各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部门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、各街镇负责落实，完成时限：202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积极探索政务公开协同创新模式，强化部门间协作，推动岗前培训资源共享，联合开展业务交流活动，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全面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提升政务公开队伍整体素质。引入大数据分析等技术手段，定期研究政务公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开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和政策服务工作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精准分析案例，针对问题共同研讨整改方案，以协同创新驱动政务公开工作迈上新台阶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仿宋_GB2312" w:hAnsi="Calibri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区政务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和数据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局牵头</w:t>
      </w:r>
      <w:r>
        <w:rPr>
          <w:rFonts w:hint="default" w:ascii="仿宋_GB2312" w:hAnsi="Calibri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，区政府各部门、各镇街负责落实，完成时限：202</w:t>
      </w:r>
      <w:r>
        <w:rPr>
          <w:rFonts w:hint="default" w:ascii="仿宋_GB2312" w:eastAsia="仿宋_GB2312" w:cs="仿宋_GB2312"/>
          <w:color w:val="000000" w:themeColor="text1"/>
          <w:kern w:val="2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仿宋_GB2312" w:hAnsi="Calibri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年1</w:t>
      </w:r>
      <w:r>
        <w:rPr>
          <w:rFonts w:hint="default" w:ascii="仿宋_GB2312" w:eastAsia="仿宋_GB2312" w:cs="仿宋_GB2312"/>
          <w:color w:val="000000" w:themeColor="text1"/>
          <w:kern w:val="2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仿宋_GB2312" w:hAnsi="Calibri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highlight w:val="none"/>
        </w:rPr>
      </w:pPr>
      <w:bookmarkStart w:id="19" w:name="_GoBack"/>
      <w:bookmarkEnd w:id="19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xGInw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775064"/>
    <w:multiLevelType w:val="singleLevel"/>
    <w:tmpl w:val="FE77506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2OTMyNGMyN2EzYzcxNDNmMDdlYzA4ZmI3ZmEyMmYifQ=="/>
  </w:docVars>
  <w:rsids>
    <w:rsidRoot w:val="6D4E4DBA"/>
    <w:rsid w:val="02CA2C3E"/>
    <w:rsid w:val="065E5A0E"/>
    <w:rsid w:val="0AE5051B"/>
    <w:rsid w:val="0F266B9C"/>
    <w:rsid w:val="14AB2295"/>
    <w:rsid w:val="15A41EAE"/>
    <w:rsid w:val="167C5B11"/>
    <w:rsid w:val="17814E59"/>
    <w:rsid w:val="189D3C49"/>
    <w:rsid w:val="1C1C47DA"/>
    <w:rsid w:val="1E3E50DF"/>
    <w:rsid w:val="1E6306E3"/>
    <w:rsid w:val="25C508C5"/>
    <w:rsid w:val="26AE7CD4"/>
    <w:rsid w:val="29950142"/>
    <w:rsid w:val="2F3111F8"/>
    <w:rsid w:val="33E502BA"/>
    <w:rsid w:val="34415D75"/>
    <w:rsid w:val="34FB40EB"/>
    <w:rsid w:val="39635BCF"/>
    <w:rsid w:val="399A492A"/>
    <w:rsid w:val="3C6A4855"/>
    <w:rsid w:val="3C730C86"/>
    <w:rsid w:val="40FD12CD"/>
    <w:rsid w:val="46AE5317"/>
    <w:rsid w:val="4AA409AC"/>
    <w:rsid w:val="4B6A0D73"/>
    <w:rsid w:val="532C1DEB"/>
    <w:rsid w:val="55730AF3"/>
    <w:rsid w:val="567D5500"/>
    <w:rsid w:val="59537733"/>
    <w:rsid w:val="5A27146C"/>
    <w:rsid w:val="5AE84AE0"/>
    <w:rsid w:val="5DBB755F"/>
    <w:rsid w:val="5E64685F"/>
    <w:rsid w:val="62D4658B"/>
    <w:rsid w:val="640900F3"/>
    <w:rsid w:val="67153A90"/>
    <w:rsid w:val="69E8378D"/>
    <w:rsid w:val="6ACDCDAB"/>
    <w:rsid w:val="6C065909"/>
    <w:rsid w:val="6C9325CB"/>
    <w:rsid w:val="6D4E4DBA"/>
    <w:rsid w:val="6E9F58AE"/>
    <w:rsid w:val="6FDC6891"/>
    <w:rsid w:val="70DE52E8"/>
    <w:rsid w:val="71896051"/>
    <w:rsid w:val="71B17543"/>
    <w:rsid w:val="78C42B56"/>
    <w:rsid w:val="78F017BF"/>
    <w:rsid w:val="795D1BA0"/>
    <w:rsid w:val="7A7BE202"/>
    <w:rsid w:val="7BA4BF19"/>
    <w:rsid w:val="7DBB6119"/>
    <w:rsid w:val="BD3D467D"/>
    <w:rsid w:val="E7FBC7CE"/>
    <w:rsid w:val="EEFFB0E7"/>
    <w:rsid w:val="F7EE55BB"/>
    <w:rsid w:val="FFE6757A"/>
    <w:rsid w:val="FFF69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/>
    </w:r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customStyle="1" w:styleId="5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2021-04-02T14:14:00Z</dcterms:created>
  <dc:creator>“坏”小子</dc:creator>
  <cp:lastModifiedBy>shen</cp:lastModifiedBy>
  <cp:lastPrinted>2024-03-27T10:23:00Z</cp:lastPrinted>
  <dcterms:modified xsi:type="dcterms:W3CDTF">2025-04-24T07:34:39Z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5F1134D978284B25A225F3F28F079BCC_12</vt:lpwstr>
  </property>
</Properties>
</file>