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napToGrid w:val="0"/>
        <w:ind w:firstLine="0" w:firstLineChars="0"/>
        <w:jc w:val="left"/>
        <w:outlineLvl w:val="0"/>
        <w:rPr>
          <w:rFonts w:hint="eastAsia" w:ascii="黑体" w:hAnsi="黑体" w:eastAsia="黑体" w:cs="黑体"/>
          <w:sz w:val="32"/>
          <w:szCs w:val="32"/>
          <w:lang w:val="en-US" w:eastAsia="zh-CN"/>
        </w:rPr>
      </w:pPr>
    </w:p>
    <w:p>
      <w:pPr>
        <w:snapToGrid w:val="0"/>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r>
        <w:rPr>
          <w:rFonts w:hint="eastAsia" w:ascii="方正小标宋简体" w:hAnsi="方正小标宋简体" w:eastAsia="方正小标宋简体" w:cs="方正小标宋简体"/>
          <w:sz w:val="44"/>
          <w:szCs w:val="44"/>
        </w:rPr>
        <w:t>大兴区村级集中式饮用水水源保护区</w:t>
      </w:r>
    </w:p>
    <w:p>
      <w:pPr>
        <w:snapToGrid w:val="0"/>
        <w:ind w:firstLine="0" w:firstLineChars="0"/>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补充划分方案</w:t>
      </w:r>
      <w:r>
        <w:rPr>
          <w:rFonts w:hint="eastAsia" w:ascii="方正小标宋简体" w:hAnsi="方正小标宋简体" w:eastAsia="方正小标宋简体" w:cs="方正小标宋简体"/>
          <w:sz w:val="44"/>
          <w:szCs w:val="44"/>
          <w:lang w:eastAsia="zh-CN"/>
        </w:rPr>
        <w:t>（征求意见稿）</w:t>
      </w:r>
    </w:p>
    <w:p>
      <w:pPr>
        <w:snapToGrid w:val="0"/>
        <w:ind w:left="640" w:leftChars="200" w:firstLine="0" w:firstLineChars="0"/>
        <w:rPr>
          <w:rFonts w:hint="eastAsia" w:ascii="黑体" w:hAnsi="黑体" w:eastAsia="黑体" w:cs="黑体"/>
        </w:rPr>
      </w:pPr>
    </w:p>
    <w:p>
      <w:pPr>
        <w:numPr>
          <w:ilvl w:val="0"/>
          <w:numId w:val="2"/>
        </w:numPr>
        <w:snapToGrid w:val="0"/>
        <w:outlineLvl w:val="0"/>
        <w:rPr>
          <w:rFonts w:hint="eastAsia" w:ascii="黑体" w:hAnsi="黑体" w:eastAsia="黑体" w:cs="黑体"/>
        </w:rPr>
      </w:pPr>
      <w:r>
        <w:rPr>
          <w:rFonts w:hint="eastAsia" w:ascii="黑体" w:hAnsi="黑体" w:eastAsia="黑体" w:cs="黑体"/>
        </w:rPr>
        <w:t>水源地基本情况</w:t>
      </w:r>
    </w:p>
    <w:p>
      <w:pPr>
        <w:rPr>
          <w:rFonts w:hint="eastAsia"/>
          <w:kern w:val="0"/>
        </w:rPr>
      </w:pPr>
      <w:r>
        <w:rPr>
          <w:rFonts w:hint="eastAsia"/>
        </w:rPr>
        <w:t>为进一步做好我区饮用水水源保护工作，我区对村级集中式饮用水水源地开展水源保护区补充划分工作</w:t>
      </w:r>
      <w:r>
        <w:t>。</w:t>
      </w:r>
      <w:r>
        <w:rPr>
          <w:rFonts w:hint="eastAsia"/>
        </w:rPr>
        <w:t>村级集中式饮用水</w:t>
      </w:r>
      <w:r>
        <w:rPr>
          <w:rFonts w:hint="eastAsia"/>
          <w:kern w:val="0"/>
        </w:rPr>
        <w:t>水源地具体情况如下：</w:t>
      </w:r>
    </w:p>
    <w:p>
      <w:pPr>
        <w:pStyle w:val="7"/>
        <w:ind w:firstLine="640"/>
        <w:rPr>
          <w:rFonts w:ascii="仿宋_GB2312" w:hAnsi="Times New Roman" w:cs="Times New Roman"/>
          <w:szCs w:val="32"/>
        </w:rPr>
      </w:pPr>
      <w:r>
        <w:rPr>
          <w:rFonts w:hint="eastAsia" w:ascii="仿宋_GB2312"/>
          <w:kern w:val="0"/>
          <w:szCs w:val="32"/>
        </w:rPr>
        <w:t>我区已划定22个村级饮用水水源保护区，根据《大兴区饮用水水源地名录》，还有74个村级集中式饮用水水源地需要划定水源保护区。</w:t>
      </w:r>
      <w:r>
        <w:rPr>
          <w:rFonts w:hint="eastAsia" w:ascii="仿宋_GB2312" w:hAnsi="Times New Roman" w:cs="Times New Roman"/>
          <w:szCs w:val="32"/>
          <w:lang w:val="zh-CN"/>
        </w:rPr>
        <w:t>74个村级集中式饮用水水源地分布在12个镇，其中安定镇17个，北臧村镇3个，采育镇1个，黄村镇6个，旧宫镇1个，礼贤镇5个，庞各庄镇11个，青云店镇6个，魏善庄镇14个，西红门镇3个，榆垡镇4个，长子营镇3个。74个</w:t>
      </w:r>
      <w:r>
        <w:rPr>
          <w:rFonts w:hint="eastAsia" w:cs="Times New Roman" w:asciiTheme="minorEastAsia" w:hAnsiTheme="minorEastAsia"/>
          <w:szCs w:val="28"/>
        </w:rPr>
        <w:t>水源地全部为</w:t>
      </w:r>
      <w:r>
        <w:rPr>
          <w:rFonts w:hint="eastAsia" w:ascii="仿宋_GB2312"/>
          <w:kern w:val="0"/>
          <w:szCs w:val="32"/>
        </w:rPr>
        <w:t>地下水型水源地，共</w:t>
      </w:r>
      <w:r>
        <w:rPr>
          <w:rFonts w:hint="eastAsia" w:ascii="仿宋_GB2312" w:hAnsi="Times New Roman" w:cs="Times New Roman"/>
          <w:szCs w:val="32"/>
          <w:lang w:val="zh-CN"/>
        </w:rPr>
        <w:t>有</w:t>
      </w:r>
      <w:r>
        <w:rPr>
          <w:rFonts w:hint="eastAsia" w:ascii="仿宋_GB2312" w:hAnsi="Times New Roman" w:cs="Times New Roman"/>
          <w:szCs w:val="32"/>
        </w:rPr>
        <w:t>93眼水源井，井深35-300m，其中2个水源地为潜水型，72个为承压水型。</w:t>
      </w:r>
    </w:p>
    <w:p>
      <w:pPr>
        <w:numPr>
          <w:ilvl w:val="0"/>
          <w:numId w:val="2"/>
        </w:numPr>
        <w:snapToGrid w:val="0"/>
        <w:outlineLvl w:val="0"/>
        <w:rPr>
          <w:rFonts w:hint="eastAsia" w:ascii="黑体" w:hAnsi="黑体" w:eastAsia="黑体" w:cs="黑体"/>
        </w:rPr>
      </w:pPr>
      <w:bookmarkStart w:id="14" w:name="_GoBack"/>
      <w:bookmarkEnd w:id="14"/>
      <w:r>
        <w:rPr>
          <w:rFonts w:hint="eastAsia" w:ascii="黑体" w:hAnsi="黑体" w:eastAsia="黑体" w:cs="黑体"/>
        </w:rPr>
        <w:t>依据的法规及文件</w:t>
      </w:r>
    </w:p>
    <w:p>
      <w:pPr>
        <w:rPr>
          <w:rFonts w:hint="eastAsia"/>
        </w:rPr>
      </w:pPr>
      <w:r>
        <w:t>（一）《中华人民共和国水污染防治法》第六十三条规定：</w:t>
      </w:r>
    </w:p>
    <w:p>
      <w:pPr>
        <w:rPr>
          <w:rFonts w:hint="eastAsia"/>
        </w:rPr>
      </w:pPr>
      <w:r>
        <w:t>国家建立饮用水水源保护区制度。饮用水水源保护区分为一级保护区和二级保护区；必要时，可以在饮用水水源保护区外围划定一定的区域作为准保护区。</w:t>
      </w:r>
    </w:p>
    <w:p>
      <w:pPr>
        <w:rPr>
          <w:rFonts w:hint="eastAsia"/>
        </w:rPr>
      </w:pPr>
      <w:r>
        <w:t>饮用水水源保护区的划定，由有关市、区、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pPr>
        <w:rPr>
          <w:rFonts w:hint="eastAsia"/>
        </w:rPr>
      </w:pPr>
      <w:r>
        <w:t>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rPr>
          <w:rFonts w:hint="eastAsia"/>
        </w:rPr>
      </w:pPr>
      <w:r>
        <w:t>（二）《北京市水污染防治条例》第五十六条规定：</w:t>
      </w:r>
    </w:p>
    <w:p>
      <w:pPr>
        <w:rPr>
          <w:rFonts w:hint="eastAsia"/>
        </w:rPr>
      </w:pPr>
      <w:r>
        <w:t>本市实行饮用水水源保护区制度。饮用水水源保护区分为一级保护区和二级保护区；在饮用水水源保护区外围可以划定一定区域作为准保护区。</w:t>
      </w:r>
    </w:p>
    <w:p>
      <w:pPr>
        <w:rPr>
          <w:rFonts w:hint="eastAsia"/>
        </w:rPr>
      </w:pPr>
      <w:r>
        <w:t>跨区供水的饮用水水源保护区和准保护区的划定，由市</w:t>
      </w:r>
      <w:r>
        <w:rPr>
          <w:rFonts w:hint="eastAsia"/>
        </w:rPr>
        <w:t>生态</w:t>
      </w:r>
      <w:r>
        <w:t>环境部门会同市水</w:t>
      </w:r>
      <w:r>
        <w:rPr>
          <w:rFonts w:hint="eastAsia"/>
        </w:rPr>
        <w:t>务</w:t>
      </w:r>
      <w:r>
        <w:t>、</w:t>
      </w:r>
      <w:r>
        <w:rPr>
          <w:rFonts w:hint="eastAsia"/>
        </w:rPr>
        <w:t>规划和自然</w:t>
      </w:r>
      <w:r>
        <w:t>资源、卫生</w:t>
      </w:r>
      <w:r>
        <w:rPr>
          <w:rFonts w:hint="eastAsia"/>
        </w:rPr>
        <w:t>健康</w:t>
      </w:r>
      <w:r>
        <w:t>、住房和城乡建设、园林绿化等相关部门提出方案，报市人民政府批准。其他饮用水水源保护区和准保护区的划定，由区人民政府提出方案，报市人民政府批准。</w:t>
      </w:r>
    </w:p>
    <w:p>
      <w:pPr>
        <w:rPr>
          <w:rFonts w:hint="eastAsia"/>
        </w:rPr>
      </w:pPr>
      <w:r>
        <w:t>市人民政府可以根据饮用水水源保护的需要，调整饮用水水源保护区和准保护区的范围，确保饮用水安全。</w:t>
      </w:r>
    </w:p>
    <w:p>
      <w:pPr>
        <w:numPr>
          <w:ilvl w:val="0"/>
          <w:numId w:val="2"/>
        </w:numPr>
        <w:snapToGrid w:val="0"/>
        <w:outlineLvl w:val="0"/>
        <w:rPr>
          <w:rFonts w:hint="eastAsia" w:ascii="黑体" w:hAnsi="黑体" w:eastAsia="黑体" w:cs="黑体"/>
          <w:color w:val="000000"/>
          <w:kern w:val="0"/>
        </w:rPr>
      </w:pPr>
      <w:r>
        <w:rPr>
          <w:rFonts w:hint="eastAsia" w:ascii="黑体" w:hAnsi="黑体" w:eastAsia="黑体" w:cs="黑体"/>
          <w:color w:val="000000"/>
          <w:kern w:val="0"/>
        </w:rPr>
        <w:t>饮用水水源保护区划分原则及方法</w:t>
      </w:r>
    </w:p>
    <w:p>
      <w:pPr>
        <w:outlineLvl w:val="1"/>
        <w:rPr>
          <w:rFonts w:hint="eastAsia" w:ascii="楷体_GB2312" w:eastAsia="楷体_GB2312"/>
        </w:rPr>
      </w:pPr>
      <w:r>
        <w:rPr>
          <w:rFonts w:hint="eastAsia" w:ascii="楷体_GB2312" w:eastAsia="楷体_GB2312"/>
        </w:rPr>
        <w:t>（一）划分原则</w:t>
      </w:r>
    </w:p>
    <w:p>
      <w:pPr>
        <w:rPr>
          <w:rFonts w:hint="eastAsia"/>
        </w:rPr>
      </w:pPr>
      <w:r>
        <w:t>（1）保水优先。以确保饮用</w:t>
      </w:r>
      <w:r>
        <w:rPr>
          <w:rFonts w:hint="eastAsia"/>
        </w:rPr>
        <w:t>水</w:t>
      </w:r>
      <w:r>
        <w:t>水源安全为核心。</w:t>
      </w:r>
    </w:p>
    <w:p>
      <w:pPr>
        <w:rPr>
          <w:rFonts w:hint="eastAsia"/>
        </w:rPr>
      </w:pPr>
      <w:r>
        <w:t>（2）科学规范。划定的饮用水水源一级保护区，应防止水源地附近人类活动对水源的直接污染；划定的饮用水水源二级保护区，应足以在正常情况下可保证取水水质达到规定要求；一旦出现污染水源的突发事件，有采取紧急补救措施的时间和缓冲地带。</w:t>
      </w:r>
    </w:p>
    <w:p>
      <w:pPr>
        <w:rPr>
          <w:rFonts w:hint="eastAsia"/>
        </w:rPr>
      </w:pPr>
      <w:r>
        <w:t>（3）便于保护。划定的水源保护区范围，应以确保饮用水水源水质不受污染为前提，以便于实施环境管理为原则。</w:t>
      </w:r>
    </w:p>
    <w:p>
      <w:pPr>
        <w:outlineLvl w:val="1"/>
        <w:rPr>
          <w:rFonts w:hint="eastAsia" w:ascii="楷体_GB2312" w:eastAsia="楷体_GB2312"/>
        </w:rPr>
      </w:pPr>
      <w:r>
        <w:rPr>
          <w:rFonts w:hint="eastAsia" w:ascii="楷体_GB2312" w:eastAsia="楷体_GB2312"/>
        </w:rPr>
        <w:t>（二）划分方法</w:t>
      </w:r>
    </w:p>
    <w:p>
      <w:pPr>
        <w:pStyle w:val="7"/>
        <w:ind w:firstLine="640"/>
        <w:rPr>
          <w:rFonts w:hint="eastAsia" w:ascii="仿宋_GB2312"/>
          <w:kern w:val="0"/>
          <w:szCs w:val="32"/>
        </w:rPr>
      </w:pPr>
      <w:bookmarkStart w:id="0" w:name="OLE_LINK11"/>
      <w:r>
        <w:rPr>
          <w:rFonts w:hint="eastAsia" w:ascii="仿宋_GB2312"/>
          <w:kern w:val="0"/>
          <w:szCs w:val="32"/>
        </w:rPr>
        <w:t>村级集中式饮用水水源保护区的划分依据为生态环境部和水利部2019年联合发布的</w:t>
      </w:r>
      <w:r>
        <w:rPr>
          <w:rFonts w:ascii="仿宋_GB2312"/>
          <w:kern w:val="0"/>
          <w:szCs w:val="32"/>
        </w:rPr>
        <w:t>《关于推进乡镇及以下集中式饮用水水源地生态环境保护工作的指导意见》（环水体函〔2019〕92号）（以下简称92号文）</w:t>
      </w:r>
      <w:r>
        <w:rPr>
          <w:rFonts w:hint="eastAsia" w:ascii="仿宋_GB2312"/>
          <w:kern w:val="0"/>
          <w:szCs w:val="32"/>
        </w:rPr>
        <w:t>。92号文要求在保障农村水源地水质安全的前提下，结合当地实际，因地制宜合理确定农村饮用水水源保护区。原则上，地下水型保护区，以取水口为中心，径向距离不小于30米。</w:t>
      </w:r>
      <w:bookmarkEnd w:id="0"/>
    </w:p>
    <w:p>
      <w:pPr>
        <w:snapToGrid w:val="0"/>
        <w:outlineLvl w:val="0"/>
        <w:rPr>
          <w:rFonts w:hint="eastAsia" w:ascii="黑体" w:hAnsi="黑体" w:eastAsia="黑体" w:cs="黑体"/>
          <w:color w:val="000000"/>
          <w:kern w:val="0"/>
        </w:rPr>
      </w:pPr>
      <w:r>
        <w:rPr>
          <w:rFonts w:hint="eastAsia" w:ascii="黑体" w:hAnsi="黑体" w:eastAsia="黑体" w:cs="黑体"/>
          <w:color w:val="000000"/>
          <w:kern w:val="0"/>
        </w:rPr>
        <w:t>四、饮用水水源保护区划分方案</w:t>
      </w:r>
    </w:p>
    <w:p>
      <w:pPr>
        <w:rPr>
          <w:rFonts w:hint="eastAsia"/>
          <w:lang w:val="en"/>
        </w:rPr>
      </w:pPr>
      <w:r>
        <w:rPr>
          <w:rFonts w:hint="eastAsia"/>
          <w:lang w:val="en"/>
        </w:rPr>
        <w:t>结合我区村级集中式水源地实际情况以及管理现状，参照92号文，74个村级集中式水源地都只划分一级保护区，不设二级保护区和准保护区，一级保护区为以水源井为核心的30米范围，保护区汇总见表</w:t>
      </w:r>
      <w:r>
        <w:rPr>
          <w:rFonts w:hint="eastAsia"/>
        </w:rPr>
        <w:t>1，保护区分布情况见图1。</w:t>
      </w:r>
    </w:p>
    <w:p>
      <w:pPr>
        <w:pStyle w:val="2"/>
        <w:ind w:firstLine="0" w:firstLineChars="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表1  大兴区村级集中式饮用水水源保护区范围汇总表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42"/>
        <w:gridCol w:w="2125"/>
        <w:gridCol w:w="283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序号</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水源地名称</w:t>
            </w:r>
          </w:p>
        </w:tc>
        <w:tc>
          <w:tcPr>
            <w:tcW w:w="1173"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位置</w:t>
            </w:r>
          </w:p>
        </w:tc>
        <w:tc>
          <w:tcPr>
            <w:tcW w:w="1565"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一级保护区</w:t>
            </w:r>
          </w:p>
        </w:tc>
        <w:tc>
          <w:tcPr>
            <w:tcW w:w="716" w:type="pct"/>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二级保护区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堡林庄村水源地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w:t>
            </w:r>
            <w:bookmarkStart w:id="1" w:name="OLE_LINK28"/>
            <w:r>
              <w:rPr>
                <w:rFonts w:hint="eastAsia" w:hAnsi="宋体" w:cs="宋体"/>
                <w:kern w:val="0"/>
                <w:sz w:val="21"/>
                <w:szCs w:val="21"/>
              </w:rPr>
              <w:t>镇</w:t>
            </w:r>
            <w:bookmarkEnd w:id="1"/>
            <w:r>
              <w:rPr>
                <w:rFonts w:hint="eastAsia" w:hAnsi="宋体" w:cs="宋体"/>
                <w:kern w:val="0"/>
                <w:sz w:val="21"/>
                <w:szCs w:val="21"/>
              </w:rPr>
              <w:t>堡林庄村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后安定村水源地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安定镇后安定村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伙达营村水源地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安定镇伙达营村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驴房村水源地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安定镇驴房村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潘家马房村水源地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安定镇潘家马房村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前辛房村水源地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安定镇前辛房村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7</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沙河村水源地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安定镇沙河村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8</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佟家务村水源地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安定镇佟家务村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9</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西白塔村水源地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安定镇西白塔村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10</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西芦各庄村水源地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安定镇西芦各庄村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11</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兴安营村水源地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安定镇兴安营村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12</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于家务村水源地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安定镇于家务村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13</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大渠村水源地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安定镇大渠村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14</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东白塔村水源地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安定镇东白塔村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15</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前安定村水源地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安定镇前安定村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16</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汤营村水源地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安定镇汤营村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17</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车站村水源地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安定镇车站村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18</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六合庄村水源地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北臧村镇六合庄村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19</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西王庄村水源地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北臧村镇西王庄村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20</w:t>
            </w:r>
          </w:p>
        </w:tc>
        <w:tc>
          <w:tcPr>
            <w:tcW w:w="1127" w:type="pct"/>
            <w:shd w:val="clear" w:color="000000" w:fill="FFFFFF"/>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梨园村水源地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北臧村镇梨园村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21</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前甫村水源地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采育镇前甫村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22</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立垡村水源地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黄村镇立垡村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23</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桂村水源地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黄村镇桂村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24</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王立庄村水源地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黄村镇王立庄村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25</w:t>
            </w:r>
          </w:p>
        </w:tc>
        <w:tc>
          <w:tcPr>
            <w:tcW w:w="1127" w:type="pct"/>
            <w:noWrap/>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孙村水源地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黄村镇孙村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26</w:t>
            </w:r>
          </w:p>
        </w:tc>
        <w:tc>
          <w:tcPr>
            <w:tcW w:w="1127" w:type="pct"/>
            <w:noWrap/>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郭上坡村水源地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黄村镇郭上坡村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27</w:t>
            </w:r>
          </w:p>
        </w:tc>
        <w:tc>
          <w:tcPr>
            <w:tcW w:w="1127" w:type="pct"/>
            <w:noWrap/>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kern w:val="0"/>
                <w:sz w:val="21"/>
                <w:szCs w:val="21"/>
              </w:rPr>
              <w:t>前大营村水源地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黄村镇前大营村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28</w:t>
            </w:r>
          </w:p>
        </w:tc>
        <w:tc>
          <w:tcPr>
            <w:tcW w:w="1127" w:type="pct"/>
            <w:noWrap/>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旧宫四村水源地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旧宫镇</w:t>
            </w:r>
            <w:r>
              <w:rPr>
                <w:rFonts w:hint="eastAsia" w:hAnsi="宋体" w:cs="宋体"/>
                <w:color w:val="000000"/>
                <w:kern w:val="0"/>
                <w:sz w:val="21"/>
                <w:szCs w:val="21"/>
              </w:rPr>
              <w:t>旧宫四村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29</w:t>
            </w:r>
          </w:p>
        </w:tc>
        <w:tc>
          <w:tcPr>
            <w:tcW w:w="1127" w:type="pct"/>
            <w:noWrap/>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东郏河村水源地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礼贤镇</w:t>
            </w:r>
            <w:r>
              <w:rPr>
                <w:rFonts w:hint="eastAsia" w:hAnsi="宋体" w:cs="宋体"/>
                <w:color w:val="000000"/>
                <w:kern w:val="0"/>
                <w:sz w:val="21"/>
                <w:szCs w:val="21"/>
              </w:rPr>
              <w:t>东郏河村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30</w:t>
            </w:r>
          </w:p>
        </w:tc>
        <w:tc>
          <w:tcPr>
            <w:tcW w:w="1127" w:type="pct"/>
            <w:noWrap/>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王庄村水源地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礼贤镇</w:t>
            </w:r>
            <w:r>
              <w:rPr>
                <w:rFonts w:hint="eastAsia" w:hAnsi="宋体" w:cs="宋体"/>
                <w:color w:val="000000"/>
                <w:kern w:val="0"/>
                <w:sz w:val="21"/>
                <w:szCs w:val="21"/>
              </w:rPr>
              <w:t>王庄村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31</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color w:val="000000"/>
                <w:kern w:val="0"/>
                <w:sz w:val="21"/>
                <w:szCs w:val="21"/>
              </w:rPr>
              <w:t>紫各庄村水源地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礼贤镇</w:t>
            </w:r>
            <w:r>
              <w:rPr>
                <w:rFonts w:hint="eastAsia" w:hAnsi="宋体" w:cs="宋体"/>
                <w:color w:val="000000"/>
                <w:kern w:val="0"/>
                <w:sz w:val="21"/>
                <w:szCs w:val="21"/>
              </w:rPr>
              <w:t>紫各庄村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32</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color w:val="000000"/>
                <w:kern w:val="0"/>
                <w:sz w:val="21"/>
                <w:szCs w:val="21"/>
              </w:rPr>
              <w:t>孙家营村水源地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礼贤镇</w:t>
            </w:r>
            <w:r>
              <w:rPr>
                <w:rFonts w:hint="eastAsia" w:hAnsi="宋体" w:cs="宋体"/>
                <w:color w:val="000000"/>
                <w:kern w:val="0"/>
                <w:sz w:val="21"/>
                <w:szCs w:val="21"/>
              </w:rPr>
              <w:t>孙家营村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33</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color w:val="000000"/>
                <w:kern w:val="0"/>
                <w:sz w:val="21"/>
                <w:szCs w:val="21"/>
              </w:rPr>
              <w:t>小刘各庄村水源地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礼贤镇</w:t>
            </w:r>
            <w:r>
              <w:rPr>
                <w:rFonts w:hint="eastAsia" w:hAnsi="宋体" w:cs="宋体"/>
                <w:color w:val="000000"/>
                <w:kern w:val="0"/>
                <w:sz w:val="21"/>
                <w:szCs w:val="21"/>
              </w:rPr>
              <w:t>小刘各庄村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34</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北李渠村水源地（同《大兴区饮用水水源地名录》中北里渠村水源地）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庞各庄镇北李渠村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35</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常各庄村水源地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庞各庄镇常各庄村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36</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东黑垡村水源地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庞各庄镇东黑垡村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37</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东中堡村水源地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庞各庄镇东中堡村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38</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福上村水源地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庞各庄镇福上村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39</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民生村水源地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庞各庄镇民生村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40</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南小营村水源地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庞各庄镇南小营村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41</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西黑垡村水源地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庞各庄镇西黑垡村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42</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张公垡村水源地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庞各庄镇张公垡村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43</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赵村水源地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庞各庄镇赵村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44</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薛营村水源地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庞各庄镇薛营村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45</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大张本村水源地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青云店镇大张本村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46</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小张本村水源地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青云店镇小张本村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47</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西大屯村水源地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青云店镇西大屯村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48</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东大屯村水源地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青云店镇东大屯村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49</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高庄村水源地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青云店镇高庄村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50</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大回城村水源地（同《大兴区饮用水水源地名录》中大</w:t>
            </w:r>
            <w:r>
              <w:rPr>
                <w:rFonts w:hint="eastAsia" w:ascii="微软雅黑" w:hAnsi="微软雅黑" w:eastAsia="微软雅黑" w:cs="微软雅黑"/>
                <w:kern w:val="0"/>
                <w:sz w:val="21"/>
                <w:szCs w:val="21"/>
              </w:rPr>
              <w:t>迴</w:t>
            </w:r>
            <w:r>
              <w:rPr>
                <w:rFonts w:hint="eastAsia"/>
                <w:kern w:val="0"/>
                <w:sz w:val="21"/>
                <w:szCs w:val="21"/>
              </w:rPr>
              <w:t>城村水源地</w:t>
            </w:r>
            <w:r>
              <w:rPr>
                <w:rFonts w:hint="eastAsia" w:hAnsi="宋体" w:cs="宋体"/>
                <w:kern w:val="0"/>
                <w:sz w:val="21"/>
                <w:szCs w:val="21"/>
              </w:rPr>
              <w:t>）</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青云店镇大回城村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51</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魏善庄镇魏善庄村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52</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大刘各庄村水源地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魏善庄镇大刘各庄村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53</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河南辛庄村水源地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魏善庄镇河南辛庄村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54</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崔家庄一村水源地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魏善庄镇崔家庄一村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55</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东枣林村水源地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魏善庄镇东枣林村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56</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东南研垡村水源地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魏善庄镇东南研垡村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57</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魏庄村水源地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魏善庄镇魏庄村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58</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查家马房村水源地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魏善庄镇查家马房村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59</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前苑上村水源地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魏善庄镇前苑上村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60</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西南研垡村水源地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魏善庄镇西南研垡村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61</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北田各庄村水源地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魏善庄镇北田各庄村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62</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北研垡村水源地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魏善庄镇北研垡村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63</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陈各庄村水源地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魏善庄镇陈各庄村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64</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大狼垡村水源地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魏善庄镇大狼垡村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65</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团河南村水源地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西红门镇团河南村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66</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小白楼村水源地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西红门镇小白楼村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67</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拾村（包含一村）水源地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西红门镇拾村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68</w:t>
            </w:r>
          </w:p>
        </w:tc>
        <w:tc>
          <w:tcPr>
            <w:tcW w:w="1127" w:type="pct"/>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留士庄村水源地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榆垡镇留士庄村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69</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求贤村水源地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榆垡镇求贤村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70</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太子务村水源地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榆垡镇太子务村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71</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西黄垡村水源地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榆垡镇西黄垡村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72</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牛坊村水源地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长子营镇牛坊村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73</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留民营村水源地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长子营镇留民营村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19"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74</w:t>
            </w:r>
          </w:p>
        </w:tc>
        <w:tc>
          <w:tcPr>
            <w:tcW w:w="1127" w:type="pct"/>
            <w:noWrap/>
            <w:vAlign w:val="center"/>
          </w:tcPr>
          <w:p>
            <w:pPr>
              <w:widowControl/>
              <w:spacing w:line="240" w:lineRule="auto"/>
              <w:ind w:firstLine="0" w:firstLineChars="0"/>
              <w:jc w:val="center"/>
              <w:rPr>
                <w:rFonts w:hint="eastAsia" w:hAnsi="宋体" w:cs="宋体"/>
                <w:kern w:val="0"/>
                <w:sz w:val="21"/>
                <w:szCs w:val="21"/>
              </w:rPr>
            </w:pPr>
            <w:r>
              <w:rPr>
                <w:rFonts w:hint="eastAsia" w:hAnsi="宋体" w:cs="宋体"/>
                <w:kern w:val="0"/>
                <w:sz w:val="21"/>
                <w:szCs w:val="21"/>
              </w:rPr>
              <w:t>北辛庄村水源地</w:t>
            </w:r>
          </w:p>
        </w:tc>
        <w:tc>
          <w:tcPr>
            <w:tcW w:w="1173"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kern w:val="0"/>
                <w:sz w:val="21"/>
                <w:szCs w:val="21"/>
              </w:rPr>
              <w:t>长子营镇北辛庄村</w:t>
            </w:r>
          </w:p>
        </w:tc>
        <w:tc>
          <w:tcPr>
            <w:tcW w:w="1565" w:type="pct"/>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rPr>
              <w:t>以水源井为核心的30米范围</w:t>
            </w:r>
          </w:p>
        </w:tc>
        <w:tc>
          <w:tcPr>
            <w:tcW w:w="716" w:type="pct"/>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rPr>
              <w:t>——</w:t>
            </w:r>
          </w:p>
        </w:tc>
      </w:tr>
    </w:tbl>
    <w:p>
      <w:pPr>
        <w:snapToGrid w:val="0"/>
        <w:spacing w:line="240" w:lineRule="auto"/>
        <w:ind w:firstLine="0" w:firstLineChars="0"/>
        <w:jc w:val="center"/>
        <w:outlineLvl w:val="0"/>
        <w:rPr>
          <w:rFonts w:hint="eastAsia"/>
        </w:rPr>
      </w:pPr>
      <w:r>
        <w:drawing>
          <wp:inline distT="0" distB="0" distL="0" distR="0">
            <wp:extent cx="5615940" cy="5615940"/>
            <wp:effectExtent l="0" t="0" r="3810" b="3810"/>
            <wp:docPr id="20937856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8564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15940" cy="5615940"/>
                    </a:xfrm>
                    <a:prstGeom prst="rect">
                      <a:avLst/>
                    </a:prstGeom>
                    <a:noFill/>
                    <a:ln>
                      <a:noFill/>
                    </a:ln>
                  </pic:spPr>
                </pic:pic>
              </a:graphicData>
            </a:graphic>
          </wp:inline>
        </w:drawing>
      </w:r>
    </w:p>
    <w:p>
      <w:pPr>
        <w:snapToGrid w:val="0"/>
        <w:spacing w:line="240" w:lineRule="auto"/>
        <w:ind w:firstLine="0" w:firstLineChars="0"/>
        <w:jc w:val="center"/>
        <w:outlineLvl w:val="0"/>
        <w:rPr>
          <w:rFonts w:hint="eastAsia"/>
        </w:rPr>
      </w:pPr>
      <w:r>
        <w:rPr>
          <w:rFonts w:hint="eastAsia"/>
        </w:rPr>
        <w:t>图1  大兴区</w:t>
      </w:r>
      <w:r>
        <w:rPr>
          <w:rFonts w:hint="eastAsia"/>
          <w:kern w:val="0"/>
        </w:rPr>
        <w:t>村级集中式</w:t>
      </w:r>
      <w:r>
        <w:rPr>
          <w:rFonts w:hint="eastAsia"/>
        </w:rPr>
        <w:t>饮用水水源保护区示意图</w:t>
      </w:r>
    </w:p>
    <w:p>
      <w:pPr>
        <w:snapToGrid w:val="0"/>
        <w:outlineLvl w:val="0"/>
        <w:rPr>
          <w:rFonts w:hint="eastAsia" w:ascii="黑体" w:hAnsi="黑体" w:eastAsia="黑体" w:cs="黑体"/>
          <w:color w:val="000000"/>
          <w:kern w:val="0"/>
        </w:rPr>
      </w:pPr>
      <w:r>
        <w:rPr>
          <w:rFonts w:hint="eastAsia" w:ascii="黑体" w:hAnsi="黑体" w:eastAsia="黑体" w:cs="黑体"/>
          <w:color w:val="000000"/>
          <w:kern w:val="0"/>
        </w:rPr>
        <w:t>五、下一步工作计划</w:t>
      </w:r>
    </w:p>
    <w:p>
      <w:pPr>
        <w:rPr>
          <w:rFonts w:hint="eastAsia"/>
        </w:rPr>
      </w:pPr>
      <w:bookmarkStart w:id="2" w:name="_Toc48802705"/>
      <w:bookmarkStart w:id="3" w:name="_Toc48793309"/>
      <w:bookmarkStart w:id="4" w:name="_Toc51221027"/>
      <w:bookmarkStart w:id="5" w:name="_Toc54090878"/>
      <w:bookmarkStart w:id="6" w:name="_Toc55553612"/>
      <w:bookmarkStart w:id="7" w:name="_Toc181383154"/>
      <w:r>
        <w:rPr>
          <w:rFonts w:hint="eastAsia"/>
        </w:rPr>
        <w:t>（一）完成划分方案报批</w:t>
      </w:r>
    </w:p>
    <w:p>
      <w:pPr>
        <w:rPr>
          <w:rFonts w:hint="eastAsia"/>
        </w:rPr>
      </w:pPr>
      <w:r>
        <w:rPr>
          <w:rFonts w:hint="eastAsia"/>
        </w:rPr>
        <w:t>待技术报告和划分方案通过审查后，区政府按照程序向市政府报批。</w:t>
      </w:r>
    </w:p>
    <w:p>
      <w:pPr>
        <w:rPr>
          <w:rFonts w:hint="eastAsia"/>
        </w:rPr>
      </w:pPr>
      <w:r>
        <w:rPr>
          <w:rFonts w:hint="eastAsia"/>
        </w:rPr>
        <w:t>（二）完善基础设施建设</w:t>
      </w:r>
      <w:bookmarkEnd w:id="2"/>
      <w:bookmarkEnd w:id="3"/>
      <w:bookmarkEnd w:id="4"/>
      <w:bookmarkEnd w:id="5"/>
      <w:bookmarkEnd w:id="6"/>
      <w:bookmarkEnd w:id="7"/>
    </w:p>
    <w:p>
      <w:pPr>
        <w:rPr>
          <w:rFonts w:hint="eastAsia"/>
        </w:rPr>
      </w:pPr>
      <w:r>
        <w:rPr>
          <w:rFonts w:hint="eastAsia"/>
        </w:rPr>
        <w:t>水源保护区划分方案批复后，按照《饮用水水源保护区标志技术要求》（HJ/T 233-2008），及时安装水源保护区界标、警示标志或宣传牌等。</w:t>
      </w:r>
    </w:p>
    <w:p>
      <w:pPr>
        <w:rPr>
          <w:rFonts w:hint="eastAsia"/>
        </w:rPr>
      </w:pPr>
      <w:bookmarkStart w:id="8" w:name="_Toc181383155"/>
      <w:bookmarkStart w:id="9" w:name="_Toc54090880"/>
      <w:bookmarkStart w:id="10" w:name="_Toc48793311"/>
      <w:bookmarkStart w:id="11" w:name="_Toc55553614"/>
      <w:bookmarkStart w:id="12" w:name="_Toc48802707"/>
      <w:bookmarkStart w:id="13" w:name="_Toc51221029"/>
      <w:r>
        <w:rPr>
          <w:rFonts w:hint="eastAsia"/>
        </w:rPr>
        <w:t>（三）加强环境监管，消除风险隐患</w:t>
      </w:r>
      <w:bookmarkEnd w:id="8"/>
      <w:bookmarkEnd w:id="9"/>
      <w:bookmarkEnd w:id="10"/>
      <w:bookmarkEnd w:id="11"/>
      <w:bookmarkEnd w:id="12"/>
      <w:bookmarkEnd w:id="13"/>
    </w:p>
    <w:p>
      <w:pPr>
        <w:rPr>
          <w:rFonts w:hint="eastAsia"/>
        </w:rPr>
      </w:pPr>
      <w:r>
        <w:rPr>
          <w:rFonts w:hint="eastAsia"/>
        </w:rPr>
        <w:t>各相关部门和属地政府加强饮用水水源保护区监管，确保保护区内无污水、垃圾等，禁止堆放和贮存易溶、含有毒污染物的废弃物，禁止堆放垃圾、粪便及其他可能污染地下饮用水水源的固体废弃物，消除污染风险。</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B23D4"/>
    <w:multiLevelType w:val="multilevel"/>
    <w:tmpl w:val="413B23D4"/>
    <w:lvl w:ilvl="0" w:tentative="0">
      <w:start w:val="1"/>
      <w:numFmt w:val="decimal"/>
      <w:lvlText w:val="%1."/>
      <w:lvlJc w:val="left"/>
      <w:pPr>
        <w:ind w:left="425" w:hanging="425"/>
      </w:pPr>
    </w:lvl>
    <w:lvl w:ilvl="1" w:tentative="0">
      <w:start w:val="1"/>
      <w:numFmt w:val="decimal"/>
      <w:pStyle w:val="13"/>
      <w:lvlText w:val="%1.%2."/>
      <w:lvlJc w:val="left"/>
      <w:pPr>
        <w:ind w:left="567" w:hanging="567"/>
      </w:pPr>
    </w:lvl>
    <w:lvl w:ilvl="2" w:tentative="0">
      <w:start w:val="1"/>
      <w:numFmt w:val="decimal"/>
      <w:pStyle w:val="14"/>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76ECD400"/>
    <w:multiLevelType w:val="singleLevel"/>
    <w:tmpl w:val="76ECD40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Dg4N2M2MzZjNGUxYTFlNmUzYzk2M2VhNjkyY2QifQ=="/>
  </w:docVars>
  <w:rsids>
    <w:rsidRoot w:val="0E6B67DA"/>
    <w:rsid w:val="0004264D"/>
    <w:rsid w:val="00287B87"/>
    <w:rsid w:val="002A5166"/>
    <w:rsid w:val="002C7AEB"/>
    <w:rsid w:val="003219ED"/>
    <w:rsid w:val="00363242"/>
    <w:rsid w:val="00415250"/>
    <w:rsid w:val="00473556"/>
    <w:rsid w:val="00483236"/>
    <w:rsid w:val="005300AF"/>
    <w:rsid w:val="005F1051"/>
    <w:rsid w:val="00705BC8"/>
    <w:rsid w:val="00725700"/>
    <w:rsid w:val="00793428"/>
    <w:rsid w:val="007B4B90"/>
    <w:rsid w:val="007E5611"/>
    <w:rsid w:val="008546D1"/>
    <w:rsid w:val="009278BB"/>
    <w:rsid w:val="009C5A08"/>
    <w:rsid w:val="00A70970"/>
    <w:rsid w:val="00D1441C"/>
    <w:rsid w:val="00E7279E"/>
    <w:rsid w:val="00E97870"/>
    <w:rsid w:val="00FA19E1"/>
    <w:rsid w:val="00FD06A4"/>
    <w:rsid w:val="08630AB1"/>
    <w:rsid w:val="0E6B67DA"/>
    <w:rsid w:val="256D2A31"/>
    <w:rsid w:val="4022540E"/>
    <w:rsid w:val="46B1432D"/>
    <w:rsid w:val="48CF5E05"/>
    <w:rsid w:val="571F5B0E"/>
    <w:rsid w:val="57FD2FF7"/>
    <w:rsid w:val="614416A2"/>
    <w:rsid w:val="711F5789"/>
    <w:rsid w:val="727A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35"/>
    <w:pPr>
      <w:jc w:val="center"/>
    </w:pPr>
    <w:rPr>
      <w:rFonts w:eastAsia="黑体" w:asciiTheme="majorHAnsi" w:hAnsiTheme="majorHAnsi" w:cstheme="majorBidi"/>
      <w:b/>
      <w:sz w:val="24"/>
      <w:szCs w:val="20"/>
    </w:rPr>
  </w:style>
  <w:style w:type="paragraph" w:styleId="3">
    <w:name w:val="footer"/>
    <w:basedOn w:val="1"/>
    <w:link w:val="18"/>
    <w:autoRedefine/>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7"/>
    <w:autoRedefine/>
    <w:qFormat/>
    <w:uiPriority w:val="0"/>
    <w:pPr>
      <w:tabs>
        <w:tab w:val="center" w:pos="4153"/>
        <w:tab w:val="right" w:pos="8306"/>
      </w:tabs>
      <w:snapToGrid w:val="0"/>
      <w:spacing w:line="240" w:lineRule="atLeast"/>
      <w:jc w:val="center"/>
    </w:pPr>
    <w:rPr>
      <w:sz w:val="18"/>
      <w:szCs w:val="18"/>
    </w:rPr>
  </w:style>
  <w:style w:type="paragraph" w:customStyle="1" w:styleId="7">
    <w:name w:val="列表段落1"/>
    <w:basedOn w:val="1"/>
    <w:autoRedefine/>
    <w:qFormat/>
    <w:uiPriority w:val="34"/>
    <w:pPr>
      <w:ind w:firstLine="420"/>
    </w:pPr>
    <w:rPr>
      <w:rFonts w:ascii="Calibri" w:hAnsi="Calibri"/>
      <w:szCs w:val="22"/>
    </w:rPr>
  </w:style>
  <w:style w:type="paragraph" w:customStyle="1" w:styleId="8">
    <w:name w:val="正文文本2"/>
    <w:basedOn w:val="1"/>
    <w:link w:val="10"/>
    <w:autoRedefine/>
    <w:qFormat/>
    <w:uiPriority w:val="0"/>
    <w:pPr>
      <w:shd w:val="clear" w:color="auto" w:fill="FFFFFF"/>
      <w:spacing w:before="120" w:after="240" w:line="0" w:lineRule="atLeast"/>
      <w:jc w:val="left"/>
    </w:pPr>
    <w:rPr>
      <w:rFonts w:ascii="MingLiU" w:hAnsi="MingLiU" w:eastAsia="MingLiU" w:cs="MingLiU"/>
      <w:snapToGrid w:val="0"/>
      <w:spacing w:val="20"/>
      <w:kern w:val="0"/>
      <w:sz w:val="28"/>
      <w:szCs w:val="28"/>
    </w:rPr>
  </w:style>
  <w:style w:type="character" w:customStyle="1" w:styleId="9">
    <w:name w:val="正文文本1"/>
    <w:basedOn w:val="10"/>
    <w:autoRedefine/>
    <w:qFormat/>
    <w:uiPriority w:val="0"/>
    <w:rPr>
      <w:rFonts w:ascii="MingLiU" w:hAnsi="MingLiU" w:eastAsia="MingLiU" w:cs="MingLiU"/>
      <w:snapToGrid w:val="0"/>
      <w:color w:val="000000"/>
      <w:spacing w:val="20"/>
      <w:w w:val="100"/>
      <w:kern w:val="0"/>
      <w:position w:val="0"/>
      <w:sz w:val="28"/>
      <w:szCs w:val="28"/>
      <w:shd w:val="clear" w:color="auto" w:fill="FFFFFF"/>
      <w:lang w:val="zh-TW"/>
    </w:rPr>
  </w:style>
  <w:style w:type="character" w:customStyle="1" w:styleId="10">
    <w:name w:val="Body text_"/>
    <w:basedOn w:val="6"/>
    <w:link w:val="8"/>
    <w:autoRedefine/>
    <w:qFormat/>
    <w:uiPriority w:val="0"/>
    <w:rPr>
      <w:rFonts w:ascii="MingLiU" w:hAnsi="MingLiU" w:eastAsia="MingLiU" w:cs="MingLiU"/>
      <w:snapToGrid w:val="0"/>
      <w:spacing w:val="20"/>
      <w:kern w:val="0"/>
      <w:sz w:val="28"/>
      <w:szCs w:val="28"/>
    </w:rPr>
  </w:style>
  <w:style w:type="character" w:customStyle="1" w:styleId="11">
    <w:name w:val="Body text + Spacing 3 pt"/>
    <w:basedOn w:val="10"/>
    <w:autoRedefine/>
    <w:qFormat/>
    <w:uiPriority w:val="0"/>
    <w:rPr>
      <w:rFonts w:ascii="MingLiU" w:hAnsi="MingLiU" w:eastAsia="MingLiU" w:cs="MingLiU"/>
      <w:snapToGrid w:val="0"/>
      <w:color w:val="000000"/>
      <w:spacing w:val="60"/>
      <w:w w:val="100"/>
      <w:kern w:val="0"/>
      <w:position w:val="0"/>
      <w:sz w:val="28"/>
      <w:szCs w:val="28"/>
      <w:shd w:val="clear" w:color="auto" w:fill="FFFFFF"/>
      <w:lang w:val="zh-TW"/>
    </w:rPr>
  </w:style>
  <w:style w:type="character" w:customStyle="1" w:styleId="12">
    <w:name w:val="Body text + 15 pt"/>
    <w:basedOn w:val="10"/>
    <w:autoRedefine/>
    <w:qFormat/>
    <w:uiPriority w:val="0"/>
    <w:rPr>
      <w:rFonts w:ascii="MingLiU" w:hAnsi="MingLiU" w:eastAsia="MingLiU" w:cs="MingLiU"/>
      <w:snapToGrid w:val="0"/>
      <w:color w:val="000000"/>
      <w:spacing w:val="20"/>
      <w:w w:val="100"/>
      <w:kern w:val="0"/>
      <w:position w:val="0"/>
      <w:sz w:val="30"/>
      <w:szCs w:val="30"/>
      <w:shd w:val="clear" w:color="auto" w:fill="FFFFFF"/>
      <w:lang w:val="zh-TW"/>
    </w:rPr>
  </w:style>
  <w:style w:type="paragraph" w:customStyle="1" w:styleId="13">
    <w:name w:val="1.1.二级标题"/>
    <w:basedOn w:val="7"/>
    <w:autoRedefine/>
    <w:qFormat/>
    <w:uiPriority w:val="0"/>
    <w:pPr>
      <w:numPr>
        <w:ilvl w:val="1"/>
        <w:numId w:val="1"/>
      </w:numPr>
      <w:spacing w:before="120" w:after="120"/>
      <w:ind w:firstLine="0" w:firstLineChars="0"/>
      <w:jc w:val="left"/>
      <w:outlineLvl w:val="1"/>
    </w:pPr>
    <w:rPr>
      <w:b/>
      <w:sz w:val="30"/>
    </w:rPr>
  </w:style>
  <w:style w:type="paragraph" w:customStyle="1" w:styleId="14">
    <w:name w:val="1.1.1.三级标题"/>
    <w:basedOn w:val="7"/>
    <w:autoRedefine/>
    <w:qFormat/>
    <w:uiPriority w:val="0"/>
    <w:pPr>
      <w:numPr>
        <w:ilvl w:val="2"/>
        <w:numId w:val="1"/>
      </w:numPr>
      <w:spacing w:before="120" w:after="120"/>
      <w:ind w:firstLine="0" w:firstLineChars="0"/>
      <w:jc w:val="left"/>
      <w:outlineLvl w:val="2"/>
    </w:pPr>
    <w:rPr>
      <w:b/>
      <w:sz w:val="28"/>
    </w:rPr>
  </w:style>
  <w:style w:type="paragraph" w:customStyle="1" w:styleId="15">
    <w:name w:val="正文样式"/>
    <w:basedOn w:val="1"/>
    <w:link w:val="16"/>
    <w:autoRedefine/>
    <w:qFormat/>
    <w:uiPriority w:val="0"/>
    <w:pPr>
      <w:spacing w:line="360" w:lineRule="auto"/>
      <w:ind w:firstLine="200"/>
    </w:pPr>
    <w:rPr>
      <w:sz w:val="28"/>
    </w:rPr>
  </w:style>
  <w:style w:type="character" w:customStyle="1" w:styleId="16">
    <w:name w:val="正文样式 Char"/>
    <w:basedOn w:val="6"/>
    <w:link w:val="15"/>
    <w:autoRedefine/>
    <w:qFormat/>
    <w:uiPriority w:val="0"/>
    <w:rPr>
      <w:rFonts w:ascii="仿宋_GB2312" w:hAnsi="仿宋_GB2312" w:eastAsia="仿宋_GB2312" w:cs="仿宋_GB2312"/>
      <w:kern w:val="2"/>
      <w:sz w:val="28"/>
      <w:szCs w:val="32"/>
    </w:rPr>
  </w:style>
  <w:style w:type="character" w:customStyle="1" w:styleId="17">
    <w:name w:val="页眉 字符"/>
    <w:basedOn w:val="6"/>
    <w:link w:val="4"/>
    <w:autoRedefine/>
    <w:qFormat/>
    <w:uiPriority w:val="0"/>
    <w:rPr>
      <w:rFonts w:ascii="仿宋_GB2312" w:hAnsi="仿宋_GB2312" w:eastAsia="仿宋_GB2312" w:cs="仿宋_GB2312"/>
      <w:kern w:val="2"/>
      <w:sz w:val="18"/>
      <w:szCs w:val="18"/>
    </w:rPr>
  </w:style>
  <w:style w:type="character" w:customStyle="1" w:styleId="18">
    <w:name w:val="页脚 字符"/>
    <w:basedOn w:val="6"/>
    <w:link w:val="3"/>
    <w:autoRedefine/>
    <w:qFormat/>
    <w:uiPriority w:val="0"/>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718</Words>
  <Characters>4093</Characters>
  <Lines>34</Lines>
  <Paragraphs>9</Paragraphs>
  <TotalTime>307</TotalTime>
  <ScaleCrop>false</ScaleCrop>
  <LinksUpToDate>false</LinksUpToDate>
  <CharactersWithSpaces>4802</CharactersWithSpaces>
  <Application>WPS Office_12.8.2.16730_F1E327BC-269C-435d-A152-05C5408002CA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2024-11-22T03:34:00Z</dcterms:created>
  <dc:creator>Annabel</dc:creator>
  <cp:lastModifiedBy>admin</cp:lastModifiedBy>
  <dcterms:modified xsi:type="dcterms:W3CDTF">2025-08-05T02:46:20Z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2052-12.8.2.16730</vt:lpwstr>
  </property>
  <property fmtid="{D5CDD505-2E9C-101B-9397-08002B2CF9AE}" pid="3" name="ICV">
    <vt:lpwstr>1341D077D3B945DE8E57EE30F3A6FE5E_11</vt:lpwstr>
  </property>
</Properties>
</file>