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815D2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大兴区“集群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登记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”</w:t>
      </w:r>
      <w:r>
        <w:rPr>
          <w:rFonts w:hint="eastAsia" w:ascii="方正小标宋简体" w:eastAsia="方正小标宋简体"/>
          <w:color w:val="auto"/>
          <w:sz w:val="44"/>
          <w:szCs w:val="44"/>
        </w:rPr>
        <w:t>管理措施（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</w:rPr>
        <w:t>征求意见稿）</w:t>
      </w:r>
    </w:p>
    <w:p w14:paraId="1CFB3A89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黑体" w:hAnsi="宋体" w:eastAsia="黑体"/>
          <w:b/>
          <w:sz w:val="36"/>
          <w:szCs w:val="36"/>
        </w:rPr>
      </w:pPr>
    </w:p>
    <w:p w14:paraId="5127FF4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第一章</w:t>
      </w:r>
      <w:r>
        <w:rPr>
          <w:rFonts w:ascii="楷体_GB2312" w:hAnsi="黑体" w:eastAsia="楷体_GB2312"/>
          <w:b/>
          <w:sz w:val="32"/>
          <w:szCs w:val="32"/>
        </w:rPr>
        <w:t xml:space="preserve"> </w:t>
      </w:r>
      <w:r>
        <w:rPr>
          <w:rFonts w:hint="eastAsia" w:ascii="楷体_GB2312" w:hAnsi="黑体" w:eastAsia="楷体_GB2312"/>
          <w:b/>
          <w:sz w:val="32"/>
          <w:szCs w:val="32"/>
        </w:rPr>
        <w:t>总则</w:t>
      </w:r>
    </w:p>
    <w:p w14:paraId="12C93DA0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567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第一条</w:t>
      </w:r>
      <w:r>
        <w:rPr>
          <w:rFonts w:ascii="仿宋_GB2312" w:hAnsi="宋体" w:eastAsia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为持续优化营商环境，</w:t>
      </w:r>
      <w:r>
        <w:rPr>
          <w:rFonts w:hint="eastAsia" w:ascii="仿宋_GB2312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规范集群登记管理，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进一步有效利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经营场所（住所）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资源，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依据《中华人民共和国市场主体登记管理条例》《个体工商户登记管理规定》《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北京市经营主体经营场所（住所）登记管理若干规定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》《北京市优化营商环境条例》</w:t>
      </w:r>
      <w:r>
        <w:rPr>
          <w:rFonts w:hint="eastAsia" w:ascii="仿宋_GB2312" w:eastAsia="仿宋_GB2312"/>
          <w:color w:val="auto"/>
          <w:sz w:val="32"/>
          <w:szCs w:val="32"/>
        </w:rPr>
        <w:t>《北京市市场主体登记告知承诺制度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实施意见</w:t>
      </w:r>
      <w:r>
        <w:rPr>
          <w:rFonts w:hint="eastAsia" w:ascii="仿宋_GB2312" w:eastAsia="仿宋_GB2312"/>
          <w:color w:val="auto"/>
          <w:sz w:val="32"/>
          <w:szCs w:val="32"/>
        </w:rPr>
        <w:t>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等有关规定，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结合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实际，制定本管理措施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2C6926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第二条</w:t>
      </w:r>
      <w:r>
        <w:rPr>
          <w:rFonts w:ascii="仿宋_GB2312" w:hAnsi="宋体"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本措施所称“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集群登记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是指多个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同一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托管机构的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住所进行登记，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并由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该托管机构为经营主体提供住所托管服务，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形成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经营主体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集聚发展的登记注册模式。</w:t>
      </w:r>
    </w:p>
    <w:p w14:paraId="4FF45FC4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eastAsia="zh-CN"/>
        </w:rPr>
        <w:t>第三条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本措施所称托管机构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是指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在大兴区内为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经营主体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提供住所托管服务的组织。</w:t>
      </w:r>
    </w:p>
    <w:p w14:paraId="3A9355D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50" w:afterLines="50" w:line="560" w:lineRule="exact"/>
        <w:jc w:val="center"/>
        <w:textAlignment w:val="auto"/>
        <w:rPr>
          <w:rFonts w:ascii="楷体_GB2312" w:hAnsi="黑体" w:eastAsia="楷体_GB2312"/>
          <w:b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</w:rPr>
        <w:t>第二章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黑体" w:eastAsia="楷体_GB2312"/>
          <w:b/>
          <w:color w:val="auto"/>
          <w:sz w:val="32"/>
          <w:szCs w:val="32"/>
        </w:rPr>
        <w:t>集群登记的设立</w:t>
      </w:r>
    </w:p>
    <w:p w14:paraId="29B4182D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申请集群登记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托管机构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应满足以下条件：</w:t>
      </w:r>
    </w:p>
    <w:p w14:paraId="65AF5DF5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（一）托管机构对纳入集群登记住所享有所有权或使用权，场地为租赁的，剩余租赁期限不少于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年；</w:t>
      </w:r>
    </w:p>
    <w:p w14:paraId="3F8A6FF3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托管机构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及其法定代表人、负责人等主要人员在从事住所托管服务前3年内无被列入经营异常名录、严重违法失信企业名单和被列为失信被执行人等不良信用记录；</w:t>
      </w:r>
    </w:p>
    <w:p w14:paraId="161011FD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（三）有健全的组织机构，具有与住所托管服务相适应的工作人员、工作制度，能为集群登记经营主体提供相应的服务。</w:t>
      </w:r>
    </w:p>
    <w:p w14:paraId="123A1C20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申请集群登记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住所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应满足以下条件：</w:t>
      </w:r>
    </w:p>
    <w:p w14:paraId="4533543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（一）集群登记住所</w:t>
      </w:r>
      <w:r>
        <w:rPr>
          <w:rFonts w:hint="eastAsia" w:ascii="仿宋_GB2312" w:hAnsi="仿宋_GB2312" w:eastAsia="仿宋_GB2312"/>
          <w:color w:val="auto"/>
          <w:sz w:val="32"/>
          <w:szCs w:val="32"/>
          <w:lang w:eastAsia="zh-CN"/>
        </w:rPr>
        <w:t>应当位于大兴区登记范围内，且为真实、合法、安全的非居住用途的建筑或者场地；</w:t>
      </w:r>
    </w:p>
    <w:p w14:paraId="7BAA47BC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集群登记住所应当符合有关法律法规及国家、北京市有关产业政策要求；</w:t>
      </w:r>
    </w:p>
    <w:p w14:paraId="78F2A1DB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（三）集群登记住所应当符合大兴区产业发展规划、社会治理需要；</w:t>
      </w:r>
    </w:p>
    <w:p w14:paraId="5374E5AA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集群登记住所应当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满足经营主体入驻的实体办公空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间（包括实体工位和办公间）或共享空间（包括且不仅限于共享办公室、会议室、洽谈室、活动室、茶水间等满足办公配套需求的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空间）；</w:t>
      </w:r>
    </w:p>
    <w:p w14:paraId="3259DC66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</w:t>
      </w:r>
      <w:r>
        <w:rPr>
          <w:rFonts w:hint="eastAsia" w:ascii="仿宋_GB2312" w:hAnsi="仿宋_GB2312" w:eastAsia="仿宋_GB2312" w:cs="仿宋_GB2312"/>
          <w:bCs/>
          <w:iCs/>
          <w:color w:val="auto"/>
          <w:sz w:val="32"/>
          <w:szCs w:val="32"/>
          <w:lang w:eastAsia="zh-CN"/>
        </w:rPr>
        <w:t>应当确保符合消防、城市规划、环境保护、房屋建筑安全等方面管理要求；</w:t>
      </w:r>
    </w:p>
    <w:p w14:paraId="78215120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纳入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大兴区市场监督管理局住所标准化登记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系统，通过住所标准化模式办理登记。</w:t>
      </w:r>
    </w:p>
    <w:p w14:paraId="30A26918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eastAsia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街、镇、管委会等各属地政府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对辖区内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托管机构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做好风险评估、加强监督管理，并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协助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负责做好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辖区内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集群登记</w:t>
      </w:r>
      <w:r>
        <w:rPr>
          <w:rFonts w:hint="eastAsia" w:ascii="仿宋_GB2312" w:hAnsi="仿宋_GB2312" w:eastAsia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eastAsia="仿宋_GB2312"/>
          <w:color w:val="0000FF"/>
          <w:sz w:val="32"/>
          <w:szCs w:val="32"/>
          <w:highlight w:val="none"/>
          <w:lang w:val="en-US" w:eastAsia="zh-CN"/>
        </w:rPr>
        <w:t>。</w:t>
      </w:r>
    </w:p>
    <w:p w14:paraId="741BB16F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jc w:val="both"/>
        <w:textAlignment w:val="auto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条</w:t>
      </w:r>
      <w:r>
        <w:rPr>
          <w:rFonts w:ascii="仿宋_GB2312" w:eastAsia="仿宋_GB2312"/>
          <w:b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val="en-US" w:eastAsia="zh-CN"/>
        </w:rPr>
        <w:t>申请集群登记应</w:t>
      </w:r>
      <w:r>
        <w:rPr>
          <w:rFonts w:hint="eastAsia" w:ascii="仿宋_GB2312" w:eastAsia="仿宋_GB2312"/>
          <w:color w:val="auto"/>
          <w:sz w:val="32"/>
          <w:szCs w:val="32"/>
        </w:rPr>
        <w:t>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大兴区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市场监督管理局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提交下列材料：</w:t>
      </w:r>
    </w:p>
    <w:p w14:paraId="2D431E8A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集群登记住所的房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屋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权属证明；</w:t>
      </w:r>
    </w:p>
    <w:p w14:paraId="3BF2D2EC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仿宋_GB2312" w:eastAsia="仿宋_GB2312"/>
          <w:color w:val="auto"/>
          <w:sz w:val="32"/>
          <w:szCs w:val="32"/>
        </w:rPr>
        <w:t>总量控制计划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根据集群登记场地的面积、能够提供公共服务的能力等情况，对入驻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经营主体</w:t>
      </w:r>
      <w:r>
        <w:rPr>
          <w:rFonts w:hint="eastAsia" w:ascii="仿宋_GB2312" w:eastAsia="仿宋_GB2312"/>
          <w:color w:val="auto"/>
          <w:sz w:val="32"/>
          <w:szCs w:val="32"/>
        </w:rPr>
        <w:t>总量和引进计划进行合理安排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70E7429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仿宋_GB2312" w:hAnsi="仿宋" w:eastAsia="仿宋_GB2312" w:cs="宋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（三）申请承诺书，承诺对申请材料真实性负责、遵守本管理措施有关规定，配合相关部门积极履行自身义务；</w:t>
      </w:r>
    </w:p>
    <w:p w14:paraId="38750F0D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auto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其他用以证明满足设立条件的材料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。</w:t>
      </w:r>
    </w:p>
    <w:p w14:paraId="2A83DBD0"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" w:eastAsia="仿宋_GB2312" w:cs="宋体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大兴区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市场监督管理局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对上述材料进行</w:t>
      </w:r>
      <w:r>
        <w:rPr>
          <w:rFonts w:hint="eastAsia" w:ascii="仿宋_GB2312" w:hAnsi="仿宋" w:eastAsia="仿宋_GB2312" w:cs="宋体"/>
          <w:color w:val="auto"/>
          <w:sz w:val="32"/>
          <w:szCs w:val="32"/>
          <w:lang w:eastAsia="zh-CN"/>
        </w:rPr>
        <w:t>备案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并通过北京市企业服务e窗通平台</w:t>
      </w:r>
      <w:r>
        <w:rPr>
          <w:rFonts w:hint="eastAsia" w:ascii="仿宋_GB2312" w:eastAsia="仿宋_GB2312"/>
          <w:color w:val="auto"/>
          <w:sz w:val="32"/>
          <w:szCs w:val="32"/>
        </w:rPr>
        <w:t>向社会公示。</w:t>
      </w:r>
    </w:p>
    <w:p w14:paraId="640B75A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50" w:afterLines="50" w:line="560" w:lineRule="exact"/>
        <w:jc w:val="center"/>
        <w:textAlignment w:val="auto"/>
        <w:rPr>
          <w:rFonts w:ascii="楷体_GB2312" w:hAnsi="黑体" w:eastAsia="楷体_GB2312"/>
          <w:b/>
          <w:sz w:val="32"/>
          <w:szCs w:val="32"/>
        </w:rPr>
      </w:pPr>
      <w:r>
        <w:rPr>
          <w:rFonts w:hint="eastAsia" w:ascii="楷体_GB2312" w:hAnsi="黑体" w:eastAsia="楷体_GB2312"/>
          <w:b/>
          <w:sz w:val="32"/>
          <w:szCs w:val="32"/>
        </w:rPr>
        <w:t>第三章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黑体" w:eastAsia="楷体_GB2312"/>
          <w:b/>
          <w:sz w:val="32"/>
          <w:szCs w:val="32"/>
          <w:lang w:eastAsia="zh-CN"/>
        </w:rPr>
        <w:t>对</w:t>
      </w:r>
      <w:r>
        <w:rPr>
          <w:rFonts w:hint="eastAsia" w:ascii="楷体_GB2312" w:hAnsi="黑体" w:eastAsia="楷体_GB2312"/>
          <w:b/>
          <w:sz w:val="32"/>
          <w:szCs w:val="32"/>
        </w:rPr>
        <w:t>集群登记</w:t>
      </w:r>
      <w:r>
        <w:rPr>
          <w:rFonts w:hint="eastAsia" w:ascii="楷体_GB2312" w:hAnsi="黑体" w:eastAsia="楷体_GB2312"/>
          <w:b/>
          <w:sz w:val="32"/>
          <w:szCs w:val="32"/>
          <w:lang w:val="en-US" w:eastAsia="zh-CN"/>
        </w:rPr>
        <w:t>经营主体</w:t>
      </w:r>
      <w:r>
        <w:rPr>
          <w:rFonts w:hint="eastAsia" w:ascii="楷体_GB2312" w:hAnsi="黑体" w:eastAsia="楷体_GB2312"/>
          <w:b/>
          <w:sz w:val="32"/>
          <w:szCs w:val="32"/>
          <w:lang w:eastAsia="zh-CN"/>
        </w:rPr>
        <w:t>的</w:t>
      </w:r>
      <w:r>
        <w:rPr>
          <w:rFonts w:hint="eastAsia" w:ascii="楷体_GB2312" w:hAnsi="黑体" w:eastAsia="楷体_GB2312"/>
          <w:b/>
          <w:sz w:val="32"/>
          <w:szCs w:val="32"/>
        </w:rPr>
        <w:t>管理和服务</w:t>
      </w:r>
    </w:p>
    <w:p w14:paraId="51FAD9EA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托管机构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落实主体责任，加强对入驻经营主体的服务和管理，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highlight w:val="none"/>
          <w:lang w:val="en-US" w:eastAsia="zh-CN"/>
        </w:rPr>
        <w:t>建立包含联系方式、实际经营地址、法定代表人身份信息、实际经营项目、具体联系人等内容的台账信息，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配合市场监管、税务、消防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、城市规划、环境保护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等部门做好</w:t>
      </w:r>
      <w:r>
        <w:rPr>
          <w:rFonts w:hint="eastAsia" w:ascii="仿宋_GB2312" w:eastAsia="仿宋_GB2312"/>
          <w:color w:val="000000"/>
          <w:sz w:val="32"/>
          <w:szCs w:val="32"/>
          <w:highlight w:val="none"/>
          <w:lang w:eastAsia="zh-CN"/>
        </w:rPr>
        <w:t>监督</w:t>
      </w:r>
      <w:r>
        <w:rPr>
          <w:rFonts w:hint="eastAsia" w:ascii="仿宋_GB2312" w:hAnsi="宋体" w:eastAsia="仿宋_GB2312"/>
          <w:color w:val="000000"/>
          <w:sz w:val="32"/>
          <w:szCs w:val="32"/>
          <w:highlight w:val="none"/>
          <w:lang w:eastAsia="zh-CN"/>
        </w:rPr>
        <w:t>管理工作。</w:t>
      </w:r>
    </w:p>
    <w:p w14:paraId="073EA4AF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" w:eastAsia="仿宋_GB2312" w:cs="宋体"/>
          <w:b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申请入驻集群登记住所的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经营主体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应达到以下要求</w:t>
      </w:r>
      <w:r>
        <w:rPr>
          <w:rFonts w:ascii="仿宋_GB2312" w:hAnsi="仿宋" w:eastAsia="仿宋_GB2312" w:cs="宋体"/>
          <w:kern w:val="0"/>
          <w:sz w:val="32"/>
          <w:szCs w:val="32"/>
        </w:rPr>
        <w:t>:</w:t>
      </w:r>
    </w:p>
    <w:p w14:paraId="680C1C1E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（一）</w:t>
      </w:r>
      <w:r>
        <w:rPr>
          <w:rFonts w:hint="eastAsia" w:ascii="仿宋_GB2312" w:eastAsia="仿宋_GB2312"/>
          <w:sz w:val="32"/>
          <w:szCs w:val="32"/>
        </w:rPr>
        <w:t>无不良信用记录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 w14:paraId="426C9276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</w:rPr>
        <w:t>）主动配合集群登记托管机构和各相关职能部门的日常监管工作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0E20EBBB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（三）在登记住所以外的场所开展生产经营活动，通过企业信用信息系统公示实际生产经营场所地址；</w:t>
      </w:r>
    </w:p>
    <w:p w14:paraId="1AA2287C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在登记住所以外接收法律文书的，通过北京市企业服务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e窗通平台填报其他地址，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确保法律文书送达地址真实、准确，能够及时有效接收；</w:t>
      </w:r>
    </w:p>
    <w:p w14:paraId="6BDA998A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法律法规</w:t>
      </w:r>
      <w:r>
        <w:rPr>
          <w:rFonts w:hint="eastAsia" w:ascii="仿宋_GB2312" w:eastAsia="仿宋_GB2312"/>
          <w:color w:val="auto"/>
          <w:sz w:val="32"/>
          <w:szCs w:val="32"/>
        </w:rPr>
        <w:t>规定须经批准方可从事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</w:rPr>
        <w:t>经营活动，应当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eastAsia="仿宋_GB2312"/>
          <w:color w:val="auto"/>
          <w:sz w:val="32"/>
          <w:szCs w:val="32"/>
        </w:rPr>
        <w:t>获得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批准后</w:t>
      </w:r>
      <w:r>
        <w:rPr>
          <w:rFonts w:hint="eastAsia" w:ascii="仿宋_GB2312" w:eastAsia="仿宋_GB2312"/>
          <w:color w:val="auto"/>
          <w:sz w:val="32"/>
          <w:szCs w:val="32"/>
        </w:rPr>
        <w:t>开展相关经营活动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01D08F60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不得开展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集群登记住所不</w:t>
      </w:r>
      <w:r>
        <w:rPr>
          <w:rFonts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具备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审批</w:t>
      </w:r>
      <w:r>
        <w:rPr>
          <w:rFonts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</w:rPr>
        <w:t>条件的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auto"/>
          <w:lang w:eastAsia="zh-CN"/>
        </w:rPr>
        <w:t>相关经营活动。</w:t>
      </w:r>
    </w:p>
    <w:p w14:paraId="22DDA5C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条</w:t>
      </w:r>
      <w:r>
        <w:rPr>
          <w:rFonts w:eastAsia="仿宋_GB2312"/>
          <w:color w:val="auto"/>
          <w:sz w:val="32"/>
          <w:szCs w:val="32"/>
        </w:rPr>
        <w:t> 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入驻集群登记住所的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经营主体</w:t>
      </w:r>
      <w:r>
        <w:rPr>
          <w:rFonts w:hint="eastAsia"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大兴区市场监督管理局</w:t>
      </w:r>
      <w:r>
        <w:rPr>
          <w:rFonts w:hint="eastAsia" w:ascii="仿宋_GB2312" w:eastAsia="仿宋_GB2312"/>
          <w:color w:val="auto"/>
          <w:sz w:val="32"/>
          <w:szCs w:val="32"/>
        </w:rPr>
        <w:t>在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营业执照住所栏记载内容最后标注</w:t>
      </w:r>
      <w:r>
        <w:rPr>
          <w:rFonts w:hint="eastAsia" w:ascii="仿宋_GB2312" w:eastAsia="仿宋_GB2312"/>
          <w:color w:val="auto"/>
          <w:sz w:val="32"/>
          <w:szCs w:val="32"/>
        </w:rPr>
        <w:t>“集群注册”字样。</w:t>
      </w:r>
    </w:p>
    <w:p w14:paraId="310D13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firstLine="643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eastAsia="zh-CN"/>
        </w:rPr>
        <w:t>十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auto"/>
          <w:sz w:val="32"/>
          <w:szCs w:val="32"/>
        </w:rPr>
        <w:t>集群登记住所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不得作为个体工商户经营者住所进行登记。</w:t>
      </w:r>
    </w:p>
    <w:p w14:paraId="0715878B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街、镇、管委会等各属地政府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辖区内登记住所有“一址多照”需求，且经营主体不在住所实地开展经营的，参照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“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集群登记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”方式管理；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产权人需向辖区属地政府申请，属地根据前款规定的要求和程序执行。</w:t>
      </w:r>
    </w:p>
    <w:p w14:paraId="15C5AC67">
      <w:pPr>
        <w:pStyle w:val="5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beforeLines="50" w:afterLines="50" w:line="560" w:lineRule="exact"/>
        <w:ind w:firstLine="2570" w:firstLineChars="800"/>
        <w:jc w:val="both"/>
        <w:textAlignment w:val="auto"/>
        <w:rPr>
          <w:rFonts w:ascii="楷体_GB2312" w:hAnsi="黑体" w:eastAsia="楷体_GB2312" w:cs="黑体"/>
          <w:b/>
          <w:color w:val="auto"/>
          <w:sz w:val="32"/>
          <w:szCs w:val="32"/>
        </w:rPr>
      </w:pPr>
      <w:r>
        <w:rPr>
          <w:rFonts w:hint="eastAsia" w:ascii="楷体_GB2312" w:hAnsi="黑体" w:eastAsia="楷体_GB2312" w:cs="黑体"/>
          <w:b/>
          <w:color w:val="auto"/>
          <w:sz w:val="32"/>
          <w:szCs w:val="32"/>
        </w:rPr>
        <w:t>第</w:t>
      </w:r>
      <w:r>
        <w:rPr>
          <w:rFonts w:hint="eastAsia" w:ascii="楷体_GB2312" w:hAnsi="黑体" w:eastAsia="楷体_GB2312" w:cs="黑体"/>
          <w:b/>
          <w:color w:val="auto"/>
          <w:sz w:val="32"/>
          <w:szCs w:val="32"/>
          <w:lang w:eastAsia="zh-CN"/>
        </w:rPr>
        <w:t>四</w:t>
      </w:r>
      <w:r>
        <w:rPr>
          <w:rFonts w:hint="eastAsia" w:ascii="楷体_GB2312" w:hAnsi="黑体" w:eastAsia="楷体_GB2312" w:cs="黑体"/>
          <w:b/>
          <w:color w:val="auto"/>
          <w:sz w:val="32"/>
          <w:szCs w:val="32"/>
        </w:rPr>
        <w:t>章</w:t>
      </w:r>
      <w:r>
        <w:rPr>
          <w:rFonts w:hint="eastAsia" w:ascii="楷体_GB2312" w:hAnsi="黑体" w:eastAsia="楷体_GB2312" w:cs="黑体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黑体" w:eastAsia="楷体_GB2312" w:cs="黑体"/>
          <w:b/>
          <w:color w:val="auto"/>
          <w:sz w:val="32"/>
          <w:szCs w:val="32"/>
        </w:rPr>
        <w:t>退出机制</w:t>
      </w:r>
    </w:p>
    <w:p w14:paraId="6408EDDE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bCs w:val="0"/>
          <w:color w:val="auto"/>
          <w:sz w:val="32"/>
          <w:szCs w:val="32"/>
        </w:rPr>
        <w:t>第十</w:t>
      </w:r>
      <w:r>
        <w:rPr>
          <w:rFonts w:hint="eastAsia" w:ascii="仿宋_GB2312" w:hAnsi="仿宋" w:eastAsia="仿宋_GB2312"/>
          <w:b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" w:eastAsia="仿宋_GB2312"/>
          <w:b/>
          <w:bCs w:val="0"/>
          <w:color w:val="auto"/>
          <w:sz w:val="32"/>
          <w:szCs w:val="32"/>
        </w:rPr>
        <w:t>条</w:t>
      </w:r>
      <w:r>
        <w:rPr>
          <w:rFonts w:ascii="仿宋_GB2312" w:hAnsi="仿宋" w:eastAsia="仿宋_GB2312"/>
          <w:b/>
          <w:bCs w:val="0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出现下列情形的，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暂停“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  <w:t>集群登记”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情节严重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涉嫌犯罪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的，取消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集群登记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</w:rPr>
        <w:t>资格</w:t>
      </w: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，移交司法机关处理：</w:t>
      </w:r>
    </w:p>
    <w:p w14:paraId="674E50A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eastAsia="仿宋_GB2312"/>
          <w:color w:val="auto"/>
          <w:sz w:val="32"/>
          <w:szCs w:val="32"/>
        </w:rPr>
        <w:t>）经有关部门界定集群登记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住所</w:t>
      </w:r>
      <w:r>
        <w:rPr>
          <w:rFonts w:hint="eastAsia" w:ascii="仿宋_GB2312" w:eastAsia="仿宋_GB2312"/>
          <w:color w:val="auto"/>
          <w:sz w:val="32"/>
          <w:szCs w:val="32"/>
        </w:rPr>
        <w:t>有重大安全隐患的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</w:p>
    <w:p w14:paraId="1434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（二）因</w:t>
      </w:r>
      <w:r>
        <w:rPr>
          <w:rFonts w:hint="eastAsia" w:ascii="仿宋_GB2312" w:eastAsia="仿宋_GB2312"/>
          <w:strike w:val="0"/>
          <w:dstrike w:val="0"/>
          <w:color w:val="auto"/>
          <w:sz w:val="32"/>
          <w:szCs w:val="32"/>
          <w:lang w:eastAsia="zh-CN"/>
        </w:rPr>
        <w:t>违法违规行为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、投诉举报异常等情况经具有管理职责的部门</w:t>
      </w:r>
      <w:r>
        <w:rPr>
          <w:rFonts w:hint="eastAsia" w:ascii="仿宋_GB2312" w:eastAsia="仿宋_GB2312"/>
          <w:color w:val="auto"/>
          <w:sz w:val="32"/>
          <w:szCs w:val="32"/>
        </w:rPr>
        <w:t>界定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需采取管理措施的；</w:t>
      </w:r>
    </w:p>
    <w:p w14:paraId="1E1D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（三）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提交虚假材料或者采取其他欺诈手段隐瞒重要事实取得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主体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登记的；</w:t>
      </w:r>
    </w:p>
    <w:p w14:paraId="40FA3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（四）以转让牟利为目的，恶意囤积名称、大量申请企业登记，损害社会公共利益或者妨碍社会公共秩序的；</w:t>
      </w:r>
    </w:p>
    <w:p w14:paraId="7A5BD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eastAsia="zh-CN"/>
        </w:rPr>
        <w:t>（五）泄露或不当使用集群登记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经营主体信息和资料的；</w:t>
      </w:r>
    </w:p>
    <w:p w14:paraId="4F873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集群登记住所合法使用时间不足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6个月的；</w:t>
      </w:r>
    </w:p>
    <w:p w14:paraId="0FB3B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（七）托管机构未尽职履行托管义务或已不具备申请条件的；</w:t>
      </w:r>
    </w:p>
    <w:p w14:paraId="3A9D6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eastAsia="仿宋_GB2312"/>
          <w:color w:val="C0504D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（八）</w:t>
      </w:r>
      <w:r>
        <w:rPr>
          <w:rFonts w:hint="eastAsia" w:ascii="仿宋_GB2312" w:eastAsia="仿宋_GB2312"/>
          <w:color w:val="auto"/>
          <w:sz w:val="32"/>
          <w:szCs w:val="32"/>
        </w:rPr>
        <w:t>对集群登记管理造成严重后果的其他违法违规行为。</w:t>
      </w:r>
    </w:p>
    <w:p w14:paraId="07DE9051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第十四条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退出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或更换</w:t>
      </w:r>
      <w:r>
        <w:rPr>
          <w:rFonts w:hint="eastAsia" w:ascii="仿宋_GB2312" w:hAnsi="仿宋_GB2312" w:eastAsia="仿宋_GB2312" w:cs="Times New Roman"/>
          <w:color w:val="auto"/>
          <w:kern w:val="2"/>
          <w:sz w:val="32"/>
          <w:szCs w:val="32"/>
          <w:lang w:val="en-US" w:eastAsia="zh-CN" w:bidi="ar-SA"/>
        </w:rPr>
        <w:t>集群登记住所，应提前30日通知集群登记经营主体，并协助完成对该住所不合规</w:t>
      </w:r>
      <w:r>
        <w:rPr>
          <w:rFonts w:hint="eastAsia" w:ascii="仿宋_GB2312" w:eastAsia="仿宋_GB2312"/>
          <w:color w:val="auto"/>
          <w:sz w:val="32"/>
          <w:szCs w:val="32"/>
        </w:rPr>
        <w:t>入驻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经营主体的清理工作。</w:t>
      </w:r>
    </w:p>
    <w:p w14:paraId="315DF73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第十五条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入驻集群登记住所的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经营主体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已成功发展到一定规模的，托管机构应加强服务，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协助企业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退出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集</w:t>
      </w:r>
      <w:r>
        <w:rPr>
          <w:rFonts w:hint="eastAsia" w:ascii="仿宋_GB2312" w:eastAsia="仿宋_GB2312"/>
          <w:color w:val="auto"/>
          <w:sz w:val="32"/>
          <w:szCs w:val="32"/>
        </w:rPr>
        <w:t>群登记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住所扩大经营活动。</w:t>
      </w:r>
    </w:p>
    <w:p w14:paraId="2538CF1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eastAsia="仿宋_GB2312"/>
          <w:color w:val="auto"/>
          <w:lang w:eastAsia="zh-CN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第十</w:t>
      </w:r>
      <w:r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条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因政策调整，导致不符合集群登记入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条件的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经营主体，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托管机构应督</w:t>
      </w:r>
      <w:r>
        <w:rPr>
          <w:rFonts w:hint="eastAsia" w:ascii="仿宋_GB2312" w:eastAsia="仿宋_GB2312"/>
          <w:color w:val="auto"/>
          <w:sz w:val="32"/>
          <w:szCs w:val="32"/>
        </w:rPr>
        <w:t>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并协助</w:t>
      </w:r>
      <w:r>
        <w:rPr>
          <w:rFonts w:hint="eastAsia" w:ascii="仿宋_GB2312" w:eastAsia="仿宋_GB2312"/>
          <w:color w:val="auto"/>
          <w:sz w:val="32"/>
          <w:szCs w:val="32"/>
        </w:rPr>
        <w:t>其迁出集群登记住所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</w:p>
    <w:p w14:paraId="5FD21D9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beforeLines="50" w:afterLines="50" w:line="560" w:lineRule="exact"/>
        <w:ind w:firstLine="3534" w:firstLineChars="1100"/>
        <w:jc w:val="both"/>
        <w:textAlignment w:val="auto"/>
        <w:rPr>
          <w:rFonts w:ascii="楷体_GB2312" w:hAnsi="黑体" w:eastAsia="楷体_GB2312"/>
          <w:b/>
          <w:color w:val="auto"/>
          <w:sz w:val="32"/>
          <w:szCs w:val="32"/>
        </w:rPr>
      </w:pPr>
      <w:r>
        <w:rPr>
          <w:rFonts w:hint="eastAsia" w:ascii="楷体_GB2312" w:hAnsi="黑体" w:eastAsia="楷体_GB2312"/>
          <w:b/>
          <w:color w:val="auto"/>
          <w:sz w:val="32"/>
          <w:szCs w:val="32"/>
        </w:rPr>
        <w:t>第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lang w:eastAsia="zh-CN"/>
        </w:rPr>
        <w:t>五</w:t>
      </w:r>
      <w:r>
        <w:rPr>
          <w:rFonts w:hint="eastAsia" w:ascii="楷体_GB2312" w:hAnsi="黑体" w:eastAsia="楷体_GB2312"/>
          <w:b/>
          <w:color w:val="auto"/>
          <w:sz w:val="32"/>
          <w:szCs w:val="32"/>
        </w:rPr>
        <w:t>章</w:t>
      </w:r>
      <w:r>
        <w:rPr>
          <w:rFonts w:hint="eastAsia" w:ascii="楷体_GB2312" w:hAnsi="黑体" w:eastAsia="楷体_GB2312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黑体" w:eastAsia="楷体_GB2312"/>
          <w:b/>
          <w:color w:val="auto"/>
          <w:sz w:val="32"/>
          <w:szCs w:val="32"/>
        </w:rPr>
        <w:t>附则</w:t>
      </w:r>
    </w:p>
    <w:p w14:paraId="190A2239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0"/>
        <w:rPr>
          <w:rFonts w:ascii="仿宋_GB2312" w:hAnsi="仿宋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七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本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管理措施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由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eastAsia="zh-CN"/>
        </w:rPr>
        <w:t>大兴区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t>市场监督管理局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负责解释。</w:t>
      </w:r>
    </w:p>
    <w:p w14:paraId="70A01427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color w:val="auto"/>
        </w:rPr>
      </w:pP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第十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" w:eastAsia="仿宋_GB2312" w:cs="宋体"/>
          <w:b/>
          <w:color w:val="auto"/>
          <w:kern w:val="0"/>
          <w:sz w:val="32"/>
          <w:szCs w:val="32"/>
        </w:rPr>
        <w:t>条</w:t>
      </w:r>
      <w:r>
        <w:rPr>
          <w:rFonts w:ascii="仿宋_GB2312" w:hAnsi="仿宋" w:eastAsia="仿宋_GB2312" w:cs="宋体"/>
          <w:color w:val="auto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</w:rPr>
        <w:t>本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管理措施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自发布之日起施行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原《</w:t>
      </w:r>
      <w:r>
        <w:rPr>
          <w:rFonts w:hint="eastAsia" w:ascii="仿宋_GB2312" w:eastAsia="仿宋_GB2312"/>
          <w:color w:val="auto"/>
          <w:sz w:val="32"/>
          <w:szCs w:val="32"/>
        </w:rPr>
        <w:t>大兴区“集群登记”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工作机制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试行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Times New Roman"/>
          <w:color w:val="auto"/>
          <w:kern w:val="2"/>
          <w:sz w:val="32"/>
          <w:szCs w:val="32"/>
          <w:lang w:val="en-US" w:eastAsia="zh-CN"/>
        </w:rPr>
        <w:t>》同时废止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</w:rPr>
        <w:t>。</w:t>
      </w:r>
    </w:p>
    <w:p w14:paraId="2BF769C5"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F1F8E8-5CDE-4C4A-B11D-361EDC330A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F19909F-AA3F-4CB0-ABCB-DFC6A846F01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AD94A32-9E06-4E97-B450-E521BE808AA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9288D8F-2DFA-4E07-ABF1-ACDBB3E2EB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79F0706-5DD1-4DC0-85B8-F3D5E163CD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A328379-1106-4810-BE07-054AAF904F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CAD77">
    <w:pPr>
      <w:pStyle w:val="4"/>
      <w:framePr w:wrap="around" w:vAnchor="text" w:hAnchor="margin" w:xAlign="outside" w:y="1"/>
      <w:rPr>
        <w:rStyle w:val="8"/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1913DF58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5724C"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7900DED"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EDD1">
    <w:pPr>
      <w:pStyle w:val="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 w14:paraId="5BABC0EA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0AD572"/>
    <w:multiLevelType w:val="singleLevel"/>
    <w:tmpl w:val="FF0AD57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B2A23"/>
    <w:rsid w:val="0E986DE4"/>
    <w:rsid w:val="1C807EF6"/>
    <w:rsid w:val="2A86111F"/>
    <w:rsid w:val="48277553"/>
    <w:rsid w:val="4A642AD5"/>
    <w:rsid w:val="5ED70F74"/>
    <w:rsid w:val="77F8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  <w:rPr>
      <w:rFonts w:eastAsia="宋体" w:cs="Times New Roman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2167</Words>
  <Characters>2168</Characters>
  <Lines>0</Lines>
  <Paragraphs>0</Paragraphs>
  <TotalTime>0</TotalTime>
  <ScaleCrop>false</ScaleCrop>
  <LinksUpToDate>false</LinksUpToDate>
  <CharactersWithSpaces>2199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2026-06-23T05:34:00Z</dcterms:created>
  <dc:creator>18831</dc:creator>
  <cp:lastModifiedBy>LSY</cp:lastModifiedBy>
  <dcterms:modified xsi:type="dcterms:W3CDTF">2026-06-23T05:46:18Z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eyJoZGlkIjoiODBkYTc5OGViZDU4MzhiOGIyZmZiYTc0ZDIzN2ZmYWQiLCJ1c2VySWQiOiIyOTY3MDI4MTQifQ==</vt:lpwstr>
  </property>
  <property fmtid="{D5CDD505-2E9C-101B-9397-08002B2CF9AE}" pid="4" name="ICV">
    <vt:lpwstr>DC62724006134D95B2DDE6C544B1B3DC_12</vt:lpwstr>
  </property>
</Properties>
</file>