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CF831">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880" w:firstLineChars="200"/>
        <w:jc w:val="center"/>
        <w:textAlignment w:val="auto"/>
        <w:outlineLvl w:val="9"/>
        <w:rPr>
          <w:rFonts w:hint="eastAsia" w:ascii="Times New Roman" w:hAnsi="Times New Roman" w:eastAsia="方正小标宋简体" w:cs="Times New Roman"/>
          <w:b w:val="0"/>
          <w:bCs/>
          <w:color w:val="auto"/>
          <w:sz w:val="44"/>
          <w:szCs w:val="44"/>
          <w:highlight w:val="none"/>
          <w:lang w:val="en-US" w:eastAsia="zh-CN"/>
        </w:rPr>
      </w:pPr>
    </w:p>
    <w:p w14:paraId="6A9DA349">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880" w:firstLineChars="200"/>
        <w:jc w:val="center"/>
        <w:textAlignment w:val="auto"/>
        <w:outlineLvl w:val="9"/>
        <w:rPr>
          <w:rFonts w:hint="eastAsia" w:ascii="Times New Roman" w:hAnsi="Times New Roman" w:eastAsia="方正小标宋简体" w:cs="Times New Roman"/>
          <w:b w:val="0"/>
          <w:bCs/>
          <w:color w:val="auto"/>
          <w:sz w:val="44"/>
          <w:szCs w:val="44"/>
          <w:highlight w:val="none"/>
          <w:lang w:val="en-US" w:eastAsia="zh-CN"/>
        </w:rPr>
      </w:pPr>
    </w:p>
    <w:p w14:paraId="653C8298">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880" w:firstLineChars="200"/>
        <w:jc w:val="both"/>
        <w:textAlignment w:val="auto"/>
        <w:outlineLvl w:val="9"/>
        <w:rPr>
          <w:rFonts w:hint="eastAsia" w:ascii="Times New Roman" w:hAnsi="Times New Roman" w:eastAsia="方正小标宋简体" w:cs="Times New Roman"/>
          <w:b w:val="0"/>
          <w:bCs/>
          <w:color w:val="auto"/>
          <w:sz w:val="44"/>
          <w:szCs w:val="44"/>
          <w:highlight w:val="none"/>
          <w:lang w:val="en-US" w:eastAsia="zh-CN"/>
        </w:rPr>
      </w:pPr>
      <w:bookmarkStart w:id="0" w:name="_Toc370835580"/>
      <w:bookmarkStart w:id="1" w:name="_Toc2114203895"/>
      <w:bookmarkStart w:id="2" w:name="_Toc9770"/>
    </w:p>
    <w:p w14:paraId="2E974452">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880" w:firstLineChars="200"/>
        <w:jc w:val="both"/>
        <w:textAlignment w:val="auto"/>
        <w:outlineLvl w:val="9"/>
        <w:rPr>
          <w:rFonts w:hint="eastAsia" w:ascii="Times New Roman" w:hAnsi="Times New Roman" w:eastAsia="方正小标宋简体" w:cs="Times New Roman"/>
          <w:b w:val="0"/>
          <w:bCs/>
          <w:color w:val="auto"/>
          <w:sz w:val="44"/>
          <w:szCs w:val="44"/>
          <w:highlight w:val="none"/>
          <w:lang w:val="en-US" w:eastAsia="zh-CN"/>
        </w:rPr>
      </w:pPr>
    </w:p>
    <w:p w14:paraId="1B23D925">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880" w:firstLineChars="200"/>
        <w:jc w:val="both"/>
        <w:textAlignment w:val="auto"/>
        <w:outlineLvl w:val="9"/>
        <w:rPr>
          <w:rFonts w:hint="eastAsia" w:ascii="Times New Roman" w:hAnsi="Times New Roman" w:eastAsia="方正小标宋简体" w:cs="Times New Roman"/>
          <w:b w:val="0"/>
          <w:bCs/>
          <w:color w:val="auto"/>
          <w:sz w:val="44"/>
          <w:szCs w:val="44"/>
          <w:highlight w:val="none"/>
          <w:lang w:val="en-US" w:eastAsia="zh-CN"/>
        </w:rPr>
      </w:pPr>
    </w:p>
    <w:p w14:paraId="37EB70A5">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0" w:firstLineChars="0"/>
        <w:jc w:val="center"/>
        <w:textAlignment w:val="auto"/>
        <w:outlineLvl w:val="0"/>
        <w:rPr>
          <w:rFonts w:hint="eastAsia" w:ascii="Times New Roman" w:hAnsi="Times New Roman" w:eastAsia="方正小标宋简体" w:cs="Times New Roman"/>
          <w:b w:val="0"/>
          <w:bCs/>
          <w:color w:val="auto"/>
          <w:sz w:val="44"/>
          <w:szCs w:val="44"/>
          <w:highlight w:val="none"/>
          <w:lang w:val="en-US" w:eastAsia="zh-CN"/>
        </w:rPr>
      </w:pPr>
      <w:r>
        <w:rPr>
          <w:rFonts w:hint="eastAsia" w:ascii="Times New Roman" w:hAnsi="Times New Roman" w:eastAsia="方正小标宋简体" w:cs="Times New Roman"/>
          <w:b w:val="0"/>
          <w:bCs/>
          <w:color w:val="auto"/>
          <w:sz w:val="44"/>
          <w:szCs w:val="44"/>
          <w:highlight w:val="none"/>
          <w:lang w:val="en-US" w:eastAsia="zh-CN"/>
        </w:rPr>
        <w:t>“十五五”时期数智大兴发展规划</w:t>
      </w:r>
      <w:bookmarkEnd w:id="0"/>
      <w:bookmarkEnd w:id="1"/>
      <w:bookmarkEnd w:id="2"/>
    </w:p>
    <w:p w14:paraId="5AF5B2DD">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（征求意见稿）</w:t>
      </w:r>
    </w:p>
    <w:p w14:paraId="50FD1D5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880" w:firstLineChars="200"/>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pPr>
    </w:p>
    <w:p w14:paraId="5BE13D0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5D18566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539BE34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7EDA5BD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37131BC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384B54A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3D65B3B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439BE13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outlineLvl w:val="9"/>
        <w:rPr>
          <w:rFonts w:hint="eastAsia" w:ascii="仿宋_GB2312" w:hAnsi="仿宋_GB2312" w:eastAsia="仿宋_GB2312" w:cs="仿宋_GB2312"/>
          <w:b w:val="0"/>
          <w:bCs w:val="0"/>
          <w:kern w:val="0"/>
          <w:sz w:val="32"/>
          <w:szCs w:val="32"/>
          <w:highlight w:val="yellow"/>
          <w:lang w:val="en-US" w:eastAsia="zh-CN"/>
        </w:rPr>
      </w:pPr>
    </w:p>
    <w:p w14:paraId="0EDCBEC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880" w:firstLineChars="200"/>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pPr>
    </w:p>
    <w:p w14:paraId="1993E6F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880" w:firstLineChars="200"/>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pPr>
    </w:p>
    <w:p w14:paraId="2C48AE9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880" w:firstLineChars="200"/>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pPr>
    </w:p>
    <w:p w14:paraId="7EAE6CEE">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default" w:ascii="仿宋_GB2312" w:hAnsi="仿宋" w:eastAsia="仿宋_GB2312" w:cs="Times New Roman"/>
          <w:b/>
          <w:bCs/>
          <w:color w:val="auto"/>
          <w:sz w:val="32"/>
          <w:szCs w:val="24"/>
          <w:highlight w:val="none"/>
          <w:lang w:val="en-US" w:eastAsia="zh-CN"/>
        </w:rPr>
      </w:pPr>
      <w:r>
        <w:rPr>
          <w:rFonts w:hint="eastAsia" w:ascii="仿宋_GB2312" w:hAnsi="仿宋" w:eastAsia="仿宋_GB2312" w:cs="Times New Roman"/>
          <w:b/>
          <w:bCs/>
          <w:color w:val="auto"/>
          <w:sz w:val="32"/>
          <w:szCs w:val="24"/>
          <w:highlight w:val="none"/>
          <w:lang w:val="en-US" w:eastAsia="zh-CN"/>
        </w:rPr>
        <w:t>大兴区</w:t>
      </w:r>
      <w:bookmarkStart w:id="3" w:name="_Hlk79688481"/>
      <w:r>
        <w:rPr>
          <w:rFonts w:hint="eastAsia" w:ascii="仿宋_GB2312" w:hAnsi="仿宋" w:eastAsia="仿宋_GB2312" w:cs="Times New Roman"/>
          <w:b/>
          <w:bCs/>
          <w:color w:val="auto"/>
          <w:sz w:val="32"/>
          <w:szCs w:val="24"/>
          <w:highlight w:val="none"/>
          <w:lang w:val="en-US" w:eastAsia="zh-CN"/>
        </w:rPr>
        <w:t>政务服务和数据管理局</w:t>
      </w:r>
    </w:p>
    <w:p w14:paraId="2B255940">
      <w:pPr>
        <w:keepNext w:val="0"/>
        <w:keepLines w:val="0"/>
        <w:pageBreakBefore w:val="0"/>
        <w:kinsoku/>
        <w:wordWrap/>
        <w:overflowPunct/>
        <w:topLinePunct w:val="0"/>
        <w:autoSpaceDE/>
        <w:autoSpaceDN/>
        <w:bidi w:val="0"/>
        <w:spacing w:beforeAutospacing="0" w:afterAutospacing="0" w:line="560" w:lineRule="exact"/>
        <w:jc w:val="center"/>
        <w:textAlignment w:val="auto"/>
        <w:rPr>
          <w:rFonts w:ascii="仿宋_GB2312" w:hAnsi="仿宋" w:eastAsia="仿宋_GB2312" w:cs="Times New Roman"/>
          <w:b/>
          <w:bCs/>
          <w:color w:val="auto"/>
          <w:sz w:val="32"/>
          <w:szCs w:val="24"/>
          <w:highlight w:val="none"/>
        </w:rPr>
      </w:pPr>
      <w:r>
        <w:rPr>
          <w:rFonts w:ascii="仿宋_GB2312" w:hAnsi="仿宋" w:eastAsia="仿宋_GB2312" w:cs="Times New Roman"/>
          <w:b/>
          <w:bCs/>
          <w:color w:val="auto"/>
          <w:sz w:val="32"/>
          <w:szCs w:val="24"/>
          <w:highlight w:val="none"/>
        </w:rPr>
        <w:t>202</w:t>
      </w:r>
      <w:r>
        <w:rPr>
          <w:rFonts w:hint="eastAsia" w:ascii="仿宋_GB2312" w:hAnsi="仿宋" w:eastAsia="仿宋_GB2312" w:cs="Times New Roman"/>
          <w:b/>
          <w:bCs/>
          <w:color w:val="auto"/>
          <w:sz w:val="32"/>
          <w:szCs w:val="24"/>
          <w:highlight w:val="none"/>
          <w:lang w:val="en-US" w:eastAsia="zh-CN"/>
        </w:rPr>
        <w:t>6</w:t>
      </w:r>
      <w:r>
        <w:rPr>
          <w:rFonts w:hint="eastAsia" w:ascii="仿宋_GB2312" w:hAnsi="仿宋" w:eastAsia="仿宋_GB2312" w:cs="Times New Roman"/>
          <w:b/>
          <w:bCs/>
          <w:color w:val="auto"/>
          <w:sz w:val="32"/>
          <w:szCs w:val="24"/>
          <w:highlight w:val="none"/>
        </w:rPr>
        <w:t>年</w:t>
      </w:r>
      <w:r>
        <w:rPr>
          <w:rFonts w:hint="eastAsia" w:ascii="仿宋_GB2312" w:hAnsi="仿宋" w:eastAsia="仿宋_GB2312" w:cs="Times New Roman"/>
          <w:b/>
          <w:bCs/>
          <w:color w:val="auto"/>
          <w:sz w:val="32"/>
          <w:szCs w:val="24"/>
          <w:highlight w:val="none"/>
          <w:lang w:val="en-US" w:eastAsia="zh-CN"/>
        </w:rPr>
        <w:t>8</w:t>
      </w:r>
      <w:r>
        <w:rPr>
          <w:rFonts w:hint="eastAsia" w:ascii="仿宋_GB2312" w:hAnsi="仿宋" w:eastAsia="仿宋_GB2312" w:cs="Times New Roman"/>
          <w:b/>
          <w:bCs/>
          <w:color w:val="auto"/>
          <w:sz w:val="32"/>
          <w:szCs w:val="24"/>
          <w:highlight w:val="none"/>
        </w:rPr>
        <w:t>月</w:t>
      </w:r>
    </w:p>
    <w:bookmarkEnd w:id="3"/>
    <w:p w14:paraId="2D11209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880" w:firstLineChars="200"/>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sectPr>
          <w:headerReference r:id="rId4" w:type="default"/>
          <w:footerReference r:id="rId5" w:type="default"/>
          <w:pgSz w:w="11906" w:h="16838"/>
          <w:pgMar w:top="2098" w:right="1474" w:bottom="1984" w:left="1587" w:header="851" w:footer="992" w:gutter="0"/>
          <w:paperSrc/>
          <w:pgBorders>
            <w:top w:val="none" w:sz="0" w:space="0"/>
            <w:left w:val="none" w:sz="0" w:space="0"/>
            <w:bottom w:val="none" w:sz="0" w:space="0"/>
            <w:right w:val="none" w:sz="0" w:space="0"/>
          </w:pgBorders>
          <w:pgNumType w:fmt="decimal" w:start="1"/>
          <w:cols w:space="0" w:num="1"/>
          <w:rtlGutter w:val="0"/>
          <w:docGrid w:type="lines" w:linePitch="312" w:charSpace="0"/>
        </w:sectPr>
      </w:pPr>
    </w:p>
    <w:p w14:paraId="106E9525">
      <w:pPr>
        <w:keepNext w:val="0"/>
        <w:keepLines w:val="0"/>
        <w:pageBreakBefore w:val="0"/>
        <w:widowControl/>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方正小标宋简体" w:hAnsi="方正小标宋简体" w:eastAsia="方正小标宋简体" w:cs="方正小标宋简体"/>
          <w:b w:val="0"/>
          <w:bCs w:val="0"/>
          <w:kern w:val="0"/>
          <w:sz w:val="44"/>
          <w:szCs w:val="44"/>
          <w:lang w:val="en-US" w:eastAsia="zh-CN"/>
        </w:rPr>
      </w:pPr>
    </w:p>
    <w:p w14:paraId="3AB512EE">
      <w:pPr>
        <w:keepNext w:val="0"/>
        <w:keepLines w:val="0"/>
        <w:pageBreakBefore w:val="0"/>
        <w:kinsoku/>
        <w:wordWrap/>
        <w:overflowPunct/>
        <w:topLinePunct w:val="0"/>
        <w:autoSpaceDE/>
        <w:autoSpaceDN/>
        <w:bidi w:val="0"/>
        <w:spacing w:beforeAutospacing="0" w:afterAutospacing="0" w:line="560" w:lineRule="exact"/>
        <w:ind w:left="0" w:leftChars="0" w:firstLine="720" w:firstLineChars="200"/>
        <w:jc w:val="center"/>
        <w:textAlignment w:val="auto"/>
      </w:pPr>
      <w:r>
        <w:rPr>
          <w:rFonts w:hint="eastAsia" w:ascii="黑体" w:hAnsi="黑体" w:eastAsia="黑体" w:cs="Times New Roman"/>
          <w:color w:val="auto"/>
          <w:sz w:val="36"/>
          <w:szCs w:val="22"/>
          <w:highlight w:val="none"/>
        </w:rPr>
        <w:t>目</w:t>
      </w:r>
      <w:r>
        <w:rPr>
          <w:rFonts w:hint="eastAsia" w:ascii="黑体" w:hAnsi="黑体" w:eastAsia="黑体" w:cs="Times New Roman"/>
          <w:color w:val="auto"/>
          <w:sz w:val="36"/>
          <w:szCs w:val="22"/>
          <w:highlight w:val="none"/>
          <w:lang w:val="en-US" w:eastAsia="zh-CN"/>
        </w:rPr>
        <w:t xml:space="preserve"> </w:t>
      </w:r>
      <w:r>
        <w:rPr>
          <w:rFonts w:hint="eastAsia" w:ascii="黑体" w:hAnsi="黑体" w:eastAsia="黑体" w:cs="Times New Roman"/>
          <w:color w:val="auto"/>
          <w:sz w:val="36"/>
          <w:szCs w:val="22"/>
          <w:highlight w:val="none"/>
        </w:rPr>
        <w:t>录</w:t>
      </w:r>
      <w:r>
        <w:rPr>
          <w:rFonts w:hint="eastAsia" w:ascii="仿宋_GB2312" w:hAnsi="仿宋_GB2312" w:eastAsia="仿宋_GB2312" w:cs="仿宋_GB2312"/>
          <w:bCs/>
          <w:kern w:val="0"/>
          <w:sz w:val="28"/>
          <w:szCs w:val="56"/>
          <w:lang w:val="en-US" w:eastAsia="zh-CN" w:bidi="ar-SA"/>
        </w:rPr>
        <w:fldChar w:fldCharType="begin"/>
      </w:r>
      <w:r>
        <w:rPr>
          <w:rFonts w:hint="eastAsia" w:ascii="仿宋_GB2312" w:hAnsi="仿宋_GB2312" w:eastAsia="仿宋_GB2312" w:cs="仿宋_GB2312"/>
          <w:bCs/>
          <w:kern w:val="0"/>
          <w:sz w:val="28"/>
          <w:szCs w:val="56"/>
          <w:lang w:val="en-US" w:eastAsia="zh-CN" w:bidi="ar-SA"/>
        </w:rPr>
        <w:instrText xml:space="preserve">TOC \o "1-2" \h \u </w:instrText>
      </w:r>
      <w:r>
        <w:rPr>
          <w:rFonts w:hint="eastAsia" w:ascii="仿宋_GB2312" w:hAnsi="仿宋_GB2312" w:eastAsia="仿宋_GB2312" w:cs="仿宋_GB2312"/>
          <w:bCs/>
          <w:kern w:val="0"/>
          <w:sz w:val="28"/>
          <w:szCs w:val="56"/>
          <w:lang w:val="en-US" w:eastAsia="zh-CN" w:bidi="ar-SA"/>
        </w:rPr>
        <w:fldChar w:fldCharType="separate"/>
      </w:r>
    </w:p>
    <w:p w14:paraId="3AE8CB14">
      <w:pPr>
        <w:pStyle w:val="14"/>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_Toc636049466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sz w:val="28"/>
          <w:szCs w:val="28"/>
          <w:lang w:val="en-US" w:eastAsia="zh-CN"/>
        </w:rPr>
        <w:t>一、 现状与形势</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_Toc636049466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kern w:val="0"/>
          <w:sz w:val="28"/>
          <w:szCs w:val="28"/>
          <w:lang w:val="en-US" w:eastAsia="zh-CN" w:bidi="ar-SA"/>
        </w:rPr>
        <w:fldChar w:fldCharType="end"/>
      </w:r>
    </w:p>
    <w:p w14:paraId="4F673B4B">
      <w:pPr>
        <w:pStyle w:val="16"/>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_Toc2057263943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（一）发展成就</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_Toc2057263943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kern w:val="0"/>
          <w:sz w:val="28"/>
          <w:szCs w:val="28"/>
          <w:lang w:val="en-US" w:eastAsia="zh-CN" w:bidi="ar-SA"/>
        </w:rPr>
        <w:fldChar w:fldCharType="end"/>
      </w:r>
    </w:p>
    <w:p w14:paraId="663AEBFB">
      <w:pPr>
        <w:pStyle w:val="16"/>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_Toc1948373301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（二）主要问题</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1</w:t>
      </w:r>
      <w:r>
        <w:rPr>
          <w:rFonts w:hint="eastAsia" w:ascii="楷体_GB2312" w:hAnsi="楷体_GB2312" w:eastAsia="楷体_GB2312" w:cs="楷体_GB2312"/>
          <w:bCs/>
          <w:kern w:val="0"/>
          <w:sz w:val="28"/>
          <w:szCs w:val="28"/>
          <w:lang w:val="en-US" w:eastAsia="zh-CN" w:bidi="ar-SA"/>
        </w:rPr>
        <w:fldChar w:fldCharType="end"/>
      </w:r>
    </w:p>
    <w:p w14:paraId="67D3F8EF">
      <w:pPr>
        <w:pStyle w:val="16"/>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_Toc1479420451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（三）发展形势</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2</w:t>
      </w:r>
      <w:r>
        <w:rPr>
          <w:rFonts w:hint="eastAsia" w:ascii="楷体_GB2312" w:hAnsi="楷体_GB2312" w:eastAsia="楷体_GB2312" w:cs="楷体_GB2312"/>
          <w:bCs/>
          <w:kern w:val="0"/>
          <w:sz w:val="28"/>
          <w:szCs w:val="28"/>
          <w:lang w:val="en-US" w:eastAsia="zh-CN" w:bidi="ar-SA"/>
        </w:rPr>
        <w:fldChar w:fldCharType="end"/>
      </w:r>
    </w:p>
    <w:p w14:paraId="12DAE2CC">
      <w:pPr>
        <w:pStyle w:val="14"/>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_Toc1053854991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sz w:val="28"/>
          <w:szCs w:val="28"/>
          <w:lang w:val="en-US" w:eastAsia="zh-CN"/>
        </w:rPr>
        <w:t>二、 总体要求</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2</w:t>
      </w:r>
      <w:r>
        <w:rPr>
          <w:rFonts w:hint="eastAsia" w:ascii="楷体_GB2312" w:hAnsi="楷体_GB2312" w:eastAsia="楷体_GB2312" w:cs="楷体_GB2312"/>
          <w:bCs/>
          <w:kern w:val="0"/>
          <w:sz w:val="28"/>
          <w:szCs w:val="28"/>
          <w:lang w:val="en-US" w:eastAsia="zh-CN" w:bidi="ar-SA"/>
        </w:rPr>
        <w:fldChar w:fldCharType="end"/>
      </w:r>
    </w:p>
    <w:p w14:paraId="6E664D65">
      <w:pPr>
        <w:pStyle w:val="16"/>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bCs/>
          <w:kern w:val="0"/>
          <w:sz w:val="28"/>
          <w:szCs w:val="28"/>
          <w:lang w:val="en-US" w:eastAsia="zh-CN" w:bidi="ar-SA"/>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_Toc1843196928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kern w:val="0"/>
          <w:sz w:val="28"/>
          <w:szCs w:val="28"/>
          <w:lang w:val="en-US" w:eastAsia="zh-CN" w:bidi="ar-SA"/>
        </w:rPr>
        <w:t>（一）</w:t>
      </w:r>
      <w:r>
        <w:rPr>
          <w:rFonts w:hint="eastAsia" w:ascii="楷体_GB2312" w:hAnsi="楷体_GB2312" w:eastAsia="楷体_GB2312" w:cs="楷体_GB2312"/>
          <w:bCs/>
          <w:kern w:val="0"/>
          <w:sz w:val="28"/>
          <w:szCs w:val="28"/>
          <w:lang w:val="en-US" w:eastAsia="zh-CN" w:bidi="ar-SA"/>
        </w:rPr>
        <w:fldChar w:fldCharType="end"/>
      </w: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_Toc45953663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kern w:val="0"/>
          <w:sz w:val="28"/>
          <w:szCs w:val="28"/>
          <w:lang w:val="en-US" w:eastAsia="zh-CN" w:bidi="ar-SA"/>
        </w:rPr>
        <w:t>发展目标</w:t>
      </w:r>
      <w:r>
        <w:rPr>
          <w:rFonts w:hint="eastAsia" w:ascii="楷体_GB2312" w:hAnsi="楷体_GB2312" w:eastAsia="楷体_GB2312" w:cs="楷体_GB2312"/>
          <w:bCs/>
          <w:kern w:val="0"/>
          <w:sz w:val="28"/>
          <w:szCs w:val="28"/>
          <w:lang w:val="en-US" w:eastAsia="zh-CN" w:bidi="ar-SA"/>
        </w:rPr>
        <w:tab/>
      </w:r>
      <w:r>
        <w:rPr>
          <w:rFonts w:hint="eastAsia" w:ascii="楷体_GB2312" w:hAnsi="楷体_GB2312" w:eastAsia="楷体_GB2312" w:cs="楷体_GB2312"/>
          <w:bCs/>
          <w:kern w:val="0"/>
          <w:sz w:val="28"/>
          <w:szCs w:val="28"/>
          <w:lang w:val="en-US" w:eastAsia="zh-CN" w:bidi="ar-SA"/>
        </w:rPr>
        <w:t>2</w:t>
      </w:r>
      <w:r>
        <w:rPr>
          <w:rFonts w:hint="eastAsia" w:ascii="楷体_GB2312" w:hAnsi="楷体_GB2312" w:eastAsia="楷体_GB2312" w:cs="楷体_GB2312"/>
          <w:bCs/>
          <w:kern w:val="0"/>
          <w:sz w:val="28"/>
          <w:szCs w:val="28"/>
          <w:lang w:val="en-US" w:eastAsia="zh-CN" w:bidi="ar-SA"/>
        </w:rPr>
        <w:fldChar w:fldCharType="end"/>
      </w:r>
    </w:p>
    <w:p w14:paraId="7338957E">
      <w:pPr>
        <w:pStyle w:val="16"/>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_Toc1396584768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（二）总体框架</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7</w:t>
      </w:r>
      <w:r>
        <w:rPr>
          <w:rFonts w:hint="eastAsia" w:ascii="楷体_GB2312" w:hAnsi="楷体_GB2312" w:eastAsia="楷体_GB2312" w:cs="楷体_GB2312"/>
          <w:bCs/>
          <w:kern w:val="0"/>
          <w:sz w:val="28"/>
          <w:szCs w:val="28"/>
          <w:lang w:val="en-US" w:eastAsia="zh-CN" w:bidi="ar-SA"/>
        </w:rPr>
        <w:fldChar w:fldCharType="end"/>
      </w:r>
    </w:p>
    <w:p w14:paraId="01F0E927">
      <w:pPr>
        <w:pStyle w:val="14"/>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_Toc724039095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sz w:val="28"/>
          <w:szCs w:val="28"/>
          <w:lang w:val="en-US" w:eastAsia="zh-CN"/>
        </w:rPr>
        <w:t>三、 主要任务</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8</w:t>
      </w:r>
      <w:r>
        <w:rPr>
          <w:rFonts w:hint="eastAsia" w:ascii="楷体_GB2312" w:hAnsi="楷体_GB2312" w:eastAsia="楷体_GB2312" w:cs="楷体_GB2312"/>
          <w:bCs/>
          <w:kern w:val="0"/>
          <w:sz w:val="28"/>
          <w:szCs w:val="28"/>
          <w:lang w:val="en-US" w:eastAsia="zh-CN" w:bidi="ar-SA"/>
        </w:rPr>
        <w:fldChar w:fldCharType="end"/>
      </w:r>
    </w:p>
    <w:p w14:paraId="446D428B">
      <w:pPr>
        <w:pStyle w:val="16"/>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_Toc1282725763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（一）完善数智基础设施布局，巩固智慧城市支撑底座</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8</w:t>
      </w:r>
      <w:r>
        <w:rPr>
          <w:rFonts w:hint="eastAsia" w:ascii="楷体_GB2312" w:hAnsi="楷体_GB2312" w:eastAsia="楷体_GB2312" w:cs="楷体_GB2312"/>
          <w:bCs/>
          <w:kern w:val="0"/>
          <w:sz w:val="28"/>
          <w:szCs w:val="28"/>
          <w:lang w:val="en-US" w:eastAsia="zh-CN" w:bidi="ar-SA"/>
        </w:rPr>
        <w:fldChar w:fldCharType="end"/>
      </w:r>
    </w:p>
    <w:p w14:paraId="449994C7">
      <w:pPr>
        <w:pStyle w:val="16"/>
        <w:keepNext w:val="0"/>
        <w:keepLines w:val="0"/>
        <w:pageBreakBefore w:val="0"/>
        <w:tabs>
          <w:tab w:val="right" w:leader="dot" w:pos="8306"/>
        </w:tabs>
        <w:kinsoku/>
        <w:wordWrap/>
        <w:autoSpaceDN/>
        <w:bidi w:val="0"/>
        <w:spacing w:beforeAutospacing="0" w:afterAutospacing="0" w:line="560" w:lineRule="exact"/>
        <w:rPr>
          <w:rFonts w:hint="eastAsia" w:ascii="楷体_GB2312" w:hAnsi="楷体_GB2312" w:eastAsia="楷体_GB2312" w:cs="楷体_GB2312"/>
          <w:sz w:val="28"/>
          <w:szCs w:val="28"/>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_Toc183566508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（二）构建数据要素赋能体系，释放数据要素价值潜力</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9</w:t>
      </w:r>
      <w:r>
        <w:rPr>
          <w:rFonts w:hint="eastAsia" w:ascii="楷体_GB2312" w:hAnsi="楷体_GB2312" w:eastAsia="楷体_GB2312" w:cs="楷体_GB2312"/>
          <w:bCs/>
          <w:kern w:val="0"/>
          <w:sz w:val="28"/>
          <w:szCs w:val="28"/>
          <w:lang w:val="en-US" w:eastAsia="zh-CN" w:bidi="ar-SA"/>
        </w:rPr>
        <w:fldChar w:fldCharType="end"/>
      </w:r>
    </w:p>
    <w:p w14:paraId="440AF91A">
      <w:pPr>
        <w:pStyle w:val="16"/>
        <w:keepNext w:val="0"/>
        <w:keepLines w:val="0"/>
        <w:pageBreakBefore w:val="0"/>
        <w:tabs>
          <w:tab w:val="right" w:leader="dot" w:pos="8306"/>
        </w:tabs>
        <w:kinsoku/>
        <w:wordWrap/>
        <w:autoSpaceDN/>
        <w:bidi w:val="0"/>
        <w:spacing w:beforeAutospacing="0" w:afterAutospacing="0" w:line="560" w:lineRule="exact"/>
        <w:rPr>
          <w:rFonts w:hint="default" w:ascii="楷体_GB2312" w:hAnsi="楷体_GB2312" w:eastAsia="楷体_GB2312" w:cs="楷体_GB2312"/>
          <w:sz w:val="28"/>
          <w:szCs w:val="28"/>
          <w:lang w:val="en-US"/>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_Toc1415782864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（三）构建均衡普惠的公共服务，促进优质资源共享</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1</w:t>
      </w:r>
      <w:r>
        <w:rPr>
          <w:rFonts w:hint="eastAsia" w:ascii="楷体_GB2312" w:hAnsi="楷体_GB2312" w:eastAsia="楷体_GB2312" w:cs="楷体_GB2312"/>
          <w:bCs/>
          <w:kern w:val="0"/>
          <w:sz w:val="28"/>
          <w:szCs w:val="28"/>
          <w:lang w:val="en-US" w:eastAsia="zh-CN" w:bidi="ar-SA"/>
        </w:rPr>
        <w:fldChar w:fldCharType="end"/>
      </w:r>
      <w:r>
        <w:rPr>
          <w:rFonts w:hint="eastAsia" w:ascii="楷体_GB2312" w:hAnsi="楷体_GB2312" w:eastAsia="楷体_GB2312" w:cs="楷体_GB2312"/>
          <w:bCs/>
          <w:kern w:val="0"/>
          <w:sz w:val="28"/>
          <w:szCs w:val="28"/>
          <w:lang w:val="en-US" w:eastAsia="zh-CN" w:bidi="ar-SA"/>
        </w:rPr>
        <w:t>0</w:t>
      </w:r>
    </w:p>
    <w:p w14:paraId="0CF5DBD5">
      <w:pPr>
        <w:pStyle w:val="16"/>
        <w:keepNext w:val="0"/>
        <w:keepLines w:val="0"/>
        <w:pageBreakBefore w:val="0"/>
        <w:tabs>
          <w:tab w:val="right" w:leader="dot" w:pos="8306"/>
        </w:tabs>
        <w:kinsoku/>
        <w:wordWrap/>
        <w:autoSpaceDN/>
        <w:bidi w:val="0"/>
        <w:spacing w:beforeAutospacing="0" w:afterAutospacing="0" w:line="560" w:lineRule="exact"/>
        <w:rPr>
          <w:rFonts w:hint="default" w:ascii="楷体_GB2312" w:hAnsi="楷体_GB2312" w:eastAsia="楷体_GB2312" w:cs="楷体_GB2312"/>
          <w:sz w:val="28"/>
          <w:szCs w:val="28"/>
          <w:lang w:val="en-US"/>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_Toc943786488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（四）推进精准智能的城市治理，提升管理运行效率</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1</w:t>
      </w:r>
      <w:r>
        <w:rPr>
          <w:rFonts w:hint="eastAsia" w:ascii="楷体_GB2312" w:hAnsi="楷体_GB2312" w:eastAsia="楷体_GB2312" w:cs="楷体_GB2312"/>
          <w:bCs/>
          <w:kern w:val="0"/>
          <w:sz w:val="28"/>
          <w:szCs w:val="28"/>
          <w:lang w:val="en-US" w:eastAsia="zh-CN" w:bidi="ar-SA"/>
        </w:rPr>
        <w:fldChar w:fldCharType="end"/>
      </w:r>
      <w:r>
        <w:rPr>
          <w:rFonts w:hint="eastAsia" w:ascii="楷体_GB2312" w:hAnsi="楷体_GB2312" w:eastAsia="楷体_GB2312" w:cs="楷体_GB2312"/>
          <w:bCs/>
          <w:kern w:val="0"/>
          <w:sz w:val="28"/>
          <w:szCs w:val="28"/>
          <w:lang w:val="en-US" w:eastAsia="zh-CN" w:bidi="ar-SA"/>
        </w:rPr>
        <w:t>2</w:t>
      </w:r>
    </w:p>
    <w:p w14:paraId="115EDB93">
      <w:pPr>
        <w:pStyle w:val="16"/>
        <w:keepNext w:val="0"/>
        <w:keepLines w:val="0"/>
        <w:pageBreakBefore w:val="0"/>
        <w:tabs>
          <w:tab w:val="right" w:leader="dot" w:pos="8306"/>
        </w:tabs>
        <w:kinsoku/>
        <w:wordWrap/>
        <w:autoSpaceDN/>
        <w:bidi w:val="0"/>
        <w:spacing w:beforeAutospacing="0" w:afterAutospacing="0" w:line="560" w:lineRule="exact"/>
        <w:rPr>
          <w:rFonts w:hint="default" w:ascii="楷体_GB2312" w:hAnsi="楷体_GB2312" w:eastAsia="楷体_GB2312" w:cs="楷体_GB2312"/>
          <w:sz w:val="28"/>
          <w:szCs w:val="28"/>
          <w:lang w:val="en-US"/>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_Toc905287074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（五）落实区域产业布局规划，一体化推动产城融合</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1</w:t>
      </w:r>
      <w:r>
        <w:rPr>
          <w:rFonts w:hint="eastAsia" w:ascii="楷体_GB2312" w:hAnsi="楷体_GB2312" w:eastAsia="楷体_GB2312" w:cs="楷体_GB2312"/>
          <w:bCs/>
          <w:kern w:val="0"/>
          <w:sz w:val="28"/>
          <w:szCs w:val="28"/>
          <w:lang w:val="en-US" w:eastAsia="zh-CN" w:bidi="ar-SA"/>
        </w:rPr>
        <w:fldChar w:fldCharType="end"/>
      </w:r>
      <w:r>
        <w:rPr>
          <w:rFonts w:hint="eastAsia" w:ascii="楷体_GB2312" w:hAnsi="楷体_GB2312" w:eastAsia="楷体_GB2312" w:cs="楷体_GB2312"/>
          <w:bCs/>
          <w:kern w:val="0"/>
          <w:sz w:val="28"/>
          <w:szCs w:val="28"/>
          <w:lang w:val="en-US" w:eastAsia="zh-CN" w:bidi="ar-SA"/>
        </w:rPr>
        <w:t>4</w:t>
      </w:r>
    </w:p>
    <w:p w14:paraId="4581EF28">
      <w:pPr>
        <w:pStyle w:val="16"/>
        <w:keepNext w:val="0"/>
        <w:keepLines w:val="0"/>
        <w:pageBreakBefore w:val="0"/>
        <w:tabs>
          <w:tab w:val="right" w:leader="dot" w:pos="8306"/>
        </w:tabs>
        <w:kinsoku/>
        <w:wordWrap/>
        <w:autoSpaceDN/>
        <w:bidi w:val="0"/>
        <w:spacing w:beforeAutospacing="0" w:afterAutospacing="0" w:line="560" w:lineRule="exact"/>
        <w:rPr>
          <w:rFonts w:hint="default" w:ascii="楷体_GB2312" w:hAnsi="楷体_GB2312" w:eastAsia="楷体_GB2312" w:cs="楷体_GB2312"/>
          <w:sz w:val="28"/>
          <w:szCs w:val="28"/>
          <w:lang w:val="en-US"/>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_Toc238213723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（六）优化政策标准规范体系，健全适数化发展制度</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1</w:t>
      </w:r>
      <w:r>
        <w:rPr>
          <w:rFonts w:hint="eastAsia" w:ascii="楷体_GB2312" w:hAnsi="楷体_GB2312" w:eastAsia="楷体_GB2312" w:cs="楷体_GB2312"/>
          <w:bCs/>
          <w:kern w:val="0"/>
          <w:sz w:val="28"/>
          <w:szCs w:val="28"/>
          <w:lang w:val="en-US" w:eastAsia="zh-CN" w:bidi="ar-SA"/>
        </w:rPr>
        <w:fldChar w:fldCharType="end"/>
      </w:r>
      <w:r>
        <w:rPr>
          <w:rFonts w:hint="eastAsia" w:ascii="楷体_GB2312" w:hAnsi="楷体_GB2312" w:eastAsia="楷体_GB2312" w:cs="楷体_GB2312"/>
          <w:bCs/>
          <w:kern w:val="0"/>
          <w:sz w:val="28"/>
          <w:szCs w:val="28"/>
          <w:lang w:val="en-US" w:eastAsia="zh-CN" w:bidi="ar-SA"/>
        </w:rPr>
        <w:t>5</w:t>
      </w:r>
    </w:p>
    <w:p w14:paraId="72EC8C8E">
      <w:pPr>
        <w:pStyle w:val="16"/>
        <w:keepNext w:val="0"/>
        <w:keepLines w:val="0"/>
        <w:pageBreakBefore w:val="0"/>
        <w:tabs>
          <w:tab w:val="right" w:leader="dot" w:pos="8306"/>
        </w:tabs>
        <w:kinsoku/>
        <w:wordWrap/>
        <w:autoSpaceDN/>
        <w:bidi w:val="0"/>
        <w:spacing w:beforeAutospacing="0" w:afterAutospacing="0" w:line="560" w:lineRule="exact"/>
        <w:rPr>
          <w:rFonts w:hint="default" w:ascii="楷体_GB2312" w:hAnsi="楷体_GB2312" w:eastAsia="楷体_GB2312" w:cs="楷体_GB2312"/>
          <w:sz w:val="28"/>
          <w:szCs w:val="28"/>
          <w:lang w:val="en-US"/>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_Toc748524453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val="0"/>
          <w:sz w:val="28"/>
          <w:szCs w:val="28"/>
          <w:lang w:val="en-US" w:eastAsia="zh-CN"/>
        </w:rPr>
        <w:t>（七）强化安全保障能力，坚守“数智大兴”发展底线</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1</w:t>
      </w:r>
      <w:r>
        <w:rPr>
          <w:rFonts w:hint="eastAsia" w:ascii="楷体_GB2312" w:hAnsi="楷体_GB2312" w:eastAsia="楷体_GB2312" w:cs="楷体_GB2312"/>
          <w:bCs/>
          <w:kern w:val="0"/>
          <w:sz w:val="28"/>
          <w:szCs w:val="28"/>
          <w:lang w:val="en-US" w:eastAsia="zh-CN" w:bidi="ar-SA"/>
        </w:rPr>
        <w:fldChar w:fldCharType="end"/>
      </w:r>
      <w:r>
        <w:rPr>
          <w:rFonts w:hint="eastAsia" w:ascii="楷体_GB2312" w:hAnsi="楷体_GB2312" w:eastAsia="楷体_GB2312" w:cs="楷体_GB2312"/>
          <w:bCs/>
          <w:kern w:val="0"/>
          <w:sz w:val="28"/>
          <w:szCs w:val="28"/>
          <w:lang w:val="en-US" w:eastAsia="zh-CN" w:bidi="ar-SA"/>
        </w:rPr>
        <w:t>5</w:t>
      </w:r>
    </w:p>
    <w:p w14:paraId="3F2AAEFD">
      <w:pPr>
        <w:pStyle w:val="14"/>
        <w:keepNext w:val="0"/>
        <w:keepLines w:val="0"/>
        <w:pageBreakBefore w:val="0"/>
        <w:tabs>
          <w:tab w:val="right" w:leader="dot" w:pos="8306"/>
        </w:tabs>
        <w:kinsoku/>
        <w:wordWrap/>
        <w:autoSpaceDN/>
        <w:bidi w:val="0"/>
        <w:spacing w:beforeAutospacing="0" w:afterAutospacing="0" w:line="560" w:lineRule="exact"/>
        <w:rPr>
          <w:rFonts w:hint="default" w:ascii="楷体_GB2312" w:hAnsi="楷体_GB2312" w:eastAsia="楷体_GB2312" w:cs="楷体_GB2312"/>
          <w:sz w:val="28"/>
          <w:szCs w:val="28"/>
          <w:lang w:val="en-US"/>
        </w:rPr>
      </w:pPr>
      <w:r>
        <w:rPr>
          <w:rFonts w:hint="eastAsia" w:ascii="楷体_GB2312" w:hAnsi="楷体_GB2312" w:eastAsia="楷体_GB2312" w:cs="楷体_GB2312"/>
          <w:bCs/>
          <w:kern w:val="0"/>
          <w:sz w:val="28"/>
          <w:szCs w:val="28"/>
          <w:lang w:val="en-US" w:eastAsia="zh-CN" w:bidi="ar-SA"/>
        </w:rPr>
        <w:fldChar w:fldCharType="begin"/>
      </w:r>
      <w:r>
        <w:rPr>
          <w:rFonts w:hint="eastAsia" w:ascii="楷体_GB2312" w:hAnsi="楷体_GB2312" w:eastAsia="楷体_GB2312" w:cs="楷体_GB2312"/>
          <w:bCs/>
          <w:kern w:val="0"/>
          <w:sz w:val="28"/>
          <w:szCs w:val="28"/>
          <w:lang w:val="en-US" w:eastAsia="zh-CN" w:bidi="ar-SA"/>
        </w:rPr>
        <w:instrText xml:space="preserve"> HYPERLINK \l _Toc491277445 </w:instrText>
      </w:r>
      <w:r>
        <w:rPr>
          <w:rFonts w:hint="eastAsia" w:ascii="楷体_GB2312" w:hAnsi="楷体_GB2312" w:eastAsia="楷体_GB2312" w:cs="楷体_GB2312"/>
          <w:bCs/>
          <w:kern w:val="0"/>
          <w:sz w:val="28"/>
          <w:szCs w:val="28"/>
          <w:lang w:val="en-US" w:eastAsia="zh-CN" w:bidi="ar-SA"/>
        </w:rPr>
        <w:fldChar w:fldCharType="separate"/>
      </w:r>
      <w:r>
        <w:rPr>
          <w:rFonts w:hint="eastAsia" w:ascii="楷体_GB2312" w:hAnsi="楷体_GB2312" w:eastAsia="楷体_GB2312" w:cs="楷体_GB2312"/>
          <w:bCs/>
          <w:sz w:val="28"/>
          <w:szCs w:val="28"/>
          <w:lang w:val="en-US" w:eastAsia="zh-CN"/>
        </w:rPr>
        <w:t>四、 保障措施</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lang w:val="en-US" w:eastAsia="zh-CN"/>
        </w:rPr>
        <w:t>1</w:t>
      </w:r>
      <w:r>
        <w:rPr>
          <w:rFonts w:hint="eastAsia" w:ascii="楷体_GB2312" w:hAnsi="楷体_GB2312" w:eastAsia="楷体_GB2312" w:cs="楷体_GB2312"/>
          <w:bCs/>
          <w:kern w:val="0"/>
          <w:sz w:val="28"/>
          <w:szCs w:val="28"/>
          <w:lang w:val="en-US" w:eastAsia="zh-CN" w:bidi="ar-SA"/>
        </w:rPr>
        <w:fldChar w:fldCharType="end"/>
      </w:r>
      <w:r>
        <w:rPr>
          <w:rFonts w:hint="eastAsia" w:ascii="楷体_GB2312" w:hAnsi="楷体_GB2312" w:eastAsia="楷体_GB2312" w:cs="楷体_GB2312"/>
          <w:bCs/>
          <w:kern w:val="0"/>
          <w:sz w:val="28"/>
          <w:szCs w:val="28"/>
          <w:lang w:val="en-US" w:eastAsia="zh-CN" w:bidi="ar-SA"/>
        </w:rPr>
        <w:t>6</w:t>
      </w:r>
    </w:p>
    <w:p w14:paraId="6C479AD8">
      <w:pPr>
        <w:pStyle w:val="16"/>
        <w:keepNext w:val="0"/>
        <w:keepLines w:val="0"/>
        <w:pageBreakBefore w:val="0"/>
        <w:tabs>
          <w:tab w:val="right" w:leader="dot" w:pos="8306"/>
        </w:tabs>
        <w:kinsoku/>
        <w:wordWrap/>
        <w:autoSpaceDN/>
        <w:bidi w:val="0"/>
        <w:spacing w:beforeAutospacing="0" w:afterAutospacing="0" w:line="560" w:lineRule="exact"/>
        <w:rPr>
          <w:rFonts w:hint="eastAsia" w:ascii="黑体" w:hAnsi="黑体" w:eastAsia="黑体" w:cs="黑体"/>
          <w:b/>
          <w:bCs/>
          <w:sz w:val="32"/>
          <w:szCs w:val="32"/>
          <w:lang w:val="en-US" w:eastAsia="zh-CN"/>
        </w:rPr>
        <w:sectPr>
          <w:footerReference r:id="rId6" w:type="default"/>
          <w:pgSz w:w="11906" w:h="16838"/>
          <w:pgMar w:top="2098" w:right="1474" w:bottom="1984" w:left="1587" w:header="851" w:footer="992" w:gutter="0"/>
          <w:paperSrc/>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仿宋_GB2312" w:hAnsi="仿宋_GB2312" w:eastAsia="仿宋_GB2312" w:cs="仿宋_GB2312"/>
          <w:bCs/>
          <w:kern w:val="0"/>
          <w:szCs w:val="56"/>
          <w:lang w:val="en-US" w:eastAsia="zh-CN" w:bidi="ar-SA"/>
        </w:rPr>
        <w:fldChar w:fldCharType="end"/>
      </w:r>
    </w:p>
    <w:p w14:paraId="2B8D81F6">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黑体" w:hAnsi="黑体" w:eastAsia="黑体" w:cs="黑体"/>
          <w:b w:val="0"/>
          <w:bCs w:val="0"/>
          <w:color w:val="C00000"/>
          <w:sz w:val="32"/>
          <w:szCs w:val="32"/>
          <w:lang w:val="en-US" w:eastAsia="zh-CN"/>
        </w:rPr>
      </w:pPr>
      <w:bookmarkStart w:id="4" w:name="_Toc636049466"/>
      <w:r>
        <w:rPr>
          <w:rFonts w:hint="eastAsia" w:ascii="黑体" w:hAnsi="黑体" w:eastAsia="黑体" w:cs="黑体"/>
          <w:b w:val="0"/>
          <w:bCs w:val="0"/>
          <w:sz w:val="32"/>
          <w:szCs w:val="32"/>
          <w:lang w:val="en-US" w:eastAsia="zh-CN"/>
        </w:rPr>
        <w:t>现状与形势</w:t>
      </w:r>
      <w:bookmarkEnd w:id="4"/>
    </w:p>
    <w:p w14:paraId="2E886C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5" w:name="_Toc2057263943"/>
      <w:r>
        <w:rPr>
          <w:rFonts w:hint="eastAsia" w:ascii="楷体_GB2312" w:hAnsi="楷体_GB2312" w:eastAsia="楷体_GB2312" w:cs="楷体_GB2312"/>
          <w:b w:val="0"/>
          <w:bCs w:val="0"/>
          <w:sz w:val="32"/>
          <w:szCs w:val="32"/>
          <w:lang w:val="en-US" w:eastAsia="zh-CN"/>
        </w:rPr>
        <w:t>（一）发展成就</w:t>
      </w:r>
      <w:bookmarkEnd w:id="5"/>
    </w:p>
    <w:p w14:paraId="05C27B1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“十四五”以来，大兴区紧抓网络强国与数字中国战略机遇，以“强基、惠民、慧治、兴业”为路径，全面推进智慧城市建设。夯实数字底座，建成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一体化基础设施，实现政务系统100%上云、5G网络重点区域全覆盖。构建数据资源体系，汇聚市区数据超270亿条，建成人口、法人等核心数据库，</w:t>
      </w:r>
      <w:r>
        <w:rPr>
          <w:rFonts w:hint="eastAsia" w:ascii="仿宋_GB2312" w:hAnsi="仿宋_GB2312" w:eastAsia="仿宋_GB2312" w:cs="仿宋_GB2312"/>
          <w:sz w:val="32"/>
          <w:szCs w:val="32"/>
          <w:lang w:val="en-US" w:eastAsia="zh-CN"/>
        </w:rPr>
        <w:t>多项</w:t>
      </w:r>
      <w:r>
        <w:rPr>
          <w:rFonts w:hint="eastAsia" w:ascii="仿宋_GB2312" w:hAnsi="仿宋_GB2312" w:eastAsia="仿宋_GB2312" w:cs="仿宋_GB2312"/>
          <w:sz w:val="32"/>
          <w:szCs w:val="32"/>
        </w:rPr>
        <w:t>高质量数据集入选市级典型案例。聚焦民生福祉，打造“家门口就业”、智慧医疗、精准教学等应用场景，政务服务网办率达100%，好评率99.96%。提升治理效能，建成全区视频治理平台、社会综合治理平台、应急指挥一张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极端降水推演系统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城市综合治理能力全面增强。推动数实融合</w:t>
      </w:r>
      <w:r>
        <w:rPr>
          <w:rStyle w:val="27"/>
          <w:rFonts w:hint="eastAsia" w:ascii="仿宋_GB2312" w:hAnsi="仿宋_GB2312" w:eastAsia="仿宋_GB2312" w:cs="仿宋_GB2312"/>
          <w:sz w:val="32"/>
          <w:szCs w:val="32"/>
        </w:rPr>
        <w:footnoteReference w:id="0"/>
      </w:r>
      <w:r>
        <w:rPr>
          <w:rFonts w:hint="eastAsia" w:ascii="仿宋_GB2312" w:hAnsi="仿宋_GB2312" w:eastAsia="仿宋_GB2312" w:cs="仿宋_GB2312"/>
          <w:sz w:val="32"/>
          <w:szCs w:val="32"/>
        </w:rPr>
        <w:t>，搭建产业数字服务平台与跨境数据枢纽，服务超8000家企业，</w:t>
      </w:r>
      <w:r>
        <w:rPr>
          <w:rFonts w:hint="eastAsia" w:ascii="仿宋_GB2312" w:hAnsi="仿宋_GB2312" w:eastAsia="仿宋_GB2312" w:cs="仿宋_GB2312"/>
          <w:sz w:val="32"/>
          <w:szCs w:val="32"/>
          <w:lang w:val="en-US" w:eastAsia="zh-CN"/>
        </w:rPr>
        <w:t>在全国</w:t>
      </w:r>
      <w:r>
        <w:rPr>
          <w:rFonts w:hint="eastAsia" w:ascii="仿宋_GB2312" w:hAnsi="仿宋_GB2312" w:eastAsia="仿宋_GB2312" w:cs="仿宋_GB2312"/>
          <w:snapToGrid w:val="0"/>
          <w:sz w:val="32"/>
          <w:szCs w:val="32"/>
          <w:lang w:val="en-US" w:eastAsia="zh-CN"/>
        </w:rPr>
        <w:t>率先实现外企数据出境“绿色通道”和自贸区数据出境“负面清单”机制落地</w:t>
      </w:r>
      <w:r>
        <w:rPr>
          <w:rFonts w:hint="eastAsia" w:ascii="仿宋_GB2312" w:hAnsi="仿宋_GB2312" w:eastAsia="仿宋_GB2312" w:cs="仿宋_GB2312"/>
          <w:sz w:val="32"/>
          <w:szCs w:val="32"/>
        </w:rPr>
        <w:t>。完善政策体系，出台系列管理办法与行动计划，构建起规划统筹、规范建设、长效运维的制度保障，为“十五五”高质量发展奠定坚实基础。</w:t>
      </w:r>
    </w:p>
    <w:p w14:paraId="3607B58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6" w:name="_Toc1948373301"/>
      <w:r>
        <w:rPr>
          <w:rFonts w:hint="eastAsia" w:ascii="楷体_GB2312" w:hAnsi="楷体_GB2312" w:eastAsia="楷体_GB2312" w:cs="楷体_GB2312"/>
          <w:b w:val="0"/>
          <w:bCs w:val="0"/>
          <w:sz w:val="32"/>
          <w:szCs w:val="32"/>
          <w:lang w:val="en-US" w:eastAsia="zh-CN"/>
        </w:rPr>
        <w:t>（二）主要问题</w:t>
      </w:r>
      <w:bookmarkEnd w:id="6"/>
    </w:p>
    <w:p w14:paraId="06FBFB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步入发展新阶段，面对新要求，大兴区智慧城市建设在统筹性、协同性与落地性上仍显不足，主要体现在：一是感知体系覆盖不广，基础设施智能化滞后；二是数据标准不统一，数据全生命周期管理能力有待提升；三是场景应用新技术融合不足，</w:t>
      </w:r>
      <w:r>
        <w:rPr>
          <w:rFonts w:hint="default" w:ascii="仿宋_GB2312" w:hAnsi="仿宋_GB2312" w:eastAsia="仿宋_GB2312" w:cs="仿宋_GB2312"/>
          <w:sz w:val="32"/>
          <w:szCs w:val="32"/>
          <w:highlight w:val="none"/>
          <w:lang w:val="en-US" w:eastAsia="zh-CN"/>
        </w:rPr>
        <w:t>个性化</w:t>
      </w:r>
      <w:r>
        <w:rPr>
          <w:rFonts w:hint="eastAsia" w:ascii="仿宋_GB2312" w:hAnsi="仿宋_GB2312" w:eastAsia="仿宋_GB2312" w:cs="仿宋_GB2312"/>
          <w:sz w:val="32"/>
          <w:szCs w:val="32"/>
          <w:highlight w:val="none"/>
          <w:lang w:val="en-US" w:eastAsia="zh-CN"/>
        </w:rPr>
        <w:t>公共服务供给、精细化城市治理仍需加强</w:t>
      </w:r>
      <w:r>
        <w:rPr>
          <w:rFonts w:hint="eastAsia" w:ascii="仿宋_GB2312" w:hAnsi="仿宋_GB2312" w:eastAsia="仿宋_GB2312" w:cs="仿宋_GB2312"/>
          <w:b w:val="0"/>
          <w:bCs w:val="0"/>
          <w:sz w:val="32"/>
          <w:szCs w:val="32"/>
          <w:lang w:val="en-US" w:eastAsia="zh-CN"/>
        </w:rPr>
        <w:t>；四是数据赋能产业不足，</w:t>
      </w:r>
      <w:r>
        <w:rPr>
          <w:rFonts w:hint="default" w:ascii="仿宋_GB2312" w:hAnsi="仿宋_GB2312" w:eastAsia="仿宋_GB2312" w:cs="仿宋_GB2312"/>
          <w:sz w:val="32"/>
          <w:szCs w:val="32"/>
          <w:lang w:val="en-US" w:eastAsia="zh-CN"/>
        </w:rPr>
        <w:t>数据要素市场化配置机制尚不</w:t>
      </w:r>
      <w:r>
        <w:rPr>
          <w:rFonts w:hint="eastAsia" w:ascii="仿宋_GB2312" w:hAnsi="仿宋_GB2312" w:eastAsia="仿宋_GB2312" w:cs="仿宋_GB2312"/>
          <w:sz w:val="32"/>
          <w:szCs w:val="32"/>
          <w:lang w:val="en-US" w:eastAsia="zh-CN"/>
        </w:rPr>
        <w:t>成熟</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数据</w:t>
      </w:r>
      <w:r>
        <w:rPr>
          <w:rFonts w:hint="default" w:ascii="仿宋_GB2312" w:hAnsi="仿宋_GB2312" w:eastAsia="仿宋_GB2312" w:cs="仿宋_GB2312"/>
          <w:sz w:val="32"/>
          <w:szCs w:val="32"/>
          <w:lang w:val="en-US" w:eastAsia="zh-CN"/>
        </w:rPr>
        <w:t>“供、流、用、安”各环节</w:t>
      </w:r>
      <w:r>
        <w:rPr>
          <w:rFonts w:hint="eastAsia" w:ascii="仿宋_GB2312" w:hAnsi="仿宋_GB2312" w:eastAsia="仿宋_GB2312" w:cs="仿宋_GB2312"/>
          <w:sz w:val="32"/>
          <w:szCs w:val="32"/>
          <w:lang w:val="en-US" w:eastAsia="zh-CN"/>
        </w:rPr>
        <w:t>仍存在短板</w:t>
      </w:r>
      <w:r>
        <w:rPr>
          <w:rFonts w:hint="eastAsia" w:ascii="仿宋_GB2312" w:hAnsi="仿宋_GB2312" w:eastAsia="仿宋_GB2312" w:cs="仿宋_GB2312"/>
          <w:b w:val="0"/>
          <w:bCs w:val="0"/>
          <w:sz w:val="32"/>
          <w:szCs w:val="32"/>
          <w:lang w:val="en-US" w:eastAsia="zh-CN"/>
        </w:rPr>
        <w:t>。</w:t>
      </w:r>
    </w:p>
    <w:p w14:paraId="06C72A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7" w:name="_Toc1479420451"/>
      <w:r>
        <w:rPr>
          <w:rFonts w:hint="eastAsia" w:ascii="楷体_GB2312" w:hAnsi="楷体_GB2312" w:eastAsia="楷体_GB2312" w:cs="楷体_GB2312"/>
          <w:b w:val="0"/>
          <w:bCs w:val="0"/>
          <w:sz w:val="32"/>
          <w:szCs w:val="32"/>
          <w:lang w:val="en-US" w:eastAsia="zh-CN"/>
        </w:rPr>
        <w:t>（三）发展形势</w:t>
      </w:r>
      <w:bookmarkEnd w:id="7"/>
    </w:p>
    <w:p w14:paraId="288258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五五”时期是我国基本实现社会主义现代化夯实基础、全面发力的关键时期，也是北京率先基本实现社会主义现代化的关键时期。作为全市面积最大的平原新城、首都南部新增长极，大兴面临着多重战略机遇和风险挑战。</w:t>
      </w:r>
    </w:p>
    <w:p w14:paraId="1ABDE23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机遇方面：依托国家与北京市数智化发展政策窗口，争取数据要素、人工智能等领域试点机会，将政策优势转化为发展先机；锚定“6+5+3”产业发展布局，汇聚创新要素、激活数字动能，纵深推进数智化建设；基于京津冀协同发展示范区定位，打造跨区域智慧应用示范，进一步提升区域影响力。</w:t>
      </w:r>
    </w:p>
    <w:p w14:paraId="4081808C">
      <w:pPr>
        <w:keepNext w:val="0"/>
        <w:keepLines w:val="0"/>
        <w:pageBreakBefore w:val="0"/>
        <w:widowControl w:val="0"/>
        <w:numPr>
          <w:ilvl w:val="-1"/>
          <w:numId w:val="0"/>
        </w:numPr>
        <w:suppressLineNumbers w:val="0"/>
        <w:kinsoku/>
        <w:wordWrap/>
        <w:autoSpaceDN/>
        <w:bidi w:val="0"/>
        <w:spacing w:beforeAutospacing="0" w:afterAutospacing="0" w:line="560" w:lineRule="exact"/>
        <w:ind w:firstLine="640" w:firstLineChars="200"/>
        <w:jc w:val="both"/>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挑战方面：数智技术迭代快，场景选型难、验证周期长，配套政策标准滞后、运维成本偏高；数字化复合型人才缺口大、区域竞争激烈；网络安全、数据合规、人工智能应用等风险交织，防护体系与监管标准仍有待完善。</w:t>
      </w:r>
    </w:p>
    <w:p w14:paraId="7B1F130E">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黑体"/>
          <w:b w:val="0"/>
          <w:bCs w:val="0"/>
          <w:sz w:val="32"/>
          <w:szCs w:val="32"/>
          <w:lang w:val="en-US" w:eastAsia="zh-CN"/>
        </w:rPr>
      </w:pPr>
      <w:bookmarkStart w:id="8" w:name="_Toc1053854991"/>
      <w:r>
        <w:rPr>
          <w:rFonts w:hint="eastAsia" w:ascii="黑体" w:hAnsi="黑体" w:eastAsia="黑体" w:cs="黑体"/>
          <w:b w:val="0"/>
          <w:bCs w:val="0"/>
          <w:sz w:val="32"/>
          <w:szCs w:val="32"/>
          <w:lang w:val="en-US" w:eastAsia="zh-CN"/>
        </w:rPr>
        <w:t>总体要求</w:t>
      </w:r>
      <w:bookmarkEnd w:id="8"/>
    </w:p>
    <w:p w14:paraId="5313C82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9" w:name="_Toc1843196928"/>
      <w:r>
        <w:rPr>
          <w:rFonts w:hint="eastAsia" w:ascii="楷体_GB2312" w:hAnsi="楷体_GB2312" w:eastAsia="楷体_GB2312" w:cs="楷体_GB2312"/>
          <w:b w:val="0"/>
          <w:bCs w:val="0"/>
          <w:sz w:val="32"/>
          <w:szCs w:val="32"/>
          <w:lang w:val="en-US" w:eastAsia="zh-CN"/>
        </w:rPr>
        <w:t>（一）</w:t>
      </w:r>
      <w:bookmarkEnd w:id="9"/>
      <w:bookmarkStart w:id="10" w:name="_Toc45953663"/>
      <w:r>
        <w:rPr>
          <w:rFonts w:hint="eastAsia" w:ascii="楷体_GB2312" w:hAnsi="楷体_GB2312" w:eastAsia="楷体_GB2312" w:cs="楷体_GB2312"/>
          <w:b w:val="0"/>
          <w:bCs w:val="0"/>
          <w:sz w:val="32"/>
          <w:szCs w:val="32"/>
          <w:lang w:val="en-US" w:eastAsia="zh-CN"/>
        </w:rPr>
        <w:t>发展目标</w:t>
      </w:r>
      <w:bookmarkEnd w:id="10"/>
    </w:p>
    <w:p w14:paraId="712274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到2030年，以城市全域数智化建设为发展动能，引领大兴区实现智慧城市高质量发展。数智基础设施智能升级、全域贯通，筑牢智慧城市底座；数据要素有序流通、高效配置，激活创新发展价值；公共服务普惠均衡、智能可及，提升民生服务获得感；城市治理精准精细、协同高效，完善智慧治理格局；产城深度融合发展、能级跃升，数智赋能为“6+5+3”产业发展布局落地提供重要支撑，打造辨识度高、竞争力强、示范效应突出的现代化数智城区。到2035年，大兴区基本实现全域数智化转型，在全市率先基本实现社会主义现代化进程中作出贡献。</w:t>
      </w:r>
    </w:p>
    <w:p w14:paraId="691BDEE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第一阶段（2026年-2028年）：重点突破阶段</w:t>
      </w:r>
    </w:p>
    <w:p w14:paraId="4DA070C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筹推进数智基础设施迭代布局，初步建成统一城市数智化底座；深化数据资源管理，建立良好数据要素服务生态，持续释放数据要素价值；围绕基层治理、民生服务、城市运行等重点领域打造一批标杆示范场景；数智赋能“6+5+3”产业发展布局初见成效，为全域数智化转型奠定坚实基础。</w:t>
      </w:r>
    </w:p>
    <w:p w14:paraId="64DB2F7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第二阶段（2029年-2030年）：能级跃升阶段</w:t>
      </w:r>
    </w:p>
    <w:p w14:paraId="2BC8891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全域</w:t>
      </w:r>
      <w:r>
        <w:rPr>
          <w:rFonts w:hint="eastAsia" w:ascii="仿宋_GB2312" w:hAnsi="仿宋_GB2312" w:eastAsia="仿宋_GB2312" w:cs="仿宋_GB2312"/>
          <w:sz w:val="32"/>
          <w:szCs w:val="32"/>
          <w:lang w:val="en-US" w:eastAsia="zh-CN"/>
        </w:rPr>
        <w:t>数智</w:t>
      </w:r>
      <w:r>
        <w:rPr>
          <w:rFonts w:hint="default" w:ascii="仿宋_GB2312" w:hAnsi="仿宋_GB2312" w:eastAsia="仿宋_GB2312" w:cs="仿宋_GB2312"/>
          <w:sz w:val="32"/>
          <w:szCs w:val="32"/>
          <w:lang w:val="en-US" w:eastAsia="zh-CN"/>
        </w:rPr>
        <w:t>基础设施实现智能升级、互联互通，一体化智慧城市底座全面建成；健全数据要素</w:t>
      </w:r>
      <w:r>
        <w:rPr>
          <w:rFonts w:hint="eastAsia" w:ascii="仿宋_GB2312" w:hAnsi="仿宋_GB2312" w:eastAsia="仿宋_GB2312" w:cs="仿宋_GB2312"/>
          <w:sz w:val="32"/>
          <w:szCs w:val="32"/>
          <w:lang w:val="en-US" w:eastAsia="zh-CN"/>
        </w:rPr>
        <w:t>赋能</w:t>
      </w:r>
      <w:r>
        <w:rPr>
          <w:rFonts w:hint="default" w:ascii="仿宋_GB2312" w:hAnsi="仿宋_GB2312" w:eastAsia="仿宋_GB2312" w:cs="仿宋_GB2312"/>
          <w:sz w:val="32"/>
          <w:szCs w:val="32"/>
          <w:lang w:val="en-US" w:eastAsia="zh-CN"/>
        </w:rPr>
        <w:t>体系，数据价值</w:t>
      </w:r>
      <w:r>
        <w:rPr>
          <w:rFonts w:hint="eastAsia" w:ascii="仿宋_GB2312" w:hAnsi="仿宋_GB2312" w:eastAsia="仿宋_GB2312" w:cs="仿宋_GB2312"/>
          <w:sz w:val="32"/>
          <w:szCs w:val="32"/>
          <w:lang w:val="en-US" w:eastAsia="zh-CN"/>
        </w:rPr>
        <w:t>充分</w:t>
      </w:r>
      <w:r>
        <w:rPr>
          <w:rFonts w:hint="default" w:ascii="仿宋_GB2312" w:hAnsi="仿宋_GB2312" w:eastAsia="仿宋_GB2312" w:cs="仿宋_GB2312"/>
          <w:sz w:val="32"/>
          <w:szCs w:val="32"/>
          <w:lang w:val="en-US" w:eastAsia="zh-CN"/>
        </w:rPr>
        <w:t>释放；公共服务普惠均</w:t>
      </w:r>
      <w:r>
        <w:rPr>
          <w:rFonts w:hint="eastAsia" w:ascii="仿宋_GB2312" w:hAnsi="仿宋_GB2312" w:eastAsia="仿宋_GB2312" w:cs="仿宋_GB2312"/>
          <w:sz w:val="32"/>
          <w:szCs w:val="32"/>
          <w:lang w:val="en-US" w:eastAsia="zh-CN"/>
        </w:rPr>
        <w:t>衡</w:t>
      </w:r>
      <w:r>
        <w:rPr>
          <w:rFonts w:hint="default" w:ascii="仿宋_GB2312" w:hAnsi="仿宋_GB2312" w:eastAsia="仿宋_GB2312" w:cs="仿宋_GB2312"/>
          <w:sz w:val="32"/>
          <w:szCs w:val="32"/>
          <w:lang w:val="en-US" w:eastAsia="zh-CN"/>
        </w:rPr>
        <w:t>、智能可及，城市治理精准精细、协同高效；数智化全面赋能“6+5+3”产业</w:t>
      </w:r>
      <w:r>
        <w:rPr>
          <w:rFonts w:hint="eastAsia" w:ascii="仿宋_GB2312" w:hAnsi="仿宋_GB2312" w:eastAsia="仿宋_GB2312" w:cs="仿宋_GB2312"/>
          <w:sz w:val="32"/>
          <w:szCs w:val="32"/>
          <w:lang w:val="en-US" w:eastAsia="zh-CN"/>
        </w:rPr>
        <w:t>发展布局</w:t>
      </w:r>
      <w:r>
        <w:rPr>
          <w:rFonts w:hint="default" w:ascii="仿宋_GB2312" w:hAnsi="仿宋_GB2312" w:eastAsia="仿宋_GB2312" w:cs="仿宋_GB2312"/>
          <w:sz w:val="32"/>
          <w:szCs w:val="32"/>
          <w:lang w:val="en-US" w:eastAsia="zh-CN"/>
        </w:rPr>
        <w:t>，产城深度融合成效凸显，建成辨识度高、竞争力强、示范效应突出的现代化数智城区。</w:t>
      </w:r>
    </w:p>
    <w:p w14:paraId="54B9AD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p>
    <w:p w14:paraId="23B2434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p>
    <w:p w14:paraId="40E75AF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textAlignment w:val="auto"/>
        <w:outlineLvl w:val="9"/>
        <w:rPr>
          <w:rFonts w:hint="default" w:ascii="仿宋_GB2312" w:hAnsi="仿宋_GB2312" w:eastAsia="仿宋_GB2312" w:cs="仿宋_GB2312"/>
          <w:sz w:val="32"/>
          <w:szCs w:val="32"/>
          <w:lang w:val="en-US" w:eastAsia="zh-CN"/>
        </w:rPr>
        <w:sectPr>
          <w:footerReference r:id="rId7" w:type="default"/>
          <w:pgSz w:w="11906" w:h="16838"/>
          <w:pgMar w:top="2098" w:right="1474" w:bottom="1984" w:left="1587" w:header="851" w:footer="992" w:gutter="0"/>
          <w:paperSrc/>
          <w:pgBorders>
            <w:top w:val="none" w:sz="0" w:space="0"/>
            <w:left w:val="none" w:sz="0" w:space="0"/>
            <w:bottom w:val="none" w:sz="0" w:space="0"/>
            <w:right w:val="none" w:sz="0" w:space="0"/>
          </w:pgBorders>
          <w:pgNumType w:fmt="decimal" w:start="1"/>
          <w:cols w:space="0" w:num="1"/>
          <w:rtlGutter w:val="0"/>
          <w:docGrid w:type="lines" w:linePitch="312" w:charSpace="0"/>
        </w:sectPr>
      </w:pPr>
    </w:p>
    <w:p w14:paraId="5FD97F3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“十五五”数智大兴发展规划指标表</w:t>
      </w:r>
    </w:p>
    <w:tbl>
      <w:tblPr>
        <w:tblStyle w:val="22"/>
        <w:tblW w:w="14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8"/>
        <w:gridCol w:w="1508"/>
        <w:gridCol w:w="2431"/>
        <w:gridCol w:w="3438"/>
        <w:gridCol w:w="1294"/>
        <w:gridCol w:w="1638"/>
        <w:gridCol w:w="2024"/>
        <w:gridCol w:w="951"/>
      </w:tblGrid>
      <w:tr w14:paraId="714B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0" w:hRule="atLeast"/>
          <w:jc w:val="center"/>
        </w:trPr>
        <w:tc>
          <w:tcPr>
            <w:tcW w:w="778" w:type="dxa"/>
            <w:tcBorders>
              <w:tl2br w:val="nil"/>
              <w:tr2bl w:val="nil"/>
            </w:tcBorders>
            <w:shd w:val="clear" w:color="auto" w:fill="auto"/>
            <w:vAlign w:val="center"/>
          </w:tcPr>
          <w:p w14:paraId="07B274F9">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序号</w:t>
            </w:r>
          </w:p>
        </w:tc>
        <w:tc>
          <w:tcPr>
            <w:tcW w:w="1508" w:type="dxa"/>
            <w:tcBorders>
              <w:tl2br w:val="nil"/>
              <w:tr2bl w:val="nil"/>
            </w:tcBorders>
            <w:shd w:val="clear" w:color="auto" w:fill="auto"/>
            <w:vAlign w:val="center"/>
          </w:tcPr>
          <w:p w14:paraId="1781E482">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领域</w:t>
            </w:r>
          </w:p>
        </w:tc>
        <w:tc>
          <w:tcPr>
            <w:tcW w:w="2431" w:type="dxa"/>
            <w:tcBorders>
              <w:tl2br w:val="nil"/>
              <w:tr2bl w:val="nil"/>
            </w:tcBorders>
            <w:shd w:val="clear" w:color="auto" w:fill="auto"/>
            <w:vAlign w:val="center"/>
          </w:tcPr>
          <w:p w14:paraId="5CEF546E">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指标名称</w:t>
            </w:r>
          </w:p>
        </w:tc>
        <w:tc>
          <w:tcPr>
            <w:tcW w:w="3438" w:type="dxa"/>
            <w:tcBorders>
              <w:tl2br w:val="nil"/>
              <w:tr2bl w:val="nil"/>
            </w:tcBorders>
            <w:shd w:val="clear" w:color="auto" w:fill="auto"/>
            <w:vAlign w:val="center"/>
          </w:tcPr>
          <w:p w14:paraId="235E9149">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指标描述</w:t>
            </w:r>
          </w:p>
        </w:tc>
        <w:tc>
          <w:tcPr>
            <w:tcW w:w="1294" w:type="dxa"/>
            <w:tcBorders>
              <w:tl2br w:val="nil"/>
              <w:tr2bl w:val="nil"/>
            </w:tcBorders>
            <w:shd w:val="clear" w:color="auto" w:fill="auto"/>
            <w:vAlign w:val="center"/>
          </w:tcPr>
          <w:p w14:paraId="3322B3E8">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2025年</w:t>
            </w:r>
          </w:p>
          <w:p w14:paraId="445AEA18">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基期值</w:t>
            </w:r>
          </w:p>
        </w:tc>
        <w:tc>
          <w:tcPr>
            <w:tcW w:w="1638" w:type="dxa"/>
            <w:tcBorders>
              <w:tl2br w:val="nil"/>
              <w:tr2bl w:val="nil"/>
            </w:tcBorders>
            <w:shd w:val="clear" w:color="auto" w:fill="auto"/>
            <w:vAlign w:val="center"/>
          </w:tcPr>
          <w:p w14:paraId="4307A903">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2030年</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目标值</w:t>
            </w:r>
          </w:p>
        </w:tc>
        <w:tc>
          <w:tcPr>
            <w:tcW w:w="2024" w:type="dxa"/>
            <w:tcBorders>
              <w:tl2br w:val="nil"/>
              <w:tr2bl w:val="nil"/>
            </w:tcBorders>
            <w:shd w:val="clear" w:color="auto" w:fill="auto"/>
            <w:vAlign w:val="center"/>
          </w:tcPr>
          <w:p w14:paraId="2F89CD05">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责任单位</w:t>
            </w:r>
          </w:p>
        </w:tc>
        <w:tc>
          <w:tcPr>
            <w:tcW w:w="951" w:type="dxa"/>
            <w:tcBorders>
              <w:tl2br w:val="nil"/>
              <w:tr2bl w:val="nil"/>
            </w:tcBorders>
            <w:shd w:val="clear" w:color="auto" w:fill="auto"/>
            <w:vAlign w:val="center"/>
          </w:tcPr>
          <w:p w14:paraId="3A8136D2">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属性</w:t>
            </w:r>
          </w:p>
        </w:tc>
      </w:tr>
      <w:tr w14:paraId="7EB9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778" w:type="dxa"/>
            <w:tcBorders>
              <w:tl2br w:val="nil"/>
              <w:tr2bl w:val="nil"/>
            </w:tcBorders>
            <w:shd w:val="clear" w:color="auto" w:fill="auto"/>
            <w:vAlign w:val="center"/>
          </w:tcPr>
          <w:p w14:paraId="7E48D801">
            <w:pPr>
              <w:keepNext w:val="0"/>
              <w:keepLines w:val="0"/>
              <w:pageBreakBefore w:val="0"/>
              <w:widowControl/>
              <w:suppressLineNumbers w:val="0"/>
              <w:kinsoku/>
              <w:wordWrap/>
              <w:autoSpaceDN/>
              <w:bidi w:val="0"/>
              <w:spacing w:beforeAutospacing="0" w:afterAutospacing="0" w:line="560" w:lineRule="exact"/>
              <w:jc w:val="center"/>
              <w:textAlignment w:val="center"/>
              <w:rPr>
                <w:rFonts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1</w:t>
            </w:r>
          </w:p>
        </w:tc>
        <w:tc>
          <w:tcPr>
            <w:tcW w:w="1508" w:type="dxa"/>
            <w:vMerge w:val="restart"/>
            <w:tcBorders>
              <w:tl2br w:val="nil"/>
              <w:tr2bl w:val="nil"/>
            </w:tcBorders>
            <w:shd w:val="clear" w:color="auto" w:fill="auto"/>
            <w:vAlign w:val="center"/>
          </w:tcPr>
          <w:p w14:paraId="320F8D84">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数智基础</w:t>
            </w:r>
          </w:p>
          <w:p w14:paraId="7AEBD7BF">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lang w:val="en-US"/>
              </w:rPr>
            </w:pPr>
            <w:r>
              <w:rPr>
                <w:rFonts w:hint="eastAsia" w:ascii="仿宋_GB2312" w:hAnsi="Arial" w:eastAsia="仿宋_GB2312" w:cs="仿宋_GB2312"/>
                <w:i w:val="0"/>
                <w:iCs w:val="0"/>
                <w:color w:val="000000"/>
                <w:kern w:val="0"/>
                <w:sz w:val="24"/>
                <w:szCs w:val="24"/>
                <w:u w:val="none"/>
                <w:lang w:val="en-US" w:eastAsia="zh-CN" w:bidi="ar"/>
              </w:rPr>
              <w:t>设施</w:t>
            </w:r>
          </w:p>
        </w:tc>
        <w:tc>
          <w:tcPr>
            <w:tcW w:w="2431" w:type="dxa"/>
            <w:tcBorders>
              <w:tl2br w:val="nil"/>
              <w:tr2bl w:val="nil"/>
            </w:tcBorders>
            <w:shd w:val="clear" w:color="auto" w:fill="auto"/>
            <w:vAlign w:val="center"/>
          </w:tcPr>
          <w:p w14:paraId="6CB46265">
            <w:pPr>
              <w:pStyle w:val="18"/>
              <w:keepNext w:val="0"/>
              <w:keepLines w:val="0"/>
              <w:pageBreakBefore w:val="0"/>
              <w:widowControl w:val="0"/>
              <w:kinsoku/>
              <w:wordWrap/>
              <w:topLinePunct/>
              <w:autoSpaceDE w:val="0"/>
              <w:autoSpaceDN/>
              <w:bidi w:val="0"/>
              <w:spacing w:beforeAutospacing="0" w:afterAutospacing="0" w:line="560" w:lineRule="exact"/>
              <w:ind w:left="0" w:leftChars="0" w:right="0" w:rightChars="0" w:firstLine="0" w:firstLineChars="0"/>
              <w:jc w:val="center"/>
              <w:rPr>
                <w:rFonts w:hint="default" w:ascii="仿宋_GB2312" w:hAnsi="Arial"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宋体" w:eastAsia="仿宋_GB2312" w:cs="仿宋_GB2312"/>
                <w:color w:val="000000" w:themeColor="text1"/>
                <w:kern w:val="0"/>
                <w:sz w:val="24"/>
                <w:szCs w:val="24"/>
                <w:highlight w:val="none"/>
                <w:lang w:eastAsia="zh-CN" w:bidi="ar"/>
                <w14:textFill>
                  <w14:solidFill>
                    <w14:schemeClr w14:val="tx1"/>
                  </w14:solidFill>
                </w14:textFill>
              </w:rPr>
              <w:t>5G-A基站普及率</w:t>
            </w:r>
          </w:p>
        </w:tc>
        <w:tc>
          <w:tcPr>
            <w:tcW w:w="3438" w:type="dxa"/>
            <w:tcBorders>
              <w:tl2br w:val="nil"/>
              <w:tr2bl w:val="nil"/>
            </w:tcBorders>
            <w:shd w:val="clear" w:color="auto" w:fill="auto"/>
            <w:vAlign w:val="center"/>
          </w:tcPr>
          <w:p w14:paraId="5EFD5E71">
            <w:pPr>
              <w:pStyle w:val="18"/>
              <w:keepNext w:val="0"/>
              <w:keepLines w:val="0"/>
              <w:pageBreakBefore w:val="0"/>
              <w:widowControl w:val="0"/>
              <w:kinsoku/>
              <w:wordWrap/>
              <w:topLinePunct/>
              <w:autoSpaceDE w:val="0"/>
              <w:autoSpaceDN/>
              <w:bidi w:val="0"/>
              <w:spacing w:beforeAutospacing="0" w:afterAutospacing="0" w:line="560" w:lineRule="exact"/>
              <w:ind w:left="0" w:leftChars="0" w:right="0" w:rightChars="0" w:firstLine="0" w:firstLineChars="0"/>
              <w:jc w:val="center"/>
              <w:rPr>
                <w:rFonts w:hint="eastAsia" w:ascii="仿宋_GB2312" w:hAnsi="宋体" w:eastAsia="仿宋_GB2312" w:cs="仿宋_GB2312"/>
                <w:color w:val="000000" w:themeColor="text1"/>
                <w:kern w:val="0"/>
                <w:sz w:val="24"/>
                <w:szCs w:val="24"/>
                <w:highlight w:val="none"/>
                <w:lang w:eastAsia="zh-CN" w:bidi="ar"/>
                <w14:textFill>
                  <w14:solidFill>
                    <w14:schemeClr w14:val="tx1"/>
                  </w14:solidFill>
                </w14:textFill>
              </w:rPr>
            </w:pPr>
            <w:r>
              <w:rPr>
                <w:rFonts w:hint="eastAsia" w:ascii="仿宋_GB2312" w:hAnsi="宋体" w:eastAsia="仿宋_GB2312" w:cs="仿宋_GB2312"/>
                <w:color w:val="000000" w:themeColor="text1"/>
                <w:kern w:val="0"/>
                <w:sz w:val="24"/>
                <w:szCs w:val="24"/>
                <w:highlight w:val="none"/>
                <w:lang w:eastAsia="zh-CN" w:bidi="ar"/>
                <w14:textFill>
                  <w14:solidFill>
                    <w14:schemeClr w14:val="tx1"/>
                  </w14:solidFill>
                </w14:textFill>
              </w:rPr>
              <w:t>区内具有5G-A能力的基站</w:t>
            </w:r>
          </w:p>
          <w:p w14:paraId="500EFB75">
            <w:pPr>
              <w:pStyle w:val="18"/>
              <w:keepNext w:val="0"/>
              <w:keepLines w:val="0"/>
              <w:pageBreakBefore w:val="0"/>
              <w:widowControl w:val="0"/>
              <w:kinsoku/>
              <w:wordWrap/>
              <w:topLinePunct/>
              <w:autoSpaceDE w:val="0"/>
              <w:autoSpaceDN/>
              <w:bidi w:val="0"/>
              <w:spacing w:beforeAutospacing="0" w:afterAutospacing="0" w:line="560" w:lineRule="exact"/>
              <w:ind w:left="0" w:leftChars="0" w:right="0" w:rightChars="0" w:firstLine="0" w:firstLineChars="0"/>
              <w:jc w:val="center"/>
              <w:rPr>
                <w:rFonts w:hint="default" w:ascii="仿宋_GB2312" w:hAnsi="宋体" w:eastAsia="仿宋_GB2312" w:cs="仿宋_GB2312"/>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仿宋_GB2312" w:hAnsi="宋体" w:eastAsia="仿宋_GB2312" w:cs="仿宋_GB2312"/>
                <w:color w:val="000000" w:themeColor="text1"/>
                <w:kern w:val="0"/>
                <w:sz w:val="24"/>
                <w:szCs w:val="24"/>
                <w:highlight w:val="none"/>
                <w:lang w:eastAsia="zh-CN" w:bidi="ar"/>
                <w14:textFill>
                  <w14:solidFill>
                    <w14:schemeClr w14:val="tx1"/>
                  </w14:solidFill>
                </w14:textFill>
              </w:rPr>
              <w:t>占所有基站的比例</w:t>
            </w:r>
          </w:p>
        </w:tc>
        <w:tc>
          <w:tcPr>
            <w:tcW w:w="1294" w:type="dxa"/>
            <w:tcBorders>
              <w:tl2br w:val="nil"/>
              <w:tr2bl w:val="nil"/>
            </w:tcBorders>
            <w:shd w:val="clear" w:color="auto" w:fill="auto"/>
            <w:vAlign w:val="center"/>
          </w:tcPr>
          <w:p w14:paraId="0DA7A07B">
            <w:pPr>
              <w:pStyle w:val="18"/>
              <w:keepNext w:val="0"/>
              <w:keepLines w:val="0"/>
              <w:pageBreakBefore w:val="0"/>
              <w:widowControl w:val="0"/>
              <w:kinsoku/>
              <w:wordWrap/>
              <w:topLinePunct/>
              <w:autoSpaceDE w:val="0"/>
              <w:autoSpaceDN/>
              <w:bidi w:val="0"/>
              <w:spacing w:beforeAutospacing="0" w:afterAutospacing="0" w:line="560" w:lineRule="exact"/>
              <w:ind w:left="0" w:leftChars="0" w:right="0" w:rightChars="0" w:firstLine="0" w:firstLineChars="0"/>
              <w:jc w:val="center"/>
              <w:rPr>
                <w:rFonts w:hint="eastAsia" w:ascii="仿宋_GB2312" w:hAnsi="Arial" w:eastAsia="仿宋_GB2312" w:cs="仿宋_GB2312"/>
                <w:i w:val="0"/>
                <w:iCs w:val="0"/>
                <w:color w:val="000000"/>
                <w:sz w:val="24"/>
                <w:szCs w:val="24"/>
                <w:highlight w:val="none"/>
                <w:u w:val="none"/>
                <w:lang w:val="en-US" w:eastAsia="zh-CN"/>
              </w:rPr>
            </w:pPr>
            <w:r>
              <w:rPr>
                <w:rFonts w:hint="eastAsia" w:ascii="仿宋_GB2312" w:hAnsi="Arial" w:eastAsia="仿宋_GB2312" w:cs="仿宋_GB2312"/>
                <w:i w:val="0"/>
                <w:iCs w:val="0"/>
                <w:color w:val="000000"/>
                <w:sz w:val="24"/>
                <w:szCs w:val="24"/>
                <w:highlight w:val="none"/>
                <w:u w:val="none"/>
                <w:lang w:val="en-US" w:eastAsia="zh-CN"/>
              </w:rPr>
              <w:t>16.29%</w:t>
            </w:r>
          </w:p>
        </w:tc>
        <w:tc>
          <w:tcPr>
            <w:tcW w:w="1638" w:type="dxa"/>
            <w:tcBorders>
              <w:tl2br w:val="nil"/>
              <w:tr2bl w:val="nil"/>
            </w:tcBorders>
            <w:shd w:val="clear" w:color="auto" w:fill="auto"/>
            <w:vAlign w:val="center"/>
          </w:tcPr>
          <w:p w14:paraId="5CD0D286">
            <w:pPr>
              <w:pStyle w:val="18"/>
              <w:keepNext w:val="0"/>
              <w:keepLines w:val="0"/>
              <w:pageBreakBefore w:val="0"/>
              <w:widowControl w:val="0"/>
              <w:kinsoku/>
              <w:wordWrap/>
              <w:topLinePunct/>
              <w:autoSpaceDE w:val="0"/>
              <w:autoSpaceDN/>
              <w:bidi w:val="0"/>
              <w:spacing w:beforeAutospacing="0" w:afterAutospacing="0" w:line="560" w:lineRule="exact"/>
              <w:ind w:left="0" w:leftChars="0" w:right="0" w:rightChars="0" w:firstLine="0" w:firstLineChars="0"/>
              <w:jc w:val="center"/>
              <w:rPr>
                <w:rFonts w:hint="default" w:ascii="仿宋_GB2312" w:hAnsi="Arial" w:eastAsia="仿宋_GB2312" w:cs="仿宋_GB2312"/>
                <w:i w:val="0"/>
                <w:iCs w:val="0"/>
                <w:color w:val="000000"/>
                <w:sz w:val="24"/>
                <w:szCs w:val="24"/>
                <w:highlight w:val="none"/>
                <w:u w:val="none"/>
                <w:lang w:eastAsia="zh-CN"/>
              </w:rPr>
            </w:pPr>
            <w:r>
              <w:rPr>
                <w:rFonts w:hint="eastAsia" w:ascii="仿宋_GB2312" w:hAnsi="Arial" w:eastAsia="仿宋_GB2312" w:cs="仿宋_GB2312"/>
                <w:i w:val="0"/>
                <w:iCs w:val="0"/>
                <w:color w:val="000000"/>
                <w:sz w:val="24"/>
                <w:szCs w:val="24"/>
                <w:highlight w:val="none"/>
                <w:u w:val="none"/>
                <w:lang w:val="en-US" w:eastAsia="zh-CN"/>
              </w:rPr>
              <w:t>50%</w:t>
            </w:r>
          </w:p>
        </w:tc>
        <w:tc>
          <w:tcPr>
            <w:tcW w:w="2024" w:type="dxa"/>
            <w:tcBorders>
              <w:tl2br w:val="nil"/>
              <w:tr2bl w:val="nil"/>
            </w:tcBorders>
            <w:shd w:val="clear" w:color="auto" w:fill="auto"/>
            <w:vAlign w:val="center"/>
          </w:tcPr>
          <w:p w14:paraId="7194DA1A">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Arial" w:eastAsia="仿宋_GB2312" w:cs="仿宋_GB2312"/>
                <w:i w:val="0"/>
                <w:iCs w:val="0"/>
                <w:color w:val="000000"/>
                <w:sz w:val="24"/>
                <w:szCs w:val="24"/>
                <w:u w:val="none"/>
                <w:lang w:val="en-US" w:eastAsia="zh-CN"/>
              </w:rPr>
            </w:pPr>
            <w:r>
              <w:rPr>
                <w:rFonts w:hint="eastAsia" w:ascii="仿宋_GB2312" w:hAnsi="Arial" w:eastAsia="仿宋_GB2312" w:cs="仿宋_GB2312"/>
                <w:i w:val="0"/>
                <w:iCs w:val="0"/>
                <w:color w:val="000000"/>
                <w:sz w:val="24"/>
                <w:szCs w:val="24"/>
                <w:u w:val="none"/>
                <w:lang w:val="en-US" w:eastAsia="zh-CN"/>
              </w:rPr>
              <w:t>区通信管理办、区经济和信息化局</w:t>
            </w:r>
          </w:p>
        </w:tc>
        <w:tc>
          <w:tcPr>
            <w:tcW w:w="951" w:type="dxa"/>
            <w:tcBorders>
              <w:tl2br w:val="nil"/>
              <w:tr2bl w:val="nil"/>
            </w:tcBorders>
            <w:shd w:val="clear" w:color="auto" w:fill="auto"/>
            <w:vAlign w:val="center"/>
          </w:tcPr>
          <w:p w14:paraId="28624208">
            <w:pPr>
              <w:keepNext w:val="0"/>
              <w:keepLines w:val="0"/>
              <w:pageBreakBefore w:val="0"/>
              <w:kinsoku/>
              <w:wordWrap/>
              <w:autoSpaceDN/>
              <w:bidi w:val="0"/>
              <w:spacing w:beforeAutospacing="0" w:afterAutospacing="0" w:line="560" w:lineRule="exact"/>
              <w:jc w:val="center"/>
              <w:rPr>
                <w:rFonts w:hint="eastAsia" w:ascii="Arial" w:hAnsi="Arial" w:cs="Arial" w:eastAsiaTheme="minorEastAsia"/>
                <w:i w:val="0"/>
                <w:iCs w:val="0"/>
                <w:color w:val="000000"/>
                <w:sz w:val="24"/>
                <w:szCs w:val="24"/>
                <w:u w:val="none"/>
                <w:lang w:val="en-US" w:eastAsia="zh-CN"/>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422D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778" w:type="dxa"/>
            <w:tcBorders>
              <w:tl2br w:val="nil"/>
              <w:tr2bl w:val="nil"/>
            </w:tcBorders>
            <w:shd w:val="clear" w:color="auto" w:fill="auto"/>
            <w:vAlign w:val="center"/>
          </w:tcPr>
          <w:p w14:paraId="569CF159">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2</w:t>
            </w:r>
          </w:p>
        </w:tc>
        <w:tc>
          <w:tcPr>
            <w:tcW w:w="1508" w:type="dxa"/>
            <w:vMerge w:val="continue"/>
            <w:tcBorders>
              <w:tl2br w:val="nil"/>
              <w:tr2bl w:val="nil"/>
            </w:tcBorders>
            <w:shd w:val="clear" w:color="auto" w:fill="auto"/>
            <w:vAlign w:val="center"/>
          </w:tcPr>
          <w:p w14:paraId="1D1A7175">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p>
        </w:tc>
        <w:tc>
          <w:tcPr>
            <w:tcW w:w="2431" w:type="dxa"/>
            <w:tcBorders>
              <w:tl2br w:val="nil"/>
              <w:tr2bl w:val="nil"/>
            </w:tcBorders>
            <w:shd w:val="clear" w:color="auto" w:fill="auto"/>
            <w:vAlign w:val="center"/>
          </w:tcPr>
          <w:p w14:paraId="20E69691">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default" w:ascii="仿宋_GB2312" w:hAnsi="Arial"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城市重点公共区域智能摄像机覆盖率</w:t>
            </w:r>
          </w:p>
        </w:tc>
        <w:tc>
          <w:tcPr>
            <w:tcW w:w="3438" w:type="dxa"/>
            <w:tcBorders>
              <w:tl2br w:val="nil"/>
              <w:tr2bl w:val="nil"/>
            </w:tcBorders>
            <w:shd w:val="clear" w:color="auto" w:fill="auto"/>
            <w:vAlign w:val="center"/>
          </w:tcPr>
          <w:p w14:paraId="5F36D378">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Arial"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重点公共区域智能摄像机监控点位数占重点公共区域视频监控点位数的比例</w:t>
            </w:r>
          </w:p>
        </w:tc>
        <w:tc>
          <w:tcPr>
            <w:tcW w:w="1294" w:type="dxa"/>
            <w:tcBorders>
              <w:tl2br w:val="nil"/>
              <w:tr2bl w:val="nil"/>
            </w:tcBorders>
            <w:shd w:val="clear" w:color="auto" w:fill="auto"/>
            <w:vAlign w:val="center"/>
          </w:tcPr>
          <w:p w14:paraId="1DC27ED0">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highlight w:val="none"/>
                <w:u w:val="none"/>
                <w:lang w:val="en-US" w:eastAsia="zh-CN" w:bidi="ar"/>
              </w:rPr>
            </w:pPr>
            <w:r>
              <w:rPr>
                <w:rFonts w:hint="eastAsia" w:ascii="仿宋_GB2312" w:hAnsi="Arial" w:eastAsia="仿宋_GB2312" w:cs="仿宋_GB2312"/>
                <w:i w:val="0"/>
                <w:iCs w:val="0"/>
                <w:color w:val="000000"/>
                <w:kern w:val="0"/>
                <w:sz w:val="24"/>
                <w:szCs w:val="24"/>
                <w:highlight w:val="none"/>
                <w:u w:val="none"/>
                <w:lang w:val="en-US" w:eastAsia="zh-CN" w:bidi="ar"/>
              </w:rPr>
              <w:t>5%</w:t>
            </w:r>
          </w:p>
        </w:tc>
        <w:tc>
          <w:tcPr>
            <w:tcW w:w="1638" w:type="dxa"/>
            <w:tcBorders>
              <w:tl2br w:val="nil"/>
              <w:tr2bl w:val="nil"/>
            </w:tcBorders>
            <w:shd w:val="clear" w:color="auto" w:fill="auto"/>
            <w:vAlign w:val="center"/>
          </w:tcPr>
          <w:p w14:paraId="00C60B7C">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highlight w:val="none"/>
                <w:u w:val="none"/>
                <w:lang w:val="en-US" w:eastAsia="zh-CN" w:bidi="ar"/>
              </w:rPr>
            </w:pPr>
            <w:r>
              <w:rPr>
                <w:rFonts w:hint="eastAsia" w:ascii="仿宋_GB2312" w:hAnsi="Arial" w:eastAsia="仿宋_GB2312" w:cs="仿宋_GB2312"/>
                <w:i w:val="0"/>
                <w:iCs w:val="0"/>
                <w:color w:val="000000"/>
                <w:kern w:val="0"/>
                <w:sz w:val="24"/>
                <w:szCs w:val="24"/>
                <w:highlight w:val="none"/>
                <w:u w:val="none"/>
                <w:lang w:val="en-US" w:eastAsia="zh-CN" w:bidi="ar"/>
              </w:rPr>
              <w:t>30%</w:t>
            </w:r>
          </w:p>
        </w:tc>
        <w:tc>
          <w:tcPr>
            <w:tcW w:w="2024" w:type="dxa"/>
            <w:tcBorders>
              <w:tl2br w:val="nil"/>
              <w:tr2bl w:val="nil"/>
            </w:tcBorders>
            <w:shd w:val="clear" w:color="auto" w:fill="auto"/>
            <w:vAlign w:val="center"/>
          </w:tcPr>
          <w:p w14:paraId="5EBFB73F">
            <w:pPr>
              <w:keepNext w:val="0"/>
              <w:keepLines w:val="0"/>
              <w:pageBreakBefore w:val="0"/>
              <w:kinsoku/>
              <w:wordWrap/>
              <w:autoSpaceDN/>
              <w:bidi w:val="0"/>
              <w:spacing w:beforeAutospacing="0" w:afterAutospacing="0" w:line="560" w:lineRule="exact"/>
              <w:jc w:val="center"/>
              <w:rPr>
                <w:rFonts w:hint="default" w:ascii="Arial" w:hAnsi="Arial" w:cs="Arial" w:eastAsiaTheme="minorEastAsia"/>
                <w:i w:val="0"/>
                <w:iCs w:val="0"/>
                <w:color w:val="000000"/>
                <w:sz w:val="24"/>
                <w:szCs w:val="24"/>
                <w:u w:val="none"/>
                <w:lang w:val="en-US" w:eastAsia="zh-CN"/>
              </w:rPr>
            </w:pPr>
            <w:r>
              <w:rPr>
                <w:rFonts w:hint="eastAsia" w:ascii="仿宋_GB2312" w:hAnsi="Arial" w:eastAsia="仿宋_GB2312" w:cs="仿宋_GB2312"/>
                <w:i w:val="0"/>
                <w:iCs w:val="0"/>
                <w:color w:val="000000"/>
                <w:kern w:val="0"/>
                <w:sz w:val="24"/>
                <w:szCs w:val="24"/>
                <w:u w:val="none"/>
                <w:lang w:val="en-US" w:eastAsia="zh-CN" w:bidi="ar"/>
              </w:rPr>
              <w:t>区公安分局</w:t>
            </w:r>
          </w:p>
        </w:tc>
        <w:tc>
          <w:tcPr>
            <w:tcW w:w="951" w:type="dxa"/>
            <w:tcBorders>
              <w:tl2br w:val="nil"/>
              <w:tr2bl w:val="nil"/>
            </w:tcBorders>
            <w:shd w:val="clear" w:color="auto" w:fill="auto"/>
            <w:vAlign w:val="center"/>
          </w:tcPr>
          <w:p w14:paraId="01A8987F">
            <w:pPr>
              <w:keepNext w:val="0"/>
              <w:keepLines w:val="0"/>
              <w:pageBreakBefore w:val="0"/>
              <w:kinsoku/>
              <w:wordWrap/>
              <w:autoSpaceDN/>
              <w:bidi w:val="0"/>
              <w:spacing w:beforeAutospacing="0" w:afterAutospacing="0" w:line="560" w:lineRule="exact"/>
              <w:jc w:val="center"/>
              <w:rPr>
                <w:rFonts w:hint="default" w:ascii="Arial" w:hAnsi="Arial" w:cs="Arial"/>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2681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778" w:type="dxa"/>
            <w:tcBorders>
              <w:tl2br w:val="nil"/>
              <w:tr2bl w:val="nil"/>
            </w:tcBorders>
            <w:shd w:val="clear" w:color="auto" w:fill="auto"/>
            <w:vAlign w:val="center"/>
          </w:tcPr>
          <w:p w14:paraId="175658F4">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3</w:t>
            </w:r>
          </w:p>
        </w:tc>
        <w:tc>
          <w:tcPr>
            <w:tcW w:w="1508" w:type="dxa"/>
            <w:vMerge w:val="continue"/>
            <w:tcBorders>
              <w:tl2br w:val="nil"/>
              <w:tr2bl w:val="nil"/>
            </w:tcBorders>
            <w:shd w:val="clear" w:color="auto" w:fill="auto"/>
            <w:vAlign w:val="center"/>
          </w:tcPr>
          <w:p w14:paraId="2FBD9336">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p>
        </w:tc>
        <w:tc>
          <w:tcPr>
            <w:tcW w:w="2431" w:type="dxa"/>
            <w:tcBorders>
              <w:tl2br w:val="nil"/>
              <w:tr2bl w:val="nil"/>
            </w:tcBorders>
            <w:shd w:val="clear" w:color="auto" w:fill="auto"/>
            <w:vAlign w:val="center"/>
          </w:tcPr>
          <w:p w14:paraId="226132C2">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政务系统“上云”率</w:t>
            </w:r>
          </w:p>
        </w:tc>
        <w:tc>
          <w:tcPr>
            <w:tcW w:w="3438" w:type="dxa"/>
            <w:tcBorders>
              <w:tl2br w:val="nil"/>
              <w:tr2bl w:val="nil"/>
            </w:tcBorders>
            <w:shd w:val="clear" w:color="auto" w:fill="auto"/>
            <w:vAlign w:val="center"/>
          </w:tcPr>
          <w:p w14:paraId="1ABF887C">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default" w:ascii="仿宋_GB2312" w:hAnsi="Arial" w:eastAsia="仿宋_GB2312" w:cs="仿宋_GB2312"/>
                <w:i w:val="0"/>
                <w:iCs w:val="0"/>
                <w:color w:val="000000"/>
                <w:kern w:val="0"/>
                <w:sz w:val="24"/>
                <w:szCs w:val="24"/>
                <w:u w:val="none"/>
                <w:lang w:val="en-US" w:eastAsia="zh-CN" w:bidi="ar"/>
              </w:rPr>
              <w:t>已完成上云部署的政务系统数量</w:t>
            </w:r>
            <w:r>
              <w:rPr>
                <w:rFonts w:hint="eastAsia" w:ascii="仿宋_GB2312" w:hAnsi="Arial" w:eastAsia="仿宋_GB2312" w:cs="仿宋_GB2312"/>
                <w:i w:val="0"/>
                <w:iCs w:val="0"/>
                <w:color w:val="000000"/>
                <w:kern w:val="0"/>
                <w:sz w:val="24"/>
                <w:szCs w:val="24"/>
                <w:u w:val="none"/>
                <w:lang w:val="en-US" w:eastAsia="zh-CN" w:bidi="ar"/>
              </w:rPr>
              <w:t>占</w:t>
            </w:r>
            <w:r>
              <w:rPr>
                <w:rFonts w:hint="default" w:ascii="仿宋_GB2312" w:hAnsi="Arial" w:eastAsia="仿宋_GB2312" w:cs="仿宋_GB2312"/>
                <w:i w:val="0"/>
                <w:iCs w:val="0"/>
                <w:color w:val="000000"/>
                <w:kern w:val="0"/>
                <w:sz w:val="24"/>
                <w:szCs w:val="24"/>
                <w:u w:val="none"/>
                <w:lang w:val="en-US" w:eastAsia="zh-CN" w:bidi="ar"/>
              </w:rPr>
              <w:t>区域内应上政务系统</w:t>
            </w:r>
          </w:p>
          <w:p w14:paraId="490E3704">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总数量</w:t>
            </w:r>
            <w:r>
              <w:rPr>
                <w:rFonts w:hint="eastAsia" w:ascii="仿宋_GB2312" w:hAnsi="宋体" w:eastAsia="仿宋_GB2312" w:cs="仿宋_GB2312"/>
                <w:i w:val="0"/>
                <w:iCs w:val="0"/>
                <w:color w:val="000000"/>
                <w:kern w:val="0"/>
                <w:sz w:val="24"/>
                <w:szCs w:val="24"/>
                <w:u w:val="none"/>
                <w:lang w:val="en-US" w:eastAsia="zh-CN" w:bidi="ar"/>
              </w:rPr>
              <w:t>的比例</w:t>
            </w:r>
          </w:p>
        </w:tc>
        <w:tc>
          <w:tcPr>
            <w:tcW w:w="1294" w:type="dxa"/>
            <w:tcBorders>
              <w:tl2br w:val="nil"/>
              <w:tr2bl w:val="nil"/>
            </w:tcBorders>
            <w:shd w:val="clear" w:color="auto" w:fill="auto"/>
            <w:vAlign w:val="center"/>
          </w:tcPr>
          <w:p w14:paraId="03CA235F">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100%</w:t>
            </w:r>
          </w:p>
        </w:tc>
        <w:tc>
          <w:tcPr>
            <w:tcW w:w="1638" w:type="dxa"/>
            <w:tcBorders>
              <w:tl2br w:val="nil"/>
              <w:tr2bl w:val="nil"/>
            </w:tcBorders>
            <w:shd w:val="clear" w:color="auto" w:fill="auto"/>
            <w:vAlign w:val="center"/>
          </w:tcPr>
          <w:p w14:paraId="7035616E">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100%（含新增系统）</w:t>
            </w:r>
          </w:p>
        </w:tc>
        <w:tc>
          <w:tcPr>
            <w:tcW w:w="2024" w:type="dxa"/>
            <w:tcBorders>
              <w:tl2br w:val="nil"/>
              <w:tr2bl w:val="nil"/>
            </w:tcBorders>
            <w:shd w:val="clear" w:color="auto" w:fill="auto"/>
            <w:vAlign w:val="center"/>
          </w:tcPr>
          <w:p w14:paraId="746748A9">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区政务和数据局</w:t>
            </w:r>
          </w:p>
        </w:tc>
        <w:tc>
          <w:tcPr>
            <w:tcW w:w="951" w:type="dxa"/>
            <w:tcBorders>
              <w:tl2br w:val="nil"/>
              <w:tr2bl w:val="nil"/>
            </w:tcBorders>
            <w:shd w:val="clear" w:color="auto" w:fill="auto"/>
            <w:vAlign w:val="center"/>
          </w:tcPr>
          <w:p w14:paraId="135E0311">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033A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8" w:type="dxa"/>
            <w:tcBorders>
              <w:tl2br w:val="nil"/>
              <w:tr2bl w:val="nil"/>
            </w:tcBorders>
            <w:shd w:val="clear" w:color="auto" w:fill="auto"/>
            <w:vAlign w:val="center"/>
          </w:tcPr>
          <w:p w14:paraId="3E505694">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eastAsia" w:ascii="仿宋_GB2312" w:hAnsi="Arial" w:eastAsia="仿宋_GB2312" w:cs="仿宋_GB2312"/>
                <w:i w:val="0"/>
                <w:iCs w:val="0"/>
                <w:color w:val="000000"/>
                <w:kern w:val="0"/>
                <w:sz w:val="24"/>
                <w:szCs w:val="24"/>
                <w:u w:val="none"/>
                <w:lang w:val="en-US" w:eastAsia="zh-CN" w:bidi="ar"/>
              </w:rPr>
              <w:t>4</w:t>
            </w:r>
          </w:p>
        </w:tc>
        <w:tc>
          <w:tcPr>
            <w:tcW w:w="1508" w:type="dxa"/>
            <w:vMerge w:val="restart"/>
            <w:tcBorders>
              <w:tl2br w:val="nil"/>
              <w:tr2bl w:val="nil"/>
            </w:tcBorders>
            <w:shd w:val="clear" w:color="auto" w:fill="auto"/>
            <w:vAlign w:val="center"/>
          </w:tcPr>
          <w:p w14:paraId="7E2D40FD">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数据要素</w:t>
            </w:r>
          </w:p>
        </w:tc>
        <w:tc>
          <w:tcPr>
            <w:tcW w:w="2431" w:type="dxa"/>
            <w:tcBorders>
              <w:tl2br w:val="nil"/>
              <w:tr2bl w:val="nil"/>
            </w:tcBorders>
            <w:shd w:val="clear" w:color="auto" w:fill="auto"/>
            <w:vAlign w:val="center"/>
          </w:tcPr>
          <w:p w14:paraId="4FE5A7F8">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Arial" w:eastAsia="仿宋_GB2312" w:cs="仿宋_GB2312"/>
                <w:i w:val="0"/>
                <w:iCs w:val="0"/>
                <w:color w:val="000000"/>
                <w:kern w:val="0"/>
                <w:sz w:val="24"/>
                <w:szCs w:val="24"/>
                <w:u w:val="none"/>
                <w:lang w:val="en-US" w:eastAsia="zh-CN" w:bidi="ar"/>
              </w:rPr>
            </w:pPr>
            <w:r>
              <w:rPr>
                <w:rFonts w:hint="default" w:ascii="仿宋_GB2312" w:hAnsi="Arial" w:eastAsia="仿宋_GB2312" w:cs="仿宋_GB2312"/>
                <w:i w:val="0"/>
                <w:iCs w:val="0"/>
                <w:color w:val="000000"/>
                <w:kern w:val="0"/>
                <w:sz w:val="24"/>
                <w:szCs w:val="24"/>
                <w:u w:val="none"/>
                <w:lang w:val="en-US" w:eastAsia="zh-CN" w:bidi="ar"/>
              </w:rPr>
              <w:t>政务数据</w:t>
            </w:r>
            <w:r>
              <w:rPr>
                <w:rFonts w:hint="eastAsia" w:ascii="仿宋_GB2312" w:hAnsi="Arial" w:eastAsia="仿宋_GB2312" w:cs="仿宋_GB2312"/>
                <w:i w:val="0"/>
                <w:iCs w:val="0"/>
                <w:color w:val="000000"/>
                <w:kern w:val="0"/>
                <w:sz w:val="24"/>
                <w:szCs w:val="24"/>
                <w:u w:val="none"/>
                <w:lang w:val="en-US" w:eastAsia="zh-CN" w:bidi="ar"/>
              </w:rPr>
              <w:t>无条件</w:t>
            </w:r>
          </w:p>
          <w:p w14:paraId="68D3E7C6">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共享率</w:t>
            </w:r>
          </w:p>
        </w:tc>
        <w:tc>
          <w:tcPr>
            <w:tcW w:w="3438" w:type="dxa"/>
            <w:tcBorders>
              <w:tl2br w:val="nil"/>
              <w:tr2bl w:val="nil"/>
            </w:tcBorders>
            <w:shd w:val="clear" w:color="auto" w:fill="auto"/>
            <w:vAlign w:val="center"/>
          </w:tcPr>
          <w:p w14:paraId="45B51667">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eastAsia" w:ascii="仿宋_GB2312" w:hAnsi="宋体" w:eastAsia="仿宋_GB2312" w:cs="仿宋_GB2312"/>
                <w:color w:val="000000"/>
                <w:kern w:val="0"/>
                <w:sz w:val="24"/>
                <w:szCs w:val="24"/>
                <w:lang w:eastAsia="zh-CN" w:bidi="ar"/>
              </w:rPr>
              <w:t>政府部门产生的数据必须在政府部门间无条件、无障碍共享，不得以保密、安全等为由阻碍共享</w:t>
            </w:r>
          </w:p>
        </w:tc>
        <w:tc>
          <w:tcPr>
            <w:tcW w:w="1294" w:type="dxa"/>
            <w:tcBorders>
              <w:tl2br w:val="nil"/>
              <w:tr2bl w:val="nil"/>
            </w:tcBorders>
            <w:shd w:val="clear" w:color="auto" w:fill="auto"/>
            <w:vAlign w:val="center"/>
          </w:tcPr>
          <w:p w14:paraId="007BE164">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80%</w:t>
            </w:r>
          </w:p>
        </w:tc>
        <w:tc>
          <w:tcPr>
            <w:tcW w:w="1638" w:type="dxa"/>
            <w:tcBorders>
              <w:tl2br w:val="nil"/>
              <w:tr2bl w:val="nil"/>
            </w:tcBorders>
            <w:shd w:val="clear" w:color="auto" w:fill="auto"/>
            <w:vAlign w:val="center"/>
          </w:tcPr>
          <w:p w14:paraId="65FDFF5A">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eastAsia" w:ascii="仿宋_GB2312" w:hAnsi="Arial" w:eastAsia="仿宋_GB2312" w:cs="仿宋_GB2312"/>
                <w:i w:val="0"/>
                <w:iCs w:val="0"/>
                <w:color w:val="000000"/>
                <w:kern w:val="0"/>
                <w:sz w:val="24"/>
                <w:szCs w:val="24"/>
                <w:u w:val="none"/>
                <w:lang w:val="en-US" w:eastAsia="zh-CN" w:bidi="ar"/>
              </w:rPr>
              <w:t>10</w:t>
            </w:r>
            <w:r>
              <w:rPr>
                <w:rFonts w:hint="default" w:ascii="仿宋_GB2312" w:hAnsi="Arial" w:eastAsia="仿宋_GB2312" w:cs="仿宋_GB2312"/>
                <w:i w:val="0"/>
                <w:iCs w:val="0"/>
                <w:color w:val="000000"/>
                <w:kern w:val="0"/>
                <w:sz w:val="24"/>
                <w:szCs w:val="24"/>
                <w:u w:val="none"/>
                <w:lang w:val="en-US" w:eastAsia="zh-CN" w:bidi="ar"/>
              </w:rPr>
              <w:t>0%</w:t>
            </w:r>
          </w:p>
        </w:tc>
        <w:tc>
          <w:tcPr>
            <w:tcW w:w="2024" w:type="dxa"/>
            <w:tcBorders>
              <w:tl2br w:val="nil"/>
              <w:tr2bl w:val="nil"/>
            </w:tcBorders>
            <w:shd w:val="clear" w:color="auto" w:fill="auto"/>
            <w:vAlign w:val="center"/>
          </w:tcPr>
          <w:p w14:paraId="639154D7">
            <w:pPr>
              <w:keepNext w:val="0"/>
              <w:keepLines w:val="0"/>
              <w:pageBreakBefore w:val="0"/>
              <w:kinsoku/>
              <w:wordWrap/>
              <w:autoSpaceDN/>
              <w:bidi w:val="0"/>
              <w:spacing w:beforeAutospacing="0" w:afterAutospacing="0" w:line="560" w:lineRule="exact"/>
              <w:jc w:val="center"/>
              <w:rPr>
                <w:rFonts w:hint="eastAsia" w:ascii="仿宋_GB2312" w:hAnsi="Arial" w:eastAsia="仿宋_GB2312" w:cs="仿宋_GB2312"/>
                <w:i w:val="0"/>
                <w:iCs w:val="0"/>
                <w:color w:val="000000"/>
                <w:sz w:val="24"/>
                <w:szCs w:val="24"/>
                <w:u w:val="none"/>
                <w:lang w:val="en-US" w:eastAsia="zh-CN"/>
              </w:rPr>
            </w:pPr>
            <w:r>
              <w:rPr>
                <w:rFonts w:hint="eastAsia" w:ascii="仿宋_GB2312" w:hAnsi="Arial" w:eastAsia="仿宋_GB2312" w:cs="仿宋_GB2312"/>
                <w:i w:val="0"/>
                <w:iCs w:val="0"/>
                <w:color w:val="000000"/>
                <w:sz w:val="24"/>
                <w:szCs w:val="24"/>
                <w:u w:val="none"/>
                <w:lang w:val="en-US" w:eastAsia="zh-CN"/>
              </w:rPr>
              <w:t>各部门</w:t>
            </w:r>
          </w:p>
        </w:tc>
        <w:tc>
          <w:tcPr>
            <w:tcW w:w="951" w:type="dxa"/>
            <w:tcBorders>
              <w:tl2br w:val="nil"/>
              <w:tr2bl w:val="nil"/>
            </w:tcBorders>
            <w:shd w:val="clear" w:color="auto" w:fill="auto"/>
            <w:vAlign w:val="center"/>
          </w:tcPr>
          <w:p w14:paraId="4BED1F72">
            <w:pPr>
              <w:keepNext w:val="0"/>
              <w:keepLines w:val="0"/>
              <w:pageBreakBefore w:val="0"/>
              <w:kinsoku/>
              <w:wordWrap/>
              <w:autoSpaceDN/>
              <w:bidi w:val="0"/>
              <w:spacing w:beforeAutospacing="0" w:afterAutospacing="0" w:line="560" w:lineRule="exact"/>
              <w:jc w:val="center"/>
              <w:rPr>
                <w:rFonts w:hint="default" w:ascii="仿宋_GB2312" w:hAnsi="Arial" w:eastAsia="仿宋_GB2312" w:cs="仿宋_GB2312"/>
                <w:i w:val="0"/>
                <w:iCs w:val="0"/>
                <w:color w:val="000000"/>
                <w:sz w:val="24"/>
                <w:szCs w:val="24"/>
                <w:u w:val="none"/>
                <w:lang w:val="en-US" w:eastAsia="zh-CN"/>
              </w:rPr>
            </w:pPr>
            <w:r>
              <w:rPr>
                <w:rFonts w:hint="eastAsia" w:ascii="仿宋_GB2312" w:hAnsi="Arial" w:eastAsia="仿宋_GB2312" w:cs="仿宋_GB2312"/>
                <w:i w:val="0"/>
                <w:iCs w:val="0"/>
                <w:color w:val="000000"/>
                <w:sz w:val="24"/>
                <w:szCs w:val="24"/>
                <w:u w:val="none"/>
                <w:lang w:val="en-US" w:eastAsia="zh-CN"/>
              </w:rPr>
              <w:t>约束性</w:t>
            </w:r>
          </w:p>
        </w:tc>
      </w:tr>
      <w:tr w14:paraId="46A3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78" w:type="dxa"/>
            <w:tcBorders>
              <w:tl2br w:val="nil"/>
              <w:tr2bl w:val="nil"/>
            </w:tcBorders>
            <w:shd w:val="clear" w:color="auto" w:fill="auto"/>
            <w:vAlign w:val="center"/>
          </w:tcPr>
          <w:p w14:paraId="5F9E395F">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5</w:t>
            </w:r>
          </w:p>
        </w:tc>
        <w:tc>
          <w:tcPr>
            <w:tcW w:w="1508" w:type="dxa"/>
            <w:vMerge w:val="continue"/>
            <w:tcBorders>
              <w:tl2br w:val="nil"/>
              <w:tr2bl w:val="nil"/>
            </w:tcBorders>
            <w:shd w:val="clear" w:color="auto" w:fill="auto"/>
            <w:vAlign w:val="center"/>
          </w:tcPr>
          <w:p w14:paraId="2537EB2F">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p>
        </w:tc>
        <w:tc>
          <w:tcPr>
            <w:tcW w:w="2431" w:type="dxa"/>
            <w:tcBorders>
              <w:tl2br w:val="nil"/>
              <w:tr2bl w:val="nil"/>
            </w:tcBorders>
            <w:shd w:val="clear" w:color="auto" w:fill="auto"/>
            <w:vAlign w:val="center"/>
          </w:tcPr>
          <w:p w14:paraId="6BB0429E">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高质量数据集数量</w:t>
            </w:r>
          </w:p>
        </w:tc>
        <w:tc>
          <w:tcPr>
            <w:tcW w:w="3438" w:type="dxa"/>
            <w:tcBorders>
              <w:tl2br w:val="nil"/>
              <w:tr2bl w:val="nil"/>
            </w:tcBorders>
            <w:shd w:val="clear" w:color="auto" w:fill="auto"/>
            <w:vAlign w:val="center"/>
          </w:tcPr>
          <w:p w14:paraId="52DCB6DB">
            <w:pPr>
              <w:keepNext w:val="0"/>
              <w:keepLines w:val="0"/>
              <w:pageBreakBefore w:val="0"/>
              <w:widowControl/>
              <w:suppressLineNumbers w:val="0"/>
              <w:kinsoku/>
              <w:wordWrap/>
              <w:autoSpaceDN/>
              <w:bidi w:val="0"/>
              <w:spacing w:beforeAutospacing="0" w:afterAutospacing="0" w:line="560" w:lineRule="exact"/>
              <w:jc w:val="center"/>
              <w:textAlignment w:val="auto"/>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到2030年建成的高质量数据集的个数</w:t>
            </w:r>
          </w:p>
        </w:tc>
        <w:tc>
          <w:tcPr>
            <w:tcW w:w="1294" w:type="dxa"/>
            <w:tcBorders>
              <w:tl2br w:val="nil"/>
              <w:tr2bl w:val="nil"/>
            </w:tcBorders>
            <w:shd w:val="clear" w:color="auto" w:fill="auto"/>
            <w:vAlign w:val="center"/>
          </w:tcPr>
          <w:p w14:paraId="64114EFB">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2个</w:t>
            </w:r>
          </w:p>
        </w:tc>
        <w:tc>
          <w:tcPr>
            <w:tcW w:w="1638" w:type="dxa"/>
            <w:tcBorders>
              <w:tl2br w:val="nil"/>
              <w:tr2bl w:val="nil"/>
            </w:tcBorders>
            <w:shd w:val="clear" w:color="auto" w:fill="auto"/>
            <w:vAlign w:val="center"/>
          </w:tcPr>
          <w:p w14:paraId="39F28F5A">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Arial" w:hAnsi="Arial" w:eastAsia="宋体" w:cs="Arial"/>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6个</w:t>
            </w:r>
          </w:p>
        </w:tc>
        <w:tc>
          <w:tcPr>
            <w:tcW w:w="2024" w:type="dxa"/>
            <w:tcBorders>
              <w:tl2br w:val="nil"/>
              <w:tr2bl w:val="nil"/>
            </w:tcBorders>
            <w:shd w:val="clear" w:color="auto" w:fill="auto"/>
            <w:vAlign w:val="center"/>
          </w:tcPr>
          <w:p w14:paraId="56F06DEB">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各部门</w:t>
            </w:r>
          </w:p>
        </w:tc>
        <w:tc>
          <w:tcPr>
            <w:tcW w:w="951" w:type="dxa"/>
            <w:tcBorders>
              <w:tl2br w:val="nil"/>
              <w:tr2bl w:val="nil"/>
            </w:tcBorders>
            <w:shd w:val="clear" w:color="auto" w:fill="auto"/>
            <w:vAlign w:val="center"/>
          </w:tcPr>
          <w:p w14:paraId="73D3D8DE">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54BF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778" w:type="dxa"/>
            <w:tcBorders>
              <w:tl2br w:val="nil"/>
              <w:tr2bl w:val="nil"/>
            </w:tcBorders>
            <w:shd w:val="clear" w:color="auto" w:fill="auto"/>
            <w:vAlign w:val="center"/>
          </w:tcPr>
          <w:p w14:paraId="4ECB4ADF">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6</w:t>
            </w:r>
          </w:p>
        </w:tc>
        <w:tc>
          <w:tcPr>
            <w:tcW w:w="1508" w:type="dxa"/>
            <w:vMerge w:val="restart"/>
            <w:tcBorders>
              <w:tl2br w:val="nil"/>
              <w:tr2bl w:val="nil"/>
            </w:tcBorders>
            <w:shd w:val="clear" w:color="auto" w:fill="auto"/>
            <w:vAlign w:val="center"/>
          </w:tcPr>
          <w:p w14:paraId="1A8297FF">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数智化场景</w:t>
            </w:r>
          </w:p>
        </w:tc>
        <w:tc>
          <w:tcPr>
            <w:tcW w:w="2431" w:type="dxa"/>
            <w:tcBorders>
              <w:tl2br w:val="nil"/>
              <w:tr2bl w:val="nil"/>
            </w:tcBorders>
            <w:shd w:val="clear" w:color="auto" w:fill="auto"/>
            <w:vAlign w:val="center"/>
          </w:tcPr>
          <w:p w14:paraId="7F9391E1">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区属二级以上公立医疗机构电子病历共享应用覆盖率</w:t>
            </w:r>
          </w:p>
        </w:tc>
        <w:tc>
          <w:tcPr>
            <w:tcW w:w="3438" w:type="dxa"/>
            <w:tcBorders>
              <w:tl2br w:val="nil"/>
              <w:tr2bl w:val="nil"/>
            </w:tcBorders>
            <w:shd w:val="clear" w:color="auto" w:fill="auto"/>
            <w:vAlign w:val="center"/>
          </w:tcPr>
          <w:p w14:paraId="42750FA7">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在区级范围内，通过接入市级电子病历共享助手，实现电子病历共享应用的区属二级以上公立医疗机构数量占区属二级以上公立医疗机构总数的比例</w:t>
            </w:r>
          </w:p>
        </w:tc>
        <w:tc>
          <w:tcPr>
            <w:tcW w:w="1294" w:type="dxa"/>
            <w:tcBorders>
              <w:tl2br w:val="nil"/>
              <w:tr2bl w:val="nil"/>
            </w:tcBorders>
            <w:shd w:val="clear" w:color="auto" w:fill="auto"/>
            <w:vAlign w:val="center"/>
          </w:tcPr>
          <w:p w14:paraId="4B533D5F">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80%</w:t>
            </w:r>
          </w:p>
        </w:tc>
        <w:tc>
          <w:tcPr>
            <w:tcW w:w="1638" w:type="dxa"/>
            <w:tcBorders>
              <w:tl2br w:val="nil"/>
              <w:tr2bl w:val="nil"/>
            </w:tcBorders>
            <w:shd w:val="clear" w:color="auto" w:fill="auto"/>
            <w:vAlign w:val="center"/>
          </w:tcPr>
          <w:p w14:paraId="5F7861A5">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100%</w:t>
            </w:r>
          </w:p>
        </w:tc>
        <w:tc>
          <w:tcPr>
            <w:tcW w:w="2024" w:type="dxa"/>
            <w:tcBorders>
              <w:tl2br w:val="nil"/>
              <w:tr2bl w:val="nil"/>
            </w:tcBorders>
            <w:shd w:val="clear" w:color="auto" w:fill="auto"/>
            <w:vAlign w:val="center"/>
          </w:tcPr>
          <w:p w14:paraId="133D1BC1">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default" w:ascii="仿宋_GB2312" w:hAnsi="Arial" w:eastAsia="仿宋_GB2312" w:cs="仿宋_GB2312"/>
                <w:i w:val="0"/>
                <w:iCs w:val="0"/>
                <w:color w:val="000000"/>
                <w:kern w:val="0"/>
                <w:sz w:val="24"/>
                <w:szCs w:val="24"/>
                <w:u w:val="none"/>
                <w:lang w:val="en-US" w:eastAsia="zh-CN" w:bidi="ar"/>
              </w:rPr>
              <w:t>区卫生健康委</w:t>
            </w:r>
          </w:p>
        </w:tc>
        <w:tc>
          <w:tcPr>
            <w:tcW w:w="951" w:type="dxa"/>
            <w:tcBorders>
              <w:tl2br w:val="nil"/>
              <w:tr2bl w:val="nil"/>
            </w:tcBorders>
            <w:shd w:val="clear" w:color="auto" w:fill="auto"/>
            <w:vAlign w:val="center"/>
          </w:tcPr>
          <w:p w14:paraId="6F878FE2">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5EF2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78" w:type="dxa"/>
            <w:tcBorders>
              <w:tl2br w:val="nil"/>
              <w:tr2bl w:val="nil"/>
            </w:tcBorders>
            <w:shd w:val="clear" w:color="auto" w:fill="auto"/>
            <w:vAlign w:val="center"/>
          </w:tcPr>
          <w:p w14:paraId="6F2F46F6">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7</w:t>
            </w:r>
          </w:p>
        </w:tc>
        <w:tc>
          <w:tcPr>
            <w:tcW w:w="1508" w:type="dxa"/>
            <w:vMerge w:val="continue"/>
            <w:tcBorders>
              <w:tl2br w:val="nil"/>
              <w:tr2bl w:val="nil"/>
            </w:tcBorders>
            <w:shd w:val="clear" w:color="auto" w:fill="auto"/>
            <w:vAlign w:val="center"/>
          </w:tcPr>
          <w:p w14:paraId="42A6762E">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p>
        </w:tc>
        <w:tc>
          <w:tcPr>
            <w:tcW w:w="2431" w:type="dxa"/>
            <w:tcBorders>
              <w:tl2br w:val="nil"/>
              <w:tr2bl w:val="nil"/>
            </w:tcBorders>
            <w:shd w:val="clear" w:color="auto" w:fill="auto"/>
            <w:vAlign w:val="center"/>
          </w:tcPr>
          <w:p w14:paraId="54E889D6">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区属公立二三级医疗卫生机构接入全民健康信息平台医疗数据质量合格率</w:t>
            </w:r>
          </w:p>
        </w:tc>
        <w:tc>
          <w:tcPr>
            <w:tcW w:w="3438" w:type="dxa"/>
            <w:tcBorders>
              <w:tl2br w:val="nil"/>
              <w:tr2bl w:val="nil"/>
            </w:tcBorders>
            <w:shd w:val="clear" w:color="auto" w:fill="auto"/>
            <w:vAlign w:val="center"/>
          </w:tcPr>
          <w:p w14:paraId="69E6F5FA">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区属公立二三级医疗卫生机构接入全民健康信息平台的医疗数据，符合数据质量标准要求</w:t>
            </w:r>
            <w:r>
              <w:rPr>
                <w:rStyle w:val="34"/>
                <w:rFonts w:hAnsi="Arial"/>
                <w:sz w:val="24"/>
                <w:szCs w:val="24"/>
                <w:lang w:val="en-US" w:eastAsia="zh-CN" w:bidi="ar"/>
              </w:rPr>
              <w:t>（包括完整性、准确性、规范性、</w:t>
            </w:r>
            <w:r>
              <w:rPr>
                <w:rStyle w:val="34"/>
                <w:rFonts w:hint="eastAsia" w:hAnsi="Arial"/>
                <w:sz w:val="24"/>
                <w:szCs w:val="24"/>
                <w:lang w:val="en-US" w:eastAsia="zh-CN" w:bidi="ar"/>
              </w:rPr>
              <w:t>一致性、</w:t>
            </w:r>
            <w:r>
              <w:rPr>
                <w:rStyle w:val="34"/>
                <w:rFonts w:hAnsi="Arial"/>
                <w:sz w:val="24"/>
                <w:szCs w:val="24"/>
                <w:lang w:val="en-US" w:eastAsia="zh-CN" w:bidi="ar"/>
              </w:rPr>
              <w:t>及时性、</w:t>
            </w:r>
            <w:r>
              <w:rPr>
                <w:rStyle w:val="34"/>
                <w:rFonts w:hint="eastAsia" w:hAnsi="Arial"/>
                <w:sz w:val="24"/>
                <w:szCs w:val="24"/>
                <w:lang w:val="en-US" w:eastAsia="zh-CN" w:bidi="ar"/>
              </w:rPr>
              <w:t>连续</w:t>
            </w:r>
            <w:r>
              <w:rPr>
                <w:rStyle w:val="34"/>
                <w:rFonts w:hAnsi="Arial"/>
                <w:sz w:val="24"/>
                <w:szCs w:val="24"/>
                <w:lang w:val="en-US" w:eastAsia="zh-CN" w:bidi="ar"/>
              </w:rPr>
              <w:t>性等维度）的记录数占总记录数的比例</w:t>
            </w:r>
          </w:p>
        </w:tc>
        <w:tc>
          <w:tcPr>
            <w:tcW w:w="1294" w:type="dxa"/>
            <w:tcBorders>
              <w:tl2br w:val="nil"/>
              <w:tr2bl w:val="nil"/>
            </w:tcBorders>
            <w:shd w:val="clear" w:color="auto" w:fill="auto"/>
            <w:vAlign w:val="center"/>
          </w:tcPr>
          <w:p w14:paraId="21932C09">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Arial" w:hAnsi="Arial" w:eastAsia="宋体" w:cs="Arial"/>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73.77%</w:t>
            </w:r>
          </w:p>
        </w:tc>
        <w:tc>
          <w:tcPr>
            <w:tcW w:w="1638" w:type="dxa"/>
            <w:tcBorders>
              <w:tl2br w:val="nil"/>
              <w:tr2bl w:val="nil"/>
            </w:tcBorders>
            <w:shd w:val="clear" w:color="auto" w:fill="auto"/>
            <w:vAlign w:val="center"/>
          </w:tcPr>
          <w:p w14:paraId="202F38C9">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Arial" w:hAnsi="Arial" w:cs="Arial" w:eastAsiaTheme="minorEastAsia"/>
                <w:i w:val="0"/>
                <w:iCs w:val="0"/>
                <w:color w:val="000000"/>
                <w:kern w:val="2"/>
                <w:sz w:val="24"/>
                <w:szCs w:val="24"/>
                <w:u w:val="none"/>
                <w:lang w:val="en-US" w:eastAsia="zh-CN" w:bidi="ar-SA"/>
              </w:rPr>
            </w:pPr>
            <w:r>
              <w:rPr>
                <w:rFonts w:hint="default" w:ascii="Arial" w:hAnsi="Arial" w:eastAsia="宋体" w:cs="Arial"/>
                <w:i w:val="0"/>
                <w:iCs w:val="0"/>
                <w:color w:val="000000"/>
                <w:kern w:val="0"/>
                <w:sz w:val="24"/>
                <w:szCs w:val="24"/>
                <w:u w:val="none"/>
                <w:lang w:val="en-US" w:eastAsia="zh-CN" w:bidi="ar"/>
              </w:rPr>
              <w:t>≥</w:t>
            </w:r>
            <w:r>
              <w:rPr>
                <w:rStyle w:val="34"/>
                <w:rFonts w:hAnsi="Arial"/>
                <w:sz w:val="24"/>
                <w:szCs w:val="24"/>
                <w:lang w:val="en-US" w:eastAsia="zh-CN" w:bidi="ar"/>
              </w:rPr>
              <w:t>90%</w:t>
            </w:r>
          </w:p>
        </w:tc>
        <w:tc>
          <w:tcPr>
            <w:tcW w:w="2024" w:type="dxa"/>
            <w:tcBorders>
              <w:tl2br w:val="nil"/>
              <w:tr2bl w:val="nil"/>
            </w:tcBorders>
            <w:shd w:val="clear" w:color="auto" w:fill="auto"/>
            <w:vAlign w:val="center"/>
          </w:tcPr>
          <w:p w14:paraId="45D670C0">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区卫生健康委</w:t>
            </w:r>
          </w:p>
        </w:tc>
        <w:tc>
          <w:tcPr>
            <w:tcW w:w="951" w:type="dxa"/>
            <w:tcBorders>
              <w:tl2br w:val="nil"/>
              <w:tr2bl w:val="nil"/>
            </w:tcBorders>
            <w:shd w:val="clear" w:color="auto" w:fill="auto"/>
            <w:vAlign w:val="center"/>
          </w:tcPr>
          <w:p w14:paraId="775C0C35">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2"/>
                <w:sz w:val="24"/>
                <w:szCs w:val="24"/>
                <w:u w:val="none"/>
                <w:lang w:val="en-US" w:eastAsia="zh-CN" w:bidi="ar-SA"/>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44C8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778" w:type="dxa"/>
            <w:tcBorders>
              <w:tl2br w:val="nil"/>
              <w:tr2bl w:val="nil"/>
            </w:tcBorders>
            <w:shd w:val="clear" w:color="auto" w:fill="auto"/>
            <w:vAlign w:val="center"/>
          </w:tcPr>
          <w:p w14:paraId="65496EE1">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lang w:val="en-US"/>
              </w:rPr>
            </w:pPr>
            <w:r>
              <w:rPr>
                <w:rFonts w:hint="eastAsia" w:ascii="仿宋_GB2312" w:hAnsi="Arial" w:eastAsia="仿宋_GB2312" w:cs="仿宋_GB2312"/>
                <w:i w:val="0"/>
                <w:iCs w:val="0"/>
                <w:color w:val="000000"/>
                <w:kern w:val="0"/>
                <w:sz w:val="24"/>
                <w:szCs w:val="24"/>
                <w:u w:val="none"/>
                <w:lang w:val="en-US" w:eastAsia="zh-CN" w:bidi="ar"/>
              </w:rPr>
              <w:t>8</w:t>
            </w:r>
          </w:p>
        </w:tc>
        <w:tc>
          <w:tcPr>
            <w:tcW w:w="1508" w:type="dxa"/>
            <w:vMerge w:val="continue"/>
            <w:tcBorders>
              <w:tl2br w:val="nil"/>
              <w:tr2bl w:val="nil"/>
            </w:tcBorders>
            <w:shd w:val="clear" w:color="auto" w:fill="auto"/>
            <w:vAlign w:val="center"/>
          </w:tcPr>
          <w:p w14:paraId="74A93A04">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p>
        </w:tc>
        <w:tc>
          <w:tcPr>
            <w:tcW w:w="2431" w:type="dxa"/>
            <w:tcBorders>
              <w:tl2br w:val="nil"/>
              <w:tr2bl w:val="nil"/>
            </w:tcBorders>
            <w:shd w:val="clear" w:color="auto" w:fill="auto"/>
            <w:vAlign w:val="center"/>
          </w:tcPr>
          <w:p w14:paraId="29EB1D3B">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lang w:val="en-US"/>
              </w:rPr>
            </w:pPr>
            <w:r>
              <w:rPr>
                <w:rFonts w:hint="default" w:ascii="仿宋_GB2312" w:hAnsi="Arial" w:eastAsia="仿宋_GB2312" w:cs="仿宋_GB2312"/>
                <w:i w:val="0"/>
                <w:iCs w:val="0"/>
                <w:color w:val="000000"/>
                <w:kern w:val="0"/>
                <w:sz w:val="24"/>
                <w:szCs w:val="24"/>
                <w:u w:val="none"/>
                <w:lang w:val="en-US" w:eastAsia="zh-CN" w:bidi="ar"/>
              </w:rPr>
              <w:t>人工智能+医疗健康场景</w:t>
            </w:r>
            <w:r>
              <w:rPr>
                <w:rFonts w:hint="eastAsia" w:ascii="仿宋_GB2312" w:hAnsi="Arial" w:eastAsia="仿宋_GB2312" w:cs="仿宋_GB2312"/>
                <w:i w:val="0"/>
                <w:iCs w:val="0"/>
                <w:color w:val="000000"/>
                <w:kern w:val="0"/>
                <w:sz w:val="24"/>
                <w:szCs w:val="24"/>
                <w:u w:val="none"/>
                <w:lang w:val="en-US" w:eastAsia="zh-CN" w:bidi="ar"/>
              </w:rPr>
              <w:t>数量</w:t>
            </w:r>
          </w:p>
        </w:tc>
        <w:tc>
          <w:tcPr>
            <w:tcW w:w="3438" w:type="dxa"/>
            <w:tcBorders>
              <w:tl2br w:val="nil"/>
              <w:tr2bl w:val="nil"/>
            </w:tcBorders>
            <w:shd w:val="clear" w:color="auto" w:fill="auto"/>
            <w:vAlign w:val="center"/>
          </w:tcPr>
          <w:p w14:paraId="595E8C51">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lang w:val="en-US"/>
              </w:rPr>
            </w:pPr>
            <w:r>
              <w:rPr>
                <w:rFonts w:hint="default" w:ascii="仿宋_GB2312" w:hAnsi="Arial" w:eastAsia="仿宋_GB2312" w:cs="仿宋_GB2312"/>
                <w:i w:val="0"/>
                <w:iCs w:val="0"/>
                <w:color w:val="000000"/>
                <w:kern w:val="0"/>
                <w:sz w:val="24"/>
                <w:szCs w:val="24"/>
                <w:u w:val="none"/>
                <w:lang w:val="en-US" w:eastAsia="zh-CN" w:bidi="ar"/>
              </w:rPr>
              <w:t>打造医疗健康领域人工智能融合创新应用场景</w:t>
            </w:r>
            <w:r>
              <w:rPr>
                <w:rFonts w:hint="eastAsia" w:ascii="仿宋_GB2312" w:hAnsi="Arial" w:eastAsia="仿宋_GB2312" w:cs="仿宋_GB2312"/>
                <w:i w:val="0"/>
                <w:iCs w:val="0"/>
                <w:color w:val="000000"/>
                <w:kern w:val="0"/>
                <w:sz w:val="24"/>
                <w:szCs w:val="24"/>
                <w:u w:val="none"/>
                <w:lang w:val="en-US" w:eastAsia="zh-CN" w:bidi="ar"/>
              </w:rPr>
              <w:t>的个数</w:t>
            </w:r>
          </w:p>
        </w:tc>
        <w:tc>
          <w:tcPr>
            <w:tcW w:w="1294" w:type="dxa"/>
            <w:tcBorders>
              <w:tl2br w:val="nil"/>
              <w:tr2bl w:val="nil"/>
            </w:tcBorders>
            <w:shd w:val="clear" w:color="auto" w:fill="auto"/>
            <w:vAlign w:val="center"/>
          </w:tcPr>
          <w:p w14:paraId="01F3FF96">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0个</w:t>
            </w:r>
          </w:p>
        </w:tc>
        <w:tc>
          <w:tcPr>
            <w:tcW w:w="1638" w:type="dxa"/>
            <w:tcBorders>
              <w:tl2br w:val="nil"/>
              <w:tr2bl w:val="nil"/>
            </w:tcBorders>
            <w:shd w:val="clear" w:color="auto" w:fill="auto"/>
            <w:vAlign w:val="center"/>
          </w:tcPr>
          <w:p w14:paraId="0C9C2A60">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3</w:t>
            </w:r>
            <w:r>
              <w:rPr>
                <w:rStyle w:val="35"/>
                <w:sz w:val="24"/>
                <w:szCs w:val="24"/>
                <w:lang w:val="en-US" w:eastAsia="zh-CN" w:bidi="ar"/>
              </w:rPr>
              <w:t>个</w:t>
            </w:r>
          </w:p>
        </w:tc>
        <w:tc>
          <w:tcPr>
            <w:tcW w:w="2024" w:type="dxa"/>
            <w:tcBorders>
              <w:tl2br w:val="nil"/>
              <w:tr2bl w:val="nil"/>
            </w:tcBorders>
            <w:shd w:val="clear" w:color="auto" w:fill="auto"/>
            <w:vAlign w:val="center"/>
          </w:tcPr>
          <w:p w14:paraId="3C259D03">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区卫生健康委</w:t>
            </w:r>
          </w:p>
        </w:tc>
        <w:tc>
          <w:tcPr>
            <w:tcW w:w="951" w:type="dxa"/>
            <w:tcBorders>
              <w:tl2br w:val="nil"/>
              <w:tr2bl w:val="nil"/>
            </w:tcBorders>
            <w:shd w:val="clear" w:color="auto" w:fill="auto"/>
            <w:vAlign w:val="center"/>
          </w:tcPr>
          <w:p w14:paraId="00C787AE">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4FDF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778" w:type="dxa"/>
            <w:tcBorders>
              <w:tl2br w:val="nil"/>
              <w:tr2bl w:val="nil"/>
            </w:tcBorders>
            <w:shd w:val="clear" w:color="auto" w:fill="auto"/>
            <w:vAlign w:val="center"/>
          </w:tcPr>
          <w:p w14:paraId="16B6A38C">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lang w:val="en-US"/>
              </w:rPr>
            </w:pPr>
            <w:r>
              <w:rPr>
                <w:rFonts w:hint="eastAsia" w:ascii="仿宋_GB2312" w:hAnsi="Arial" w:eastAsia="仿宋_GB2312" w:cs="仿宋_GB2312"/>
                <w:i w:val="0"/>
                <w:iCs w:val="0"/>
                <w:color w:val="000000"/>
                <w:kern w:val="0"/>
                <w:sz w:val="24"/>
                <w:szCs w:val="24"/>
                <w:u w:val="none"/>
                <w:lang w:val="en-US" w:eastAsia="zh-CN" w:bidi="ar"/>
              </w:rPr>
              <w:t>9</w:t>
            </w:r>
          </w:p>
        </w:tc>
        <w:tc>
          <w:tcPr>
            <w:tcW w:w="1508" w:type="dxa"/>
            <w:vMerge w:val="continue"/>
            <w:tcBorders>
              <w:tl2br w:val="nil"/>
              <w:tr2bl w:val="nil"/>
            </w:tcBorders>
            <w:shd w:val="clear" w:color="auto" w:fill="auto"/>
            <w:vAlign w:val="center"/>
          </w:tcPr>
          <w:p w14:paraId="088AE71B">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p>
        </w:tc>
        <w:tc>
          <w:tcPr>
            <w:tcW w:w="2431" w:type="dxa"/>
            <w:tcBorders>
              <w:tl2br w:val="nil"/>
              <w:tr2bl w:val="nil"/>
            </w:tcBorders>
            <w:shd w:val="clear" w:color="auto" w:fill="auto"/>
            <w:vAlign w:val="center"/>
          </w:tcPr>
          <w:p w14:paraId="4AC5103C">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智慧课堂覆盖率</w:t>
            </w:r>
          </w:p>
        </w:tc>
        <w:tc>
          <w:tcPr>
            <w:tcW w:w="3438" w:type="dxa"/>
            <w:tcBorders>
              <w:tl2br w:val="nil"/>
              <w:tr2bl w:val="nil"/>
            </w:tcBorders>
            <w:shd w:val="clear" w:color="auto" w:fill="auto"/>
            <w:vAlign w:val="center"/>
          </w:tcPr>
          <w:p w14:paraId="5495AFAC">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default" w:ascii="仿宋_GB2312" w:hAnsi="Arial" w:eastAsia="仿宋_GB2312" w:cs="仿宋_GB2312"/>
                <w:i w:val="0"/>
                <w:iCs w:val="0"/>
                <w:color w:val="000000"/>
                <w:kern w:val="0"/>
                <w:sz w:val="24"/>
                <w:szCs w:val="24"/>
                <w:u w:val="none"/>
                <w:lang w:val="en-US" w:eastAsia="zh-CN" w:bidi="ar"/>
              </w:rPr>
              <w:t>智慧课堂在全区中小学的</w:t>
            </w:r>
          </w:p>
          <w:p w14:paraId="14F58864">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覆盖率</w:t>
            </w:r>
          </w:p>
        </w:tc>
        <w:tc>
          <w:tcPr>
            <w:tcW w:w="1294" w:type="dxa"/>
            <w:tcBorders>
              <w:tl2br w:val="nil"/>
              <w:tr2bl w:val="nil"/>
            </w:tcBorders>
            <w:shd w:val="clear" w:color="auto" w:fill="auto"/>
            <w:vAlign w:val="center"/>
          </w:tcPr>
          <w:p w14:paraId="211AE38A">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71%</w:t>
            </w:r>
          </w:p>
        </w:tc>
        <w:tc>
          <w:tcPr>
            <w:tcW w:w="1638" w:type="dxa"/>
            <w:tcBorders>
              <w:tl2br w:val="nil"/>
              <w:tr2bl w:val="nil"/>
            </w:tcBorders>
            <w:shd w:val="clear" w:color="auto" w:fill="auto"/>
            <w:vAlign w:val="center"/>
          </w:tcPr>
          <w:p w14:paraId="33553D1D">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100%</w:t>
            </w:r>
          </w:p>
        </w:tc>
        <w:tc>
          <w:tcPr>
            <w:tcW w:w="2024" w:type="dxa"/>
            <w:tcBorders>
              <w:tl2br w:val="nil"/>
              <w:tr2bl w:val="nil"/>
            </w:tcBorders>
            <w:shd w:val="clear" w:color="auto" w:fill="auto"/>
            <w:vAlign w:val="center"/>
          </w:tcPr>
          <w:p w14:paraId="62F5D5FA">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区教委</w:t>
            </w:r>
          </w:p>
        </w:tc>
        <w:tc>
          <w:tcPr>
            <w:tcW w:w="951" w:type="dxa"/>
            <w:tcBorders>
              <w:tl2br w:val="nil"/>
              <w:tr2bl w:val="nil"/>
            </w:tcBorders>
            <w:shd w:val="clear" w:color="auto" w:fill="auto"/>
            <w:vAlign w:val="center"/>
          </w:tcPr>
          <w:p w14:paraId="7D4BB2D5">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sz w:val="24"/>
                <w:szCs w:val="24"/>
                <w:u w:val="none"/>
              </w:rPr>
            </w:pPr>
            <w:r>
              <w:rPr>
                <w:rFonts w:hint="default" w:ascii="仿宋_GB2312" w:hAnsi="Arial" w:eastAsia="仿宋_GB2312" w:cs="仿宋_GB2312"/>
                <w:i w:val="0"/>
                <w:iCs w:val="0"/>
                <w:color w:val="000000"/>
                <w:kern w:val="0"/>
                <w:sz w:val="24"/>
                <w:szCs w:val="24"/>
                <w:u w:val="none"/>
                <w:lang w:val="en-US" w:eastAsia="zh-CN" w:bidi="ar"/>
              </w:rPr>
              <w:t>预期性</w:t>
            </w:r>
          </w:p>
        </w:tc>
      </w:tr>
      <w:tr w14:paraId="3907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778" w:type="dxa"/>
            <w:tcBorders>
              <w:tl2br w:val="nil"/>
              <w:tr2bl w:val="nil"/>
            </w:tcBorders>
            <w:shd w:val="clear" w:color="auto" w:fill="auto"/>
            <w:vAlign w:val="center"/>
          </w:tcPr>
          <w:p w14:paraId="0B5B561A">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10</w:t>
            </w:r>
          </w:p>
        </w:tc>
        <w:tc>
          <w:tcPr>
            <w:tcW w:w="1508" w:type="dxa"/>
            <w:vMerge w:val="continue"/>
            <w:tcBorders>
              <w:tl2br w:val="nil"/>
              <w:tr2bl w:val="nil"/>
            </w:tcBorders>
            <w:shd w:val="clear" w:color="auto" w:fill="auto"/>
            <w:vAlign w:val="center"/>
          </w:tcPr>
          <w:p w14:paraId="46279D24">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p>
        </w:tc>
        <w:tc>
          <w:tcPr>
            <w:tcW w:w="2431" w:type="dxa"/>
            <w:tcBorders>
              <w:tl2br w:val="nil"/>
              <w:tr2bl w:val="nil"/>
            </w:tcBorders>
            <w:shd w:val="clear" w:color="auto" w:fill="auto"/>
            <w:vAlign w:val="center"/>
          </w:tcPr>
          <w:p w14:paraId="52C1BF82">
            <w:pPr>
              <w:keepNext w:val="0"/>
              <w:keepLines w:val="0"/>
              <w:pageBreakBefore w:val="0"/>
              <w:widowControl/>
              <w:suppressLineNumbers w:val="0"/>
              <w:kinsoku/>
              <w:wordWrap/>
              <w:autoSpaceDN/>
              <w:bidi w:val="0"/>
              <w:spacing w:beforeAutospacing="0" w:afterAutospacing="0" w:line="560" w:lineRule="exact"/>
              <w:jc w:val="center"/>
              <w:textAlignment w:val="center"/>
              <w:rPr>
                <w:rFonts w:hint="eastAsia"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接诉即办智能派单</w:t>
            </w:r>
          </w:p>
          <w:p w14:paraId="1DCD194A">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准确率</w:t>
            </w:r>
          </w:p>
        </w:tc>
        <w:tc>
          <w:tcPr>
            <w:tcW w:w="3438" w:type="dxa"/>
            <w:tcBorders>
              <w:tl2br w:val="nil"/>
              <w:tr2bl w:val="nil"/>
            </w:tcBorders>
            <w:shd w:val="clear" w:color="auto" w:fill="auto"/>
            <w:vAlign w:val="center"/>
          </w:tcPr>
          <w:p w14:paraId="089F1FDD">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default" w:ascii="仿宋_GB2312" w:hAnsi="Arial" w:eastAsia="仿宋_GB2312" w:cs="仿宋_GB2312"/>
                <w:i w:val="0"/>
                <w:iCs w:val="0"/>
                <w:color w:val="000000"/>
                <w:kern w:val="0"/>
                <w:sz w:val="24"/>
                <w:szCs w:val="24"/>
                <w:highlight w:val="none"/>
                <w:u w:val="none"/>
                <w:lang w:val="en-US" w:eastAsia="zh-CN" w:bidi="ar"/>
              </w:rPr>
              <w:t>智能派单</w:t>
            </w:r>
            <w:r>
              <w:rPr>
                <w:rFonts w:hint="eastAsia" w:ascii="仿宋_GB2312" w:hAnsi="Arial" w:eastAsia="仿宋_GB2312" w:cs="仿宋_GB2312"/>
                <w:i w:val="0"/>
                <w:iCs w:val="0"/>
                <w:color w:val="000000"/>
                <w:kern w:val="0"/>
                <w:sz w:val="24"/>
                <w:szCs w:val="24"/>
                <w:highlight w:val="none"/>
                <w:u w:val="none"/>
                <w:lang w:val="en-US" w:eastAsia="zh-CN" w:bidi="ar"/>
              </w:rPr>
              <w:t>一次性成功（未退单）</w:t>
            </w:r>
            <w:r>
              <w:rPr>
                <w:rFonts w:hint="default" w:ascii="仿宋_GB2312" w:hAnsi="Arial" w:eastAsia="仿宋_GB2312" w:cs="仿宋_GB2312"/>
                <w:i w:val="0"/>
                <w:iCs w:val="0"/>
                <w:color w:val="000000"/>
                <w:kern w:val="0"/>
                <w:sz w:val="24"/>
                <w:szCs w:val="24"/>
                <w:highlight w:val="none"/>
                <w:u w:val="none"/>
                <w:lang w:val="en-US" w:eastAsia="zh-CN" w:bidi="ar"/>
              </w:rPr>
              <w:t>工单数</w:t>
            </w:r>
            <w:r>
              <w:rPr>
                <w:rFonts w:hint="eastAsia" w:ascii="仿宋_GB2312" w:hAnsi="Arial" w:eastAsia="仿宋_GB2312" w:cs="仿宋_GB2312"/>
                <w:i w:val="0"/>
                <w:iCs w:val="0"/>
                <w:color w:val="000000"/>
                <w:kern w:val="0"/>
                <w:sz w:val="24"/>
                <w:szCs w:val="24"/>
                <w:highlight w:val="none"/>
                <w:u w:val="none"/>
                <w:lang w:val="en-US" w:eastAsia="zh-CN" w:bidi="ar"/>
              </w:rPr>
              <w:t>占</w:t>
            </w:r>
            <w:r>
              <w:rPr>
                <w:rFonts w:hint="default" w:ascii="仿宋_GB2312" w:hAnsi="Arial" w:eastAsia="仿宋_GB2312" w:cs="仿宋_GB2312"/>
                <w:i w:val="0"/>
                <w:iCs w:val="0"/>
                <w:color w:val="000000"/>
                <w:kern w:val="0"/>
                <w:sz w:val="24"/>
                <w:szCs w:val="24"/>
                <w:highlight w:val="none"/>
                <w:u w:val="none"/>
                <w:lang w:val="en-US" w:eastAsia="zh-CN" w:bidi="ar"/>
              </w:rPr>
              <w:t>同期总派单工单数</w:t>
            </w:r>
            <w:r>
              <w:rPr>
                <w:rFonts w:hint="eastAsia" w:ascii="仿宋_GB2312" w:hAnsi="Arial" w:eastAsia="仿宋_GB2312" w:cs="仿宋_GB2312"/>
                <w:i w:val="0"/>
                <w:iCs w:val="0"/>
                <w:color w:val="000000"/>
                <w:kern w:val="0"/>
                <w:sz w:val="24"/>
                <w:szCs w:val="24"/>
                <w:highlight w:val="none"/>
                <w:u w:val="none"/>
                <w:lang w:val="en-US" w:eastAsia="zh-CN" w:bidi="ar"/>
              </w:rPr>
              <w:t>的比例</w:t>
            </w:r>
          </w:p>
        </w:tc>
        <w:tc>
          <w:tcPr>
            <w:tcW w:w="1294" w:type="dxa"/>
            <w:tcBorders>
              <w:tl2br w:val="nil"/>
              <w:tr2bl w:val="nil"/>
            </w:tcBorders>
            <w:shd w:val="clear" w:color="auto" w:fill="auto"/>
            <w:vAlign w:val="center"/>
          </w:tcPr>
          <w:p w14:paraId="1C6CE253">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Arial" w:hAnsi="Arial" w:eastAsia="宋体" w:cs="Arial"/>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1638" w:type="dxa"/>
            <w:tcBorders>
              <w:tl2br w:val="nil"/>
              <w:tr2bl w:val="nil"/>
            </w:tcBorders>
            <w:shd w:val="clear" w:color="auto" w:fill="auto"/>
            <w:vAlign w:val="center"/>
          </w:tcPr>
          <w:p w14:paraId="4BECDE13">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default" w:ascii="Arial" w:hAnsi="Arial" w:eastAsia="宋体" w:cs="Arial"/>
                <w:i w:val="0"/>
                <w:iCs w:val="0"/>
                <w:color w:val="000000"/>
                <w:kern w:val="0"/>
                <w:sz w:val="24"/>
                <w:szCs w:val="24"/>
                <w:u w:val="none"/>
                <w:lang w:val="en-US" w:eastAsia="zh-CN" w:bidi="ar"/>
              </w:rPr>
              <w:t>≥</w:t>
            </w:r>
            <w:r>
              <w:rPr>
                <w:rFonts w:hint="eastAsia" w:ascii="仿宋_GB2312" w:hAnsi="Arial" w:eastAsia="仿宋_GB2312" w:cs="仿宋_GB2312"/>
                <w:i w:val="0"/>
                <w:iCs w:val="0"/>
                <w:color w:val="000000"/>
                <w:kern w:val="0"/>
                <w:sz w:val="24"/>
                <w:szCs w:val="24"/>
                <w:u w:val="none"/>
                <w:lang w:val="en-US" w:eastAsia="zh-CN" w:bidi="ar"/>
              </w:rPr>
              <w:t>90%</w:t>
            </w:r>
          </w:p>
        </w:tc>
        <w:tc>
          <w:tcPr>
            <w:tcW w:w="2024" w:type="dxa"/>
            <w:tcBorders>
              <w:tl2br w:val="nil"/>
              <w:tr2bl w:val="nil"/>
            </w:tcBorders>
            <w:shd w:val="clear" w:color="auto" w:fill="auto"/>
            <w:vAlign w:val="center"/>
          </w:tcPr>
          <w:p w14:paraId="537C15D6">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区城指中心</w:t>
            </w:r>
          </w:p>
        </w:tc>
        <w:tc>
          <w:tcPr>
            <w:tcW w:w="951" w:type="dxa"/>
            <w:tcBorders>
              <w:tl2br w:val="nil"/>
              <w:tr2bl w:val="nil"/>
            </w:tcBorders>
            <w:shd w:val="clear" w:color="auto" w:fill="auto"/>
            <w:vAlign w:val="center"/>
          </w:tcPr>
          <w:p w14:paraId="67C52302">
            <w:pPr>
              <w:keepNext w:val="0"/>
              <w:keepLines w:val="0"/>
              <w:pageBreakBefore w:val="0"/>
              <w:widowControl/>
              <w:suppressLineNumbers w:val="0"/>
              <w:kinsoku/>
              <w:wordWrap/>
              <w:autoSpaceDN/>
              <w:bidi w:val="0"/>
              <w:spacing w:beforeAutospacing="0" w:afterAutospacing="0" w:line="560" w:lineRule="exact"/>
              <w:jc w:val="center"/>
              <w:textAlignment w:val="center"/>
              <w:rPr>
                <w:rFonts w:hint="default" w:ascii="仿宋_GB2312" w:hAnsi="Arial" w:eastAsia="仿宋_GB2312" w:cs="仿宋_GB2312"/>
                <w:i w:val="0"/>
                <w:iCs w:val="0"/>
                <w:color w:val="000000"/>
                <w:kern w:val="0"/>
                <w:sz w:val="24"/>
                <w:szCs w:val="24"/>
                <w:u w:val="none"/>
                <w:lang w:val="en-US" w:eastAsia="zh-CN" w:bidi="ar"/>
              </w:rPr>
            </w:pPr>
            <w:r>
              <w:rPr>
                <w:rFonts w:hint="eastAsia" w:ascii="仿宋_GB2312" w:hAnsi="Arial" w:eastAsia="仿宋_GB2312" w:cs="仿宋_GB2312"/>
                <w:i w:val="0"/>
                <w:iCs w:val="0"/>
                <w:color w:val="000000"/>
                <w:kern w:val="0"/>
                <w:sz w:val="24"/>
                <w:szCs w:val="24"/>
                <w:u w:val="none"/>
                <w:lang w:val="en-US" w:eastAsia="zh-CN" w:bidi="ar"/>
              </w:rPr>
              <w:t>预期性</w:t>
            </w:r>
          </w:p>
        </w:tc>
      </w:tr>
    </w:tbl>
    <w:p w14:paraId="2EAEA04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textAlignment w:val="auto"/>
        <w:outlineLvl w:val="9"/>
        <w:rPr>
          <w:rFonts w:hint="eastAsia" w:ascii="黑体" w:hAnsi="黑体" w:eastAsia="黑体" w:cs="黑体"/>
          <w:kern w:val="2"/>
          <w:sz w:val="32"/>
          <w:szCs w:val="32"/>
          <w:lang w:val="en-US" w:eastAsia="zh-CN" w:bidi="ar-SA"/>
        </w:rPr>
      </w:pPr>
    </w:p>
    <w:p w14:paraId="0EC4D5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p>
    <w:p w14:paraId="565C775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p>
    <w:p w14:paraId="723A121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p>
    <w:p w14:paraId="01ABD7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p>
    <w:p w14:paraId="40182E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p>
    <w:p w14:paraId="573B3A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eastAsia" w:ascii="楷体_GB2312" w:hAnsi="楷体_GB2312" w:eastAsia="楷体_GB2312" w:cs="楷体_GB2312"/>
          <w:b w:val="0"/>
          <w:bCs w:val="0"/>
          <w:sz w:val="32"/>
          <w:szCs w:val="32"/>
          <w:lang w:val="en-US" w:eastAsia="zh-CN"/>
        </w:rPr>
        <w:sectPr>
          <w:pgSz w:w="16838" w:h="11906" w:orient="landscape"/>
          <w:pgMar w:top="1587" w:right="2098" w:bottom="1474" w:left="1984" w:header="851" w:footer="992" w:gutter="0"/>
          <w:paperSrc/>
          <w:pgBorders>
            <w:top w:val="none" w:sz="0" w:space="0"/>
            <w:left w:val="none" w:sz="0" w:space="0"/>
            <w:bottom w:val="none" w:sz="0" w:space="0"/>
            <w:right w:val="none" w:sz="0" w:space="0"/>
          </w:pgBorders>
          <w:pgNumType w:fmt="decimal"/>
          <w:cols w:space="0" w:num="1"/>
          <w:rtlGutter w:val="0"/>
          <w:docGrid w:type="lines" w:linePitch="312" w:charSpace="0"/>
        </w:sectPr>
      </w:pPr>
      <w:bookmarkStart w:id="11" w:name="_Toc1396584768"/>
    </w:p>
    <w:p w14:paraId="7237DF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（二）总体框架</w:t>
      </w:r>
      <w:bookmarkEnd w:id="11"/>
    </w:p>
    <w:p w14:paraId="748738C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“十五五”期间</w:t>
      </w:r>
      <w:r>
        <w:rPr>
          <w:rFonts w:hint="eastAsia" w:ascii="仿宋_GB2312" w:hAnsi="仿宋_GB2312" w:eastAsia="仿宋_GB2312" w:cs="仿宋_GB2312"/>
          <w:sz w:val="32"/>
          <w:szCs w:val="32"/>
          <w:lang w:val="en-US" w:eastAsia="zh-CN"/>
        </w:rPr>
        <w:t>，大兴</w:t>
      </w:r>
      <w:r>
        <w:rPr>
          <w:rFonts w:hint="default"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eastAsia="zh-CN"/>
        </w:rPr>
        <w:t>基于数字中国的总体架构，融合市级智慧城市“33321”工作体系</w:t>
      </w:r>
      <w:r>
        <w:rPr>
          <w:rStyle w:val="27"/>
          <w:rFonts w:hint="eastAsia" w:ascii="仿宋_GB2312" w:hAnsi="仿宋_GB2312" w:eastAsia="仿宋_GB2312" w:cs="仿宋_GB2312"/>
          <w:sz w:val="32"/>
          <w:szCs w:val="32"/>
          <w:lang w:val="en-US" w:eastAsia="zh-CN"/>
        </w:rPr>
        <w:footnoteReference w:id="1"/>
      </w:r>
      <w:r>
        <w:rPr>
          <w:rFonts w:hint="eastAsia" w:ascii="仿宋_GB2312" w:hAnsi="仿宋_GB2312" w:eastAsia="仿宋_GB2312" w:cs="仿宋_GB2312"/>
          <w:sz w:val="32"/>
          <w:szCs w:val="32"/>
          <w:lang w:val="en-US" w:eastAsia="zh-CN"/>
        </w:rPr>
        <w:t>及数据要素综合试验区“243”建设框架</w:t>
      </w:r>
      <w:r>
        <w:rPr>
          <w:rStyle w:val="27"/>
          <w:rFonts w:hint="eastAsia" w:ascii="仿宋_GB2312" w:hAnsi="仿宋_GB2312" w:eastAsia="仿宋_GB2312" w:cs="仿宋_GB2312"/>
          <w:sz w:val="32"/>
          <w:szCs w:val="32"/>
          <w:lang w:val="en-US" w:eastAsia="zh-CN"/>
        </w:rPr>
        <w:footnoteReference w:id="2"/>
      </w:r>
      <w:r>
        <w:rPr>
          <w:rFonts w:hint="eastAsia" w:ascii="仿宋_GB2312" w:hAnsi="仿宋_GB2312" w:eastAsia="仿宋_GB2312" w:cs="仿宋_GB2312"/>
          <w:sz w:val="32"/>
          <w:szCs w:val="32"/>
          <w:lang w:val="en-US" w:eastAsia="zh-CN"/>
        </w:rPr>
        <w:t>，结合区域发展特色，</w:t>
      </w:r>
      <w:r>
        <w:rPr>
          <w:rFonts w:hint="default" w:ascii="仿宋_GB2312" w:hAnsi="仿宋_GB2312" w:eastAsia="仿宋_GB2312" w:cs="仿宋_GB2312"/>
          <w:sz w:val="32"/>
          <w:szCs w:val="32"/>
          <w:lang w:val="en-US" w:eastAsia="zh-CN"/>
        </w:rPr>
        <w:t>建立“1</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232”市区协同</w:t>
      </w:r>
      <w:r>
        <w:rPr>
          <w:rFonts w:hint="eastAsia"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val="en-US" w:eastAsia="zh-CN"/>
        </w:rPr>
        <w:t>智慧城市总体框架：</w:t>
      </w:r>
      <w:bookmarkStart w:id="32" w:name="_GoBack"/>
      <w:bookmarkEnd w:id="32"/>
    </w:p>
    <w:p w14:paraId="34E9B7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drawing>
          <wp:inline distT="0" distB="0" distL="114300" distR="114300">
            <wp:extent cx="5268595" cy="2553335"/>
            <wp:effectExtent l="0" t="0" r="0" b="6985"/>
            <wp:docPr id="6" name="图片 6" descr="总体框架图-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总体框架图-0810"/>
                    <pic:cNvPicPr>
                      <a:picLocks noChangeAspect="1"/>
                    </pic:cNvPicPr>
                  </pic:nvPicPr>
                  <pic:blipFill>
                    <a:blip r:embed="rId9"/>
                    <a:stretch>
                      <a:fillRect/>
                    </a:stretch>
                  </pic:blipFill>
                  <pic:spPr>
                    <a:xfrm>
                      <a:off x="0" y="0"/>
                      <a:ext cx="5268595" cy="2553335"/>
                    </a:xfrm>
                    <a:prstGeom prst="rect">
                      <a:avLst/>
                    </a:prstGeom>
                  </pic:spPr>
                </pic:pic>
              </a:graphicData>
            </a:graphic>
          </wp:inline>
        </w:drawing>
      </w:r>
    </w:p>
    <w:p w14:paraId="3CD0C6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outlineLvl w:val="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图1  北京市大兴区“十五五”时期数智大兴发展规划总体框架图</w:t>
      </w:r>
    </w:p>
    <w:p w14:paraId="6C416B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即</w:t>
      </w:r>
      <w:r>
        <w:rPr>
          <w:rFonts w:hint="eastAsia" w:ascii="仿宋_GB2312" w:hAnsi="仿宋_GB2312" w:eastAsia="仿宋_GB2312" w:cs="仿宋_GB2312"/>
          <w:sz w:val="32"/>
          <w:szCs w:val="32"/>
          <w:lang w:val="en-US" w:eastAsia="zh-CN"/>
        </w:rPr>
        <w:t>深化市区一体化格局：充分利用</w:t>
      </w:r>
      <w:r>
        <w:rPr>
          <w:rFonts w:hint="default" w:ascii="仿宋_GB2312" w:hAnsi="仿宋_GB2312" w:eastAsia="仿宋_GB2312" w:cs="仿宋_GB2312"/>
          <w:sz w:val="32"/>
          <w:szCs w:val="32"/>
          <w:lang w:val="en-US" w:eastAsia="zh-CN"/>
        </w:rPr>
        <w:t>市级共性能力体系</w:t>
      </w:r>
      <w:r>
        <w:rPr>
          <w:rFonts w:hint="eastAsia" w:ascii="仿宋_GB2312" w:hAnsi="仿宋_GB2312" w:eastAsia="仿宋_GB2312" w:cs="仿宋_GB2312"/>
          <w:sz w:val="32"/>
          <w:szCs w:val="32"/>
          <w:lang w:val="en-US" w:eastAsia="zh-CN"/>
        </w:rPr>
        <w:t>与</w:t>
      </w:r>
      <w:r>
        <w:rPr>
          <w:rFonts w:hint="default" w:ascii="仿宋_GB2312" w:hAnsi="仿宋_GB2312" w:eastAsia="仿宋_GB2312" w:cs="仿宋_GB2312"/>
          <w:sz w:val="32"/>
          <w:szCs w:val="32"/>
          <w:lang w:val="en-US" w:eastAsia="zh-CN"/>
        </w:rPr>
        <w:t>高效协同</w:t>
      </w:r>
      <w:r>
        <w:rPr>
          <w:rFonts w:hint="eastAsia" w:ascii="仿宋_GB2312" w:hAnsi="仿宋_GB2312" w:eastAsia="仿宋_GB2312" w:cs="仿宋_GB2312"/>
          <w:sz w:val="32"/>
          <w:szCs w:val="32"/>
          <w:lang w:val="en-US" w:eastAsia="zh-CN"/>
        </w:rPr>
        <w:t>重点行业领域，</w:t>
      </w:r>
      <w:r>
        <w:rPr>
          <w:rFonts w:hint="default" w:ascii="仿宋_GB2312" w:hAnsi="仿宋_GB2312" w:eastAsia="仿宋_GB2312" w:cs="仿宋_GB2312"/>
          <w:sz w:val="32"/>
          <w:szCs w:val="32"/>
          <w:lang w:val="en-US" w:eastAsia="zh-CN"/>
        </w:rPr>
        <w:t>功能复用市级</w:t>
      </w:r>
      <w:r>
        <w:rPr>
          <w:rFonts w:hint="eastAsia" w:ascii="仿宋_GB2312" w:hAnsi="仿宋_GB2312" w:eastAsia="仿宋_GB2312" w:cs="仿宋_GB2312"/>
          <w:sz w:val="32"/>
          <w:szCs w:val="32"/>
          <w:lang w:val="en-US" w:eastAsia="zh-CN"/>
        </w:rPr>
        <w:t>智慧城市共性基础平台、数据流通利用基础设施及政务大模型共性基础平台能力；</w:t>
      </w:r>
      <w:r>
        <w:rPr>
          <w:rFonts w:hint="default" w:ascii="仿宋_GB2312" w:hAnsi="仿宋_GB2312" w:eastAsia="仿宋_GB2312" w:cs="仿宋_GB2312"/>
          <w:sz w:val="32"/>
          <w:szCs w:val="32"/>
          <w:lang w:val="en-US" w:eastAsia="zh-CN"/>
        </w:rPr>
        <w:t>全面对接“京通、京办、京智”市级统一入口</w:t>
      </w:r>
      <w:r>
        <w:rPr>
          <w:rFonts w:hint="eastAsia" w:ascii="仿宋_GB2312" w:hAnsi="仿宋_GB2312" w:eastAsia="仿宋_GB2312" w:cs="仿宋_GB2312"/>
          <w:sz w:val="32"/>
          <w:szCs w:val="32"/>
          <w:lang w:val="en-US" w:eastAsia="zh-CN"/>
        </w:rPr>
        <w:t>，并充分利用“三京”AI功能提升区级应用智能化水平；加强政务服务、教育教学、医疗健康、城市管理、文化旅游、应急管理等行业领域的市区两级业务联动和垂直衔接。</w:t>
      </w:r>
    </w:p>
    <w:p w14:paraId="197716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“232”即构建</w:t>
      </w:r>
      <w:r>
        <w:rPr>
          <w:rFonts w:hint="default" w:ascii="仿宋_GB2312" w:hAnsi="仿宋_GB2312" w:eastAsia="仿宋_GB2312" w:cs="仿宋_GB2312"/>
          <w:sz w:val="32"/>
          <w:szCs w:val="32"/>
          <w:lang w:val="en-US" w:eastAsia="zh-CN"/>
        </w:rPr>
        <w:t>区级特色智慧城市架构体系：夯实数智基础设施</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数据</w:t>
      </w:r>
      <w:r>
        <w:rPr>
          <w:rFonts w:hint="eastAsia" w:ascii="仿宋_GB2312" w:hAnsi="仿宋_GB2312" w:eastAsia="仿宋_GB2312" w:cs="仿宋_GB2312"/>
          <w:sz w:val="32"/>
          <w:szCs w:val="32"/>
          <w:lang w:val="en-US" w:eastAsia="zh-CN"/>
        </w:rPr>
        <w:t>要素赋能</w:t>
      </w:r>
      <w:r>
        <w:rPr>
          <w:rFonts w:hint="default" w:ascii="仿宋_GB2312" w:hAnsi="仿宋_GB2312" w:eastAsia="仿宋_GB2312" w:cs="仿宋_GB2312"/>
          <w:sz w:val="32"/>
          <w:szCs w:val="32"/>
          <w:lang w:val="en-US" w:eastAsia="zh-CN"/>
        </w:rPr>
        <w:t>体系2个基础；将数据要素和人工智能深度</w:t>
      </w:r>
      <w:r>
        <w:rPr>
          <w:rFonts w:hint="eastAsia" w:ascii="仿宋_GB2312" w:hAnsi="仿宋_GB2312" w:eastAsia="仿宋_GB2312" w:cs="仿宋_GB2312"/>
          <w:sz w:val="32"/>
          <w:szCs w:val="32"/>
          <w:lang w:val="en-US" w:eastAsia="zh-CN"/>
        </w:rPr>
        <w:t>赋能</w:t>
      </w:r>
      <w:r>
        <w:rPr>
          <w:rFonts w:hint="default" w:ascii="仿宋_GB2312" w:hAnsi="仿宋_GB2312" w:eastAsia="仿宋_GB2312" w:cs="仿宋_GB2312"/>
          <w:sz w:val="32"/>
          <w:szCs w:val="32"/>
          <w:lang w:val="en-US" w:eastAsia="zh-CN"/>
        </w:rPr>
        <w:t>公共服务、城市治理、产业发展3大类应用领域；</w:t>
      </w:r>
      <w:r>
        <w:rPr>
          <w:rFonts w:hint="eastAsia" w:ascii="仿宋_GB2312" w:hAnsi="仿宋_GB2312" w:eastAsia="仿宋_GB2312" w:cs="仿宋_GB2312"/>
          <w:sz w:val="32"/>
          <w:szCs w:val="32"/>
          <w:lang w:val="en-US" w:eastAsia="zh-CN"/>
        </w:rPr>
        <w:t>在市级制度标准框架下，完善区级适数化制度</w:t>
      </w:r>
      <w:r>
        <w:rPr>
          <w:rFonts w:hint="default" w:ascii="仿宋_GB2312" w:hAnsi="仿宋_GB2312" w:eastAsia="仿宋_GB2312" w:cs="仿宋_GB2312"/>
          <w:sz w:val="32"/>
          <w:szCs w:val="32"/>
          <w:lang w:val="en-US" w:eastAsia="zh-CN"/>
        </w:rPr>
        <w:t>和安全</w:t>
      </w:r>
      <w:r>
        <w:rPr>
          <w:rFonts w:hint="eastAsia" w:ascii="仿宋_GB2312" w:hAnsi="仿宋_GB2312" w:eastAsia="仿宋_GB2312" w:cs="仿宋_GB2312"/>
          <w:sz w:val="32"/>
          <w:szCs w:val="32"/>
          <w:lang w:val="en-US" w:eastAsia="zh-CN"/>
        </w:rPr>
        <w:t>保障</w:t>
      </w:r>
      <w:r>
        <w:rPr>
          <w:rFonts w:hint="default"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lang w:val="en-US" w:eastAsia="zh-CN"/>
        </w:rPr>
        <w:t>体系。</w:t>
      </w:r>
    </w:p>
    <w:p w14:paraId="5738D631">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黑体"/>
          <w:b w:val="0"/>
          <w:bCs w:val="0"/>
          <w:sz w:val="32"/>
          <w:szCs w:val="32"/>
          <w:lang w:val="en-US" w:eastAsia="zh-CN"/>
        </w:rPr>
      </w:pPr>
      <w:bookmarkStart w:id="12" w:name="_Toc724039095"/>
      <w:r>
        <w:rPr>
          <w:rFonts w:hint="eastAsia" w:ascii="黑体" w:hAnsi="黑体" w:eastAsia="黑体" w:cs="黑体"/>
          <w:b w:val="0"/>
          <w:bCs w:val="0"/>
          <w:sz w:val="32"/>
          <w:szCs w:val="32"/>
          <w:lang w:val="en-US" w:eastAsia="zh-CN"/>
        </w:rPr>
        <w:t>主要任务</w:t>
      </w:r>
      <w:bookmarkEnd w:id="12"/>
    </w:p>
    <w:p w14:paraId="287017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bCs/>
          <w:color w:val="C00000"/>
          <w:sz w:val="32"/>
          <w:szCs w:val="32"/>
          <w:lang w:val="en-US" w:eastAsia="zh-CN"/>
        </w:rPr>
      </w:pPr>
      <w:bookmarkStart w:id="13" w:name="_Toc4884"/>
      <w:bookmarkStart w:id="14" w:name="_Toc1282725763"/>
      <w:r>
        <w:rPr>
          <w:rFonts w:hint="eastAsia" w:ascii="楷体_GB2312" w:hAnsi="楷体_GB2312" w:eastAsia="楷体_GB2312" w:cs="楷体_GB2312"/>
          <w:b w:val="0"/>
          <w:bCs w:val="0"/>
          <w:sz w:val="32"/>
          <w:szCs w:val="32"/>
          <w:lang w:val="en-US" w:eastAsia="zh-CN"/>
        </w:rPr>
        <w:t>（一）完善数智基础设施布局，巩固智慧城市</w:t>
      </w:r>
      <w:bookmarkEnd w:id="13"/>
      <w:bookmarkEnd w:id="14"/>
      <w:r>
        <w:rPr>
          <w:rFonts w:hint="eastAsia" w:ascii="楷体_GB2312" w:hAnsi="楷体_GB2312" w:eastAsia="楷体_GB2312" w:cs="楷体_GB2312"/>
          <w:b w:val="0"/>
          <w:bCs w:val="0"/>
          <w:sz w:val="32"/>
          <w:szCs w:val="32"/>
          <w:lang w:val="en-US" w:eastAsia="zh-CN"/>
        </w:rPr>
        <w:t>支撑底座</w:t>
      </w:r>
    </w:p>
    <w:p w14:paraId="534B0A9D">
      <w:pPr>
        <w:keepNext w:val="0"/>
        <w:keepLines w:val="0"/>
        <w:pageBreakBefore w:val="0"/>
        <w:widowControl/>
        <w:numPr>
          <w:ilvl w:val="-1"/>
          <w:numId w:val="0"/>
        </w:numPr>
        <w:kinsoku/>
        <w:wordWrap/>
        <w:overflowPunct/>
        <w:topLinePunct w:val="0"/>
        <w:autoSpaceDE/>
        <w:autoSpaceDN/>
        <w:bidi w:val="0"/>
        <w:adjustRightInd/>
        <w:snapToGrid/>
        <w:spacing w:before="0" w:beforeAutospacing="0" w:afterAutospacing="0" w:line="560" w:lineRule="exact"/>
        <w:ind w:left="1" w:leftChars="0" w:right="89" w:firstLine="684" w:firstLine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基于市级智慧城市共性基础平台能力，搭建区级算网贯通、模型统管、感图融合、数据融通的一体化底座，筑牢数智大兴发展根基。</w:t>
      </w:r>
    </w:p>
    <w:p w14:paraId="4B92B7E5">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促进数字底座智能升级</w:t>
      </w:r>
    </w:p>
    <w:p w14:paraId="6C67C8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highlight w:val="yellow"/>
          <w:lang w:val="en-US" w:eastAsia="zh-CN"/>
        </w:rPr>
      </w:pPr>
      <w:r>
        <w:rPr>
          <w:rFonts w:hint="default" w:ascii="仿宋_GB2312" w:hAnsi="仿宋_GB2312" w:eastAsia="仿宋_GB2312" w:cs="仿宋_GB2312"/>
          <w:sz w:val="32"/>
          <w:szCs w:val="32"/>
          <w:lang w:val="en-US" w:eastAsia="zh-CN"/>
        </w:rPr>
        <w:t>持续深化5G网络建设，</w:t>
      </w:r>
      <w:r>
        <w:rPr>
          <w:rFonts w:hint="eastAsia" w:ascii="仿宋_GB2312" w:hAnsi="仿宋_GB2312" w:eastAsia="仿宋_GB2312" w:cs="仿宋_GB2312"/>
          <w:sz w:val="32"/>
          <w:szCs w:val="32"/>
          <w:lang w:val="en-US" w:eastAsia="zh-CN"/>
        </w:rPr>
        <w:t>加速推进5G-A应用部署，推动万兆光网建设与应用推广，全面</w:t>
      </w:r>
      <w:r>
        <w:rPr>
          <w:rFonts w:hint="eastAsia" w:ascii="仿宋_GB2312" w:hAnsi="仿宋_GB2312" w:eastAsia="仿宋_GB2312" w:cs="仿宋_GB2312"/>
          <w:sz w:val="32"/>
          <w:szCs w:val="32"/>
          <w:highlight w:val="none"/>
          <w:lang w:val="en-US" w:eastAsia="zh-CN"/>
        </w:rPr>
        <w:t>推进</w:t>
      </w:r>
      <w:r>
        <w:rPr>
          <w:rFonts w:hint="eastAsia" w:ascii="仿宋_GB2312" w:hAnsi="仿宋_GB2312" w:eastAsia="仿宋_GB2312" w:cs="仿宋_GB2312"/>
          <w:sz w:val="32"/>
          <w:szCs w:val="32"/>
          <w:lang w:val="en-US" w:eastAsia="zh-CN"/>
        </w:rPr>
        <w:t>互联网协议第六版（</w:t>
      </w:r>
      <w:r>
        <w:rPr>
          <w:rFonts w:hint="eastAsia" w:ascii="仿宋_GB2312" w:hAnsi="仿宋_GB2312" w:eastAsia="仿宋_GB2312" w:cs="仿宋_GB2312"/>
          <w:sz w:val="32"/>
          <w:szCs w:val="32"/>
          <w:highlight w:val="none"/>
          <w:lang w:val="en-US" w:eastAsia="zh-CN"/>
        </w:rPr>
        <w:t>IPv6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升级改造与部署应用。</w:t>
      </w:r>
      <w:r>
        <w:rPr>
          <w:rFonts w:hint="eastAsia" w:ascii="仿宋_GB2312" w:hAnsi="仿宋_GB2312" w:eastAsia="仿宋_GB2312" w:cs="仿宋_GB2312"/>
          <w:sz w:val="32"/>
          <w:szCs w:val="32"/>
          <w:lang w:val="en-US" w:eastAsia="zh-CN"/>
        </w:rPr>
        <w:t>推进信创政务云建设扩容，优化升级大兴区“健康云”“教育云”。</w:t>
      </w:r>
      <w:r>
        <w:rPr>
          <w:rFonts w:hint="default" w:ascii="仿宋_GB2312" w:hAnsi="仿宋_GB2312" w:eastAsia="仿宋_GB2312" w:cs="仿宋_GB2312"/>
          <w:sz w:val="32"/>
          <w:szCs w:val="32"/>
          <w:lang w:val="en-US" w:eastAsia="zh-CN"/>
        </w:rPr>
        <w:t>基于市级政务算力资源统筹</w:t>
      </w:r>
      <w:r>
        <w:rPr>
          <w:rFonts w:hint="eastAsia" w:ascii="仿宋_GB2312" w:hAnsi="仿宋_GB2312" w:eastAsia="仿宋_GB2312" w:cs="仿宋_GB2312"/>
          <w:sz w:val="32"/>
          <w:szCs w:val="32"/>
          <w:lang w:val="en-US" w:eastAsia="zh-CN"/>
        </w:rPr>
        <w:t>规划，按需</w:t>
      </w:r>
      <w:r>
        <w:rPr>
          <w:rFonts w:hint="default" w:ascii="仿宋_GB2312" w:hAnsi="仿宋_GB2312" w:eastAsia="仿宋_GB2312" w:cs="仿宋_GB2312"/>
          <w:sz w:val="32"/>
          <w:szCs w:val="32"/>
          <w:lang w:val="en-US" w:eastAsia="zh-CN"/>
        </w:rPr>
        <w:t>扩展区级政务云</w:t>
      </w:r>
      <w:r>
        <w:rPr>
          <w:rFonts w:hint="eastAsia" w:ascii="仿宋_GB2312" w:hAnsi="仿宋_GB2312" w:eastAsia="仿宋_GB2312" w:cs="仿宋_GB2312"/>
          <w:sz w:val="32"/>
          <w:szCs w:val="32"/>
          <w:lang w:val="en-US" w:eastAsia="zh-CN"/>
        </w:rPr>
        <w:t>智算能</w:t>
      </w:r>
      <w:r>
        <w:rPr>
          <w:rFonts w:hint="default" w:ascii="仿宋_GB2312" w:hAnsi="仿宋_GB2312" w:eastAsia="仿宋_GB2312" w:cs="仿宋_GB2312"/>
          <w:sz w:val="32"/>
          <w:szCs w:val="32"/>
          <w:lang w:val="en-US" w:eastAsia="zh-CN"/>
        </w:rPr>
        <w:t>力。</w:t>
      </w:r>
      <w:r>
        <w:rPr>
          <w:rFonts w:hint="default" w:ascii="仿宋_GB2312" w:hAnsi="仿宋_GB2312" w:eastAsia="仿宋_GB2312" w:cs="仿宋_GB2312"/>
          <w:sz w:val="32"/>
          <w:szCs w:val="32"/>
          <w:highlight w:val="none"/>
          <w:lang w:val="en-US" w:eastAsia="zh-CN"/>
        </w:rPr>
        <w:t>充分依托市级政务大模型共性基础平台，搭建区级模型管理</w:t>
      </w:r>
      <w:r>
        <w:rPr>
          <w:rFonts w:hint="eastAsia" w:ascii="仿宋_GB2312" w:hAnsi="仿宋_GB2312" w:eastAsia="仿宋_GB2312" w:cs="仿宋_GB2312"/>
          <w:sz w:val="32"/>
          <w:szCs w:val="32"/>
          <w:highlight w:val="none"/>
          <w:lang w:val="en-US" w:eastAsia="zh-CN"/>
        </w:rPr>
        <w:t>体系</w:t>
      </w:r>
      <w:r>
        <w:rPr>
          <w:rFonts w:hint="default" w:ascii="仿宋_GB2312" w:hAnsi="仿宋_GB2312" w:eastAsia="仿宋_GB2312" w:cs="仿宋_GB2312"/>
          <w:sz w:val="32"/>
          <w:szCs w:val="32"/>
          <w:highlight w:val="none"/>
          <w:lang w:val="en-US" w:eastAsia="zh-CN"/>
        </w:rPr>
        <w:t>，实现区级政务领域大模型与智能体的统一纳管、统筹调度与个性化服务支撑。</w:t>
      </w:r>
      <w:r>
        <w:rPr>
          <w:rFonts w:hint="eastAsia" w:ascii="仿宋_GB2312" w:hAnsi="仿宋_GB2312" w:eastAsia="仿宋_GB2312" w:cs="仿宋_GB2312"/>
          <w:sz w:val="32"/>
          <w:szCs w:val="32"/>
          <w:lang w:val="en-US" w:eastAsia="zh-CN"/>
        </w:rPr>
        <w:t>进一步加强感知设施补点和智能化升级，优化“感知一张图”，实现城市感知“</w:t>
      </w:r>
      <w:r>
        <w:rPr>
          <w:rFonts w:hint="eastAsia" w:ascii="仿宋_GB2312" w:hAnsi="仿宋_GB2312" w:eastAsia="仿宋_GB2312" w:cs="仿宋_GB2312"/>
          <w:b w:val="0"/>
          <w:bCs w:val="0"/>
          <w:sz w:val="32"/>
          <w:szCs w:val="32"/>
          <w:lang w:val="en-US" w:eastAsia="zh-CN"/>
        </w:rPr>
        <w:t>应感尽感、智能协同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color w:val="000000" w:themeColor="text1"/>
          <w:sz w:val="32"/>
          <w:szCs w:val="32"/>
          <w:highlight w:val="none"/>
          <w:shd w:val="clear"/>
          <w:lang w:val="en-US" w:eastAsia="zh-CN"/>
          <w14:textFill>
            <w14:solidFill>
              <w14:schemeClr w14:val="tx1"/>
            </w14:solidFill>
          </w14:textFill>
        </w:rPr>
        <w:t>时空数据智能化服务场景建设，搭建时空数据要素运营服务超市，赋能多行业、多场景创新应用</w:t>
      </w:r>
      <w:r>
        <w:rPr>
          <w:rFonts w:hint="eastAsia" w:ascii="仿宋_GB2312" w:hAnsi="仿宋_GB2312" w:eastAsia="仿宋_GB2312" w:cs="仿宋_GB2312"/>
          <w:sz w:val="32"/>
          <w:szCs w:val="32"/>
          <w:highlight w:val="none"/>
          <w:shd w:val="clear"/>
          <w:lang w:val="en-US" w:eastAsia="zh-CN"/>
        </w:rPr>
        <w:t>。</w:t>
      </w:r>
    </w:p>
    <w:p w14:paraId="518E5182">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统筹部署数据基础设施</w:t>
      </w:r>
    </w:p>
    <w:p w14:paraId="2D42FCF5">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b w:val="0"/>
          <w:bCs w:val="0"/>
          <w:kern w:val="2"/>
          <w:sz w:val="32"/>
          <w:szCs w:val="32"/>
          <w:highlight w:val="none"/>
          <w:lang w:val="en-US" w:eastAsia="zh-CN" w:bidi="ar"/>
        </w:rPr>
      </w:pPr>
      <w:r>
        <w:rPr>
          <w:rFonts w:hint="eastAsia" w:ascii="仿宋_GB2312" w:hAnsi="仿宋_GB2312" w:eastAsia="仿宋_GB2312" w:cs="仿宋_GB2312"/>
          <w:sz w:val="32"/>
          <w:szCs w:val="32"/>
          <w:highlight w:val="none"/>
          <w:lang w:val="en-US" w:eastAsia="zh-CN" w:bidi="ar"/>
        </w:rPr>
        <w:t>创新建设统管分治的数据资源体系，基于区级大数据平台，推进各部门搭建分布式数据资源分中心，实现归集、治理、更新、开发利用等数据全生命周期管理。</w:t>
      </w:r>
      <w:r>
        <w:rPr>
          <w:rFonts w:hint="eastAsia" w:ascii="仿宋_GB2312" w:hAnsi="仿宋_GB2312" w:eastAsia="仿宋_GB2312" w:cs="仿宋_GB2312"/>
          <w:b w:val="0"/>
          <w:bCs w:val="0"/>
          <w:kern w:val="2"/>
          <w:sz w:val="32"/>
          <w:szCs w:val="32"/>
          <w:highlight w:val="none"/>
          <w:lang w:val="en-US" w:eastAsia="zh-CN" w:bidi="ar"/>
        </w:rPr>
        <w:t>聚焦医疗健康、物流、跨境等领域，鼓励链主企业建设可信数据空间、搭建行业数据流通平台，推动与市级数据基础设施互连互通，促进数据合规流通与增值复用。</w:t>
      </w:r>
    </w:p>
    <w:p w14:paraId="423D10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15" w:name="_Toc10412"/>
      <w:bookmarkStart w:id="16" w:name="_Toc183566508"/>
      <w:r>
        <w:rPr>
          <w:rFonts w:hint="eastAsia" w:ascii="楷体_GB2312" w:hAnsi="楷体_GB2312" w:eastAsia="楷体_GB2312" w:cs="楷体_GB2312"/>
          <w:b w:val="0"/>
          <w:bCs w:val="0"/>
          <w:sz w:val="32"/>
          <w:szCs w:val="32"/>
          <w:lang w:val="en-US" w:eastAsia="zh-CN"/>
        </w:rPr>
        <w:t>（二）构建</w:t>
      </w:r>
      <w:r>
        <w:rPr>
          <w:rFonts w:hint="default" w:ascii="楷体_GB2312" w:hAnsi="楷体_GB2312" w:eastAsia="楷体_GB2312" w:cs="楷体_GB2312"/>
          <w:b w:val="0"/>
          <w:bCs w:val="0"/>
          <w:sz w:val="32"/>
          <w:szCs w:val="32"/>
          <w:lang w:val="en-US" w:eastAsia="zh-CN"/>
        </w:rPr>
        <w:t>数据</w:t>
      </w:r>
      <w:r>
        <w:rPr>
          <w:rFonts w:hint="eastAsia" w:ascii="楷体_GB2312" w:hAnsi="楷体_GB2312" w:eastAsia="楷体_GB2312" w:cs="楷体_GB2312"/>
          <w:b w:val="0"/>
          <w:bCs w:val="0"/>
          <w:sz w:val="32"/>
          <w:szCs w:val="32"/>
          <w:lang w:val="en-US" w:eastAsia="zh-CN"/>
        </w:rPr>
        <w:t>要素赋能</w:t>
      </w:r>
      <w:r>
        <w:rPr>
          <w:rFonts w:hint="eastAsia" w:ascii="楷体_GB2312" w:hAnsi="楷体_GB2312" w:eastAsia="楷体_GB2312" w:cs="楷体_GB2312"/>
          <w:b w:val="0"/>
          <w:bCs w:val="0"/>
          <w:sz w:val="32"/>
          <w:szCs w:val="32"/>
          <w:shd w:val="clear"/>
          <w:lang w:val="en-US" w:eastAsia="zh-CN"/>
        </w:rPr>
        <w:t>体系</w:t>
      </w:r>
      <w:r>
        <w:rPr>
          <w:rFonts w:hint="default" w:ascii="楷体_GB2312" w:hAnsi="楷体_GB2312" w:eastAsia="楷体_GB2312" w:cs="楷体_GB2312"/>
          <w:b w:val="0"/>
          <w:bCs w:val="0"/>
          <w:sz w:val="32"/>
          <w:szCs w:val="32"/>
          <w:lang w:val="en-US" w:eastAsia="zh-CN"/>
        </w:rPr>
        <w:t>，</w:t>
      </w:r>
      <w:r>
        <w:rPr>
          <w:rFonts w:hint="eastAsia" w:ascii="楷体_GB2312" w:hAnsi="楷体_GB2312" w:eastAsia="楷体_GB2312" w:cs="楷体_GB2312"/>
          <w:b w:val="0"/>
          <w:bCs w:val="0"/>
          <w:sz w:val="32"/>
          <w:szCs w:val="32"/>
          <w:lang w:val="en-US" w:eastAsia="zh-CN"/>
        </w:rPr>
        <w:t>释放</w:t>
      </w:r>
      <w:r>
        <w:rPr>
          <w:rFonts w:hint="default" w:ascii="楷体_GB2312" w:hAnsi="楷体_GB2312" w:eastAsia="楷体_GB2312" w:cs="楷体_GB2312"/>
          <w:b w:val="0"/>
          <w:bCs w:val="0"/>
          <w:sz w:val="32"/>
          <w:szCs w:val="32"/>
          <w:lang w:val="en-US" w:eastAsia="zh-CN"/>
        </w:rPr>
        <w:t>数据要素</w:t>
      </w:r>
      <w:r>
        <w:rPr>
          <w:rFonts w:hint="eastAsia" w:ascii="楷体_GB2312" w:hAnsi="楷体_GB2312" w:eastAsia="楷体_GB2312" w:cs="楷体_GB2312"/>
          <w:b w:val="0"/>
          <w:bCs w:val="0"/>
          <w:sz w:val="32"/>
          <w:szCs w:val="32"/>
          <w:lang w:val="en-US" w:eastAsia="zh-CN"/>
        </w:rPr>
        <w:t>价值潜力</w:t>
      </w:r>
      <w:bookmarkEnd w:id="15"/>
      <w:bookmarkEnd w:id="16"/>
    </w:p>
    <w:p w14:paraId="331067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b w:val="0"/>
          <w:bCs w:val="0"/>
          <w:sz w:val="32"/>
          <w:szCs w:val="32"/>
          <w:highlight w:val="none"/>
          <w:lang w:val="en-US" w:eastAsia="zh-CN"/>
        </w:rPr>
      </w:pPr>
      <w:r>
        <w:rPr>
          <w:rFonts w:hint="default" w:ascii="仿宋_GB2312" w:hAnsi="仿宋_GB2312" w:eastAsia="仿宋_GB2312" w:cs="仿宋_GB2312"/>
          <w:b w:val="0"/>
          <w:bCs w:val="0"/>
          <w:sz w:val="32"/>
          <w:szCs w:val="32"/>
          <w:highlight w:val="none"/>
          <w:lang w:val="en-US" w:eastAsia="zh-CN"/>
        </w:rPr>
        <w:t>以数据要素市场化配置改革为主线，</w:t>
      </w:r>
      <w:r>
        <w:rPr>
          <w:rFonts w:hint="eastAsia" w:ascii="仿宋_GB2312" w:hAnsi="仿宋_GB2312" w:eastAsia="仿宋_GB2312" w:cs="仿宋_GB2312"/>
          <w:b w:val="0"/>
          <w:bCs w:val="0"/>
          <w:sz w:val="32"/>
          <w:szCs w:val="32"/>
          <w:highlight w:val="none"/>
          <w:lang w:val="en-US" w:eastAsia="zh-CN"/>
        </w:rPr>
        <w:t>深化</w:t>
      </w:r>
      <w:r>
        <w:rPr>
          <w:rFonts w:hint="default" w:ascii="仿宋_GB2312" w:hAnsi="仿宋_GB2312" w:eastAsia="仿宋_GB2312" w:cs="仿宋_GB2312"/>
          <w:b w:val="0"/>
          <w:bCs w:val="0"/>
          <w:sz w:val="32"/>
          <w:szCs w:val="32"/>
          <w:highlight w:val="none"/>
          <w:lang w:val="en-US" w:eastAsia="zh-CN"/>
        </w:rPr>
        <w:t>数据供给、流通</w:t>
      </w:r>
      <w:r>
        <w:rPr>
          <w:rFonts w:hint="eastAsia" w:ascii="仿宋_GB2312" w:hAnsi="仿宋_GB2312" w:eastAsia="仿宋_GB2312" w:cs="仿宋_GB2312"/>
          <w:b w:val="0"/>
          <w:bCs w:val="0"/>
          <w:sz w:val="32"/>
          <w:szCs w:val="32"/>
          <w:highlight w:val="none"/>
          <w:lang w:val="en-US" w:eastAsia="zh-CN"/>
        </w:rPr>
        <w:t>与</w:t>
      </w:r>
      <w:r>
        <w:rPr>
          <w:rFonts w:hint="default" w:ascii="仿宋_GB2312" w:hAnsi="仿宋_GB2312" w:eastAsia="仿宋_GB2312" w:cs="仿宋_GB2312"/>
          <w:b w:val="0"/>
          <w:bCs w:val="0"/>
          <w:sz w:val="32"/>
          <w:szCs w:val="32"/>
          <w:highlight w:val="none"/>
          <w:lang w:val="en-US" w:eastAsia="zh-CN"/>
        </w:rPr>
        <w:t>应用，</w:t>
      </w:r>
      <w:r>
        <w:rPr>
          <w:rFonts w:hint="eastAsia" w:ascii="仿宋_GB2312" w:hAnsi="仿宋_GB2312" w:eastAsia="仿宋_GB2312" w:cs="仿宋_GB2312"/>
          <w:b w:val="0"/>
          <w:bCs w:val="0"/>
          <w:sz w:val="32"/>
          <w:szCs w:val="32"/>
          <w:highlight w:val="none"/>
          <w:lang w:val="en-US" w:eastAsia="zh-CN"/>
        </w:rPr>
        <w:t>创新</w:t>
      </w:r>
      <w:r>
        <w:rPr>
          <w:rFonts w:hint="default" w:ascii="仿宋_GB2312" w:hAnsi="仿宋_GB2312" w:eastAsia="仿宋_GB2312" w:cs="仿宋_GB2312"/>
          <w:b w:val="0"/>
          <w:bCs w:val="0"/>
          <w:sz w:val="32"/>
          <w:szCs w:val="32"/>
          <w:highlight w:val="none"/>
          <w:lang w:val="en-US" w:eastAsia="zh-CN"/>
        </w:rPr>
        <w:t>数据要素服务</w:t>
      </w:r>
      <w:r>
        <w:rPr>
          <w:rFonts w:hint="eastAsia" w:ascii="仿宋_GB2312" w:hAnsi="仿宋_GB2312" w:eastAsia="仿宋_GB2312" w:cs="仿宋_GB2312"/>
          <w:b w:val="0"/>
          <w:bCs w:val="0"/>
          <w:sz w:val="32"/>
          <w:szCs w:val="32"/>
          <w:highlight w:val="none"/>
          <w:lang w:val="en-US" w:eastAsia="zh-CN"/>
        </w:rPr>
        <w:t>生态，加速激活数据要素价值。</w:t>
      </w:r>
    </w:p>
    <w:p w14:paraId="1B8BC767">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促进</w:t>
      </w:r>
      <w:r>
        <w:rPr>
          <w:rFonts w:hint="default" w:ascii="仿宋_GB2312" w:hAnsi="仿宋_GB2312" w:eastAsia="仿宋_GB2312" w:cs="仿宋_GB2312"/>
          <w:sz w:val="32"/>
          <w:szCs w:val="32"/>
          <w:highlight w:val="none"/>
          <w:lang w:val="en-US" w:eastAsia="zh-CN"/>
        </w:rPr>
        <w:t>数据资源供给</w:t>
      </w:r>
      <w:r>
        <w:rPr>
          <w:rFonts w:hint="eastAsia" w:ascii="仿宋_GB2312" w:hAnsi="仿宋_GB2312" w:eastAsia="仿宋_GB2312" w:cs="仿宋_GB2312"/>
          <w:sz w:val="32"/>
          <w:szCs w:val="32"/>
          <w:highlight w:val="none"/>
          <w:lang w:val="en-US" w:eastAsia="zh-CN"/>
        </w:rPr>
        <w:t>流通</w:t>
      </w:r>
    </w:p>
    <w:p w14:paraId="603B909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摸清全区数据资源底数清单，完善“一数一源一标准”</w:t>
      </w:r>
      <w:r>
        <w:rPr>
          <w:rStyle w:val="27"/>
          <w:rFonts w:hint="default" w:ascii="仿宋_GB2312" w:hAnsi="仿宋_GB2312" w:eastAsia="仿宋_GB2312" w:cs="仿宋_GB2312"/>
          <w:sz w:val="32"/>
          <w:szCs w:val="32"/>
          <w:highlight w:val="none"/>
          <w:lang w:val="en-US" w:eastAsia="zh-CN"/>
        </w:rPr>
        <w:footnoteReference w:id="3"/>
      </w:r>
      <w:r>
        <w:rPr>
          <w:rFonts w:hint="default" w:ascii="仿宋_GB2312" w:hAnsi="仿宋_GB2312" w:eastAsia="仿宋_GB2312" w:cs="仿宋_GB2312"/>
          <w:sz w:val="32"/>
          <w:szCs w:val="32"/>
          <w:highlight w:val="none"/>
          <w:lang w:val="en-US" w:eastAsia="zh-CN"/>
        </w:rPr>
        <w:t>治理机制。依托市级大数据平台和公共数据开放平台，推动市级下沉数据与本区特色领域数据反哺联动，</w:t>
      </w:r>
      <w:r>
        <w:rPr>
          <w:rFonts w:hint="eastAsia" w:ascii="仿宋_GB2312" w:hAnsi="仿宋_GB2312" w:eastAsia="仿宋_GB2312" w:cs="仿宋_GB2312"/>
          <w:sz w:val="32"/>
          <w:szCs w:val="32"/>
          <w:highlight w:val="none"/>
          <w:lang w:val="en-US" w:eastAsia="zh-CN"/>
        </w:rPr>
        <w:t>提升政府部门无条件共享率。鼓励</w:t>
      </w:r>
      <w:r>
        <w:rPr>
          <w:rFonts w:hint="default" w:ascii="仿宋_GB2312" w:hAnsi="仿宋_GB2312" w:eastAsia="仿宋_GB2312" w:cs="仿宋_GB2312"/>
          <w:sz w:val="32"/>
          <w:szCs w:val="32"/>
          <w:highlight w:val="none"/>
          <w:lang w:val="en-US" w:eastAsia="zh-CN"/>
        </w:rPr>
        <w:t>企业采取共享开放、交换交易、资源置换等多种方式促进数据高效流通。</w:t>
      </w:r>
    </w:p>
    <w:p w14:paraId="0005731B">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加强高质量数据集建设</w:t>
      </w:r>
    </w:p>
    <w:p w14:paraId="3FBEEB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鼓励各部门</w:t>
      </w:r>
      <w:r>
        <w:rPr>
          <w:rFonts w:hint="default" w:ascii="仿宋_GB2312" w:hAnsi="仿宋_GB2312" w:eastAsia="仿宋_GB2312" w:cs="仿宋_GB2312"/>
          <w:sz w:val="32"/>
          <w:szCs w:val="32"/>
          <w:lang w:val="en-US" w:eastAsia="zh-CN"/>
        </w:rPr>
        <w:t>积极推进</w:t>
      </w:r>
      <w:r>
        <w:rPr>
          <w:rFonts w:hint="eastAsia" w:ascii="仿宋_GB2312" w:hAnsi="仿宋_GB2312" w:eastAsia="仿宋_GB2312" w:cs="仿宋_GB2312"/>
          <w:sz w:val="32"/>
          <w:szCs w:val="32"/>
          <w:highlight w:val="none"/>
          <w:lang w:val="en-US" w:eastAsia="zh-CN"/>
        </w:rPr>
        <w:t>政务服务</w:t>
      </w:r>
      <w:r>
        <w:rPr>
          <w:rFonts w:hint="eastAsia" w:ascii="仿宋_GB2312" w:hAnsi="仿宋_GB2312" w:eastAsia="仿宋_GB2312" w:cs="仿宋_GB2312"/>
          <w:sz w:val="32"/>
          <w:szCs w:val="32"/>
          <w:lang w:val="en-US" w:eastAsia="zh-CN"/>
        </w:rPr>
        <w:t>、气象、医疗、教育、城市管理、生态环境等领域高质量数据集建设。支持龙头企业、链主企业聚焦生命健康、</w:t>
      </w:r>
      <w:r>
        <w:rPr>
          <w:rFonts w:hint="eastAsia" w:ascii="仿宋_GB2312" w:hAnsi="仿宋_GB2312" w:eastAsia="仿宋_GB2312" w:cs="仿宋_GB2312"/>
          <w:sz w:val="32"/>
          <w:szCs w:val="32"/>
          <w:highlight w:val="none"/>
          <w:lang w:val="en-US" w:eastAsia="zh-CN"/>
        </w:rPr>
        <w:t>新一代信息技术、智能制造装备</w:t>
      </w:r>
      <w:r>
        <w:rPr>
          <w:rFonts w:hint="eastAsia" w:ascii="仿宋_GB2312" w:hAnsi="仿宋_GB2312" w:eastAsia="仿宋_GB2312" w:cs="仿宋_GB2312"/>
          <w:sz w:val="32"/>
          <w:szCs w:val="32"/>
          <w:lang w:val="en-US" w:eastAsia="zh-CN"/>
        </w:rPr>
        <w:t>等领域，形成一批高质量数据集。</w:t>
      </w:r>
      <w:r>
        <w:rPr>
          <w:rFonts w:hint="default" w:ascii="仿宋_GB2312" w:hAnsi="仿宋_GB2312" w:eastAsia="仿宋_GB2312" w:cs="仿宋_GB2312"/>
          <w:sz w:val="32"/>
          <w:szCs w:val="32"/>
          <w:lang w:val="en-US" w:eastAsia="zh-CN"/>
        </w:rPr>
        <w:t>激发高校、科研院所和数据企业等社会力量参与高质量数据集建设。</w:t>
      </w:r>
    </w:p>
    <w:p w14:paraId="369E01F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推动</w:t>
      </w:r>
      <w:r>
        <w:rPr>
          <w:rFonts w:hint="eastAsia" w:ascii="仿宋_GB2312" w:hAnsi="仿宋_GB2312" w:eastAsia="仿宋_GB2312" w:cs="仿宋_GB2312"/>
          <w:sz w:val="32"/>
          <w:szCs w:val="32"/>
          <w:lang w:val="en-US" w:eastAsia="zh-CN"/>
        </w:rPr>
        <w:t>各类</w:t>
      </w:r>
      <w:r>
        <w:rPr>
          <w:rFonts w:hint="default" w:ascii="仿宋_GB2312" w:hAnsi="仿宋_GB2312" w:eastAsia="仿宋_GB2312" w:cs="仿宋_GB2312"/>
          <w:sz w:val="32"/>
          <w:szCs w:val="32"/>
          <w:lang w:val="en-US" w:eastAsia="zh-CN"/>
        </w:rPr>
        <w:t>数据开发利用</w:t>
      </w:r>
    </w:p>
    <w:p w14:paraId="70E034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highlight w:val="none"/>
          <w:shd w:val="clear"/>
          <w:lang w:val="en-US" w:eastAsia="zh-CN"/>
        </w:rPr>
      </w:pPr>
      <w:r>
        <w:rPr>
          <w:rFonts w:hint="default" w:ascii="仿宋_GB2312" w:hAnsi="仿宋_GB2312" w:eastAsia="仿宋_GB2312" w:cs="仿宋_GB2312"/>
          <w:sz w:val="32"/>
          <w:szCs w:val="32"/>
          <w:lang w:val="en-US" w:eastAsia="zh-CN"/>
        </w:rPr>
        <w:t>积极推动公共数据</w:t>
      </w:r>
      <w:r>
        <w:rPr>
          <w:rFonts w:hint="eastAsia" w:ascii="仿宋_GB2312" w:hAnsi="仿宋_GB2312" w:eastAsia="仿宋_GB2312" w:cs="仿宋_GB2312"/>
          <w:sz w:val="32"/>
          <w:szCs w:val="32"/>
          <w:lang w:val="en-US" w:eastAsia="zh-CN"/>
        </w:rPr>
        <w:t>共享应用，探索开展</w:t>
      </w:r>
      <w:r>
        <w:rPr>
          <w:rFonts w:hint="default" w:ascii="仿宋_GB2312" w:hAnsi="仿宋_GB2312" w:eastAsia="仿宋_GB2312" w:cs="仿宋_GB2312"/>
          <w:sz w:val="32"/>
          <w:szCs w:val="32"/>
          <w:lang w:val="en-US" w:eastAsia="zh-CN"/>
        </w:rPr>
        <w:t>分领域授权、依场景授权。</w:t>
      </w:r>
      <w:r>
        <w:rPr>
          <w:rFonts w:hint="eastAsia" w:ascii="仿宋_GB2312" w:hAnsi="仿宋_GB2312" w:eastAsia="仿宋_GB2312" w:cs="仿宋_GB2312"/>
          <w:sz w:val="32"/>
          <w:szCs w:val="32"/>
          <w:shd w:val="clear"/>
          <w:lang w:val="en-US" w:eastAsia="zh-CN"/>
        </w:rPr>
        <w:t>引导社会数据融合利用，鼓励企业建立首席数据官制度，建立和完善企业数据资源体系。推动企业开展数据资产登记、入表、交易，探索数据入股、收益分享模式。</w:t>
      </w:r>
      <w:r>
        <w:rPr>
          <w:rFonts w:hint="default" w:ascii="仿宋_GB2312" w:hAnsi="仿宋_GB2312" w:eastAsia="仿宋_GB2312" w:cs="仿宋_GB2312"/>
          <w:sz w:val="32"/>
          <w:szCs w:val="32"/>
          <w:highlight w:val="none"/>
          <w:lang w:val="en-US" w:eastAsia="zh-CN"/>
        </w:rPr>
        <w:t>聚焦生物医药、航空物流、跨境贸易等领域，打造体现</w:t>
      </w:r>
      <w:r>
        <w:rPr>
          <w:rFonts w:hint="eastAsia" w:ascii="仿宋_GB2312" w:hAnsi="仿宋_GB2312" w:eastAsia="仿宋_GB2312" w:cs="仿宋_GB2312"/>
          <w:sz w:val="32"/>
          <w:szCs w:val="32"/>
          <w:highlight w:val="none"/>
          <w:lang w:val="en-US" w:eastAsia="zh-CN"/>
        </w:rPr>
        <w:t>大兴</w:t>
      </w:r>
      <w:r>
        <w:rPr>
          <w:rFonts w:hint="default" w:ascii="仿宋_GB2312" w:hAnsi="仿宋_GB2312" w:eastAsia="仿宋_GB2312" w:cs="仿宋_GB2312"/>
          <w:sz w:val="32"/>
          <w:szCs w:val="32"/>
          <w:highlight w:val="none"/>
          <w:lang w:val="en-US" w:eastAsia="zh-CN"/>
        </w:rPr>
        <w:t>特</w:t>
      </w:r>
      <w:r>
        <w:rPr>
          <w:rFonts w:hint="default" w:ascii="仿宋_GB2312" w:hAnsi="仿宋_GB2312" w:eastAsia="仿宋_GB2312" w:cs="仿宋_GB2312"/>
          <w:sz w:val="32"/>
          <w:szCs w:val="32"/>
          <w:highlight w:val="none"/>
          <w:shd w:val="clear"/>
          <w:lang w:val="en-US" w:eastAsia="zh-CN"/>
        </w:rPr>
        <w:t>色的“数据要素×”</w:t>
      </w:r>
      <w:r>
        <w:rPr>
          <w:rStyle w:val="27"/>
          <w:rFonts w:hint="default" w:ascii="仿宋_GB2312" w:hAnsi="仿宋_GB2312" w:eastAsia="仿宋_GB2312" w:cs="仿宋_GB2312"/>
          <w:sz w:val="32"/>
          <w:szCs w:val="32"/>
          <w:highlight w:val="none"/>
          <w:shd w:val="clear"/>
          <w:lang w:val="en-US" w:eastAsia="zh-CN"/>
        </w:rPr>
        <w:footnoteReference w:id="4"/>
      </w:r>
      <w:r>
        <w:rPr>
          <w:rFonts w:hint="default" w:ascii="仿宋_GB2312" w:hAnsi="仿宋_GB2312" w:eastAsia="仿宋_GB2312" w:cs="仿宋_GB2312"/>
          <w:sz w:val="32"/>
          <w:szCs w:val="32"/>
          <w:highlight w:val="none"/>
          <w:shd w:val="clear"/>
          <w:lang w:val="en-US" w:eastAsia="zh-CN"/>
        </w:rPr>
        <w:t>应用场景</w:t>
      </w:r>
      <w:r>
        <w:rPr>
          <w:rFonts w:hint="eastAsia" w:ascii="仿宋_GB2312" w:hAnsi="仿宋_GB2312" w:eastAsia="仿宋_GB2312" w:cs="仿宋_GB2312"/>
          <w:sz w:val="32"/>
          <w:szCs w:val="32"/>
          <w:highlight w:val="none"/>
          <w:shd w:val="clear"/>
          <w:lang w:val="en-US" w:eastAsia="zh-CN"/>
        </w:rPr>
        <w:t>。</w:t>
      </w:r>
    </w:p>
    <w:p w14:paraId="21AB99F0">
      <w:pPr>
        <w:keepNext w:val="0"/>
        <w:keepLines w:val="0"/>
        <w:pageBreakBefore w:val="0"/>
        <w:widowControl w:val="0"/>
        <w:numPr>
          <w:ilvl w:val="0"/>
          <w:numId w:val="2"/>
        </w:numPr>
        <w:shd w:val="clea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构建</w:t>
      </w:r>
      <w:r>
        <w:rPr>
          <w:rFonts w:hint="eastAsia" w:ascii="仿宋_GB2312" w:hAnsi="仿宋_GB2312" w:eastAsia="仿宋_GB2312" w:cs="仿宋_GB2312"/>
          <w:sz w:val="32"/>
          <w:szCs w:val="32"/>
          <w:lang w:val="en-US" w:eastAsia="zh-CN"/>
        </w:rPr>
        <w:t>数据要素创新服务生态</w:t>
      </w:r>
    </w:p>
    <w:p w14:paraId="4BDAF7D4">
      <w:pPr>
        <w:keepNext w:val="0"/>
        <w:keepLines w:val="0"/>
        <w:pageBreakBefore w:val="0"/>
        <w:numPr>
          <w:ilvl w:val="0"/>
          <w:numId w:val="0"/>
        </w:numPr>
        <w:kinsoku/>
        <w:wordWrap/>
        <w:autoSpaceDN/>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b w:val="0"/>
          <w:bCs w:val="0"/>
          <w:sz w:val="32"/>
          <w:szCs w:val="32"/>
          <w:lang w:val="en-US" w:eastAsia="zh-CN"/>
        </w:rPr>
        <w:t>数据安全技术创新，</w:t>
      </w:r>
      <w:r>
        <w:rPr>
          <w:rFonts w:hint="eastAsia" w:ascii="仿宋_GB2312" w:hAnsi="仿宋_GB2312" w:eastAsia="仿宋_GB2312" w:cs="仿宋_GB2312"/>
          <w:sz w:val="32"/>
          <w:szCs w:val="32"/>
          <w:lang w:val="en-US" w:eastAsia="zh-CN"/>
        </w:rPr>
        <w:t>重点突破隐私计算、区块链存证、AI驱动的数据安全技术。引领“数据合规+跨境流通”新模式，加快建设“数据合规港”，提供数据安全与治理一站式合规服务；联动北京数字经济企业出海创新服务基地和国际数据枢纽港，提供数据合规跨境等服务。鼓励医疗健康、生态环保、交通治理、城市管理、教育等多领域开展“揭榜挂帅”，发布应用场景创新需求清单，打造一批可复制、可推广的标杆应用场景。</w:t>
      </w:r>
    </w:p>
    <w:p w14:paraId="08F287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17" w:name="_Toc1415782864"/>
      <w:bookmarkStart w:id="18" w:name="_Toc21950"/>
      <w:r>
        <w:rPr>
          <w:rFonts w:hint="eastAsia" w:ascii="楷体_GB2312" w:hAnsi="楷体_GB2312" w:eastAsia="楷体_GB2312" w:cs="楷体_GB2312"/>
          <w:b w:val="0"/>
          <w:bCs w:val="0"/>
          <w:sz w:val="32"/>
          <w:szCs w:val="32"/>
          <w:lang w:val="en-US" w:eastAsia="zh-CN"/>
        </w:rPr>
        <w:t>（三）</w:t>
      </w:r>
      <w:r>
        <w:rPr>
          <w:rFonts w:hint="default" w:ascii="楷体_GB2312" w:hAnsi="楷体_GB2312" w:eastAsia="楷体_GB2312" w:cs="楷体_GB2312"/>
          <w:b w:val="0"/>
          <w:bCs w:val="0"/>
          <w:sz w:val="32"/>
          <w:szCs w:val="32"/>
          <w:lang w:val="en-US" w:eastAsia="zh-CN"/>
        </w:rPr>
        <w:t>构建均衡普惠的公共服务，促进优质资源共享</w:t>
      </w:r>
      <w:bookmarkEnd w:id="17"/>
      <w:bookmarkEnd w:id="18"/>
    </w:p>
    <w:p w14:paraId="5DB46CEB">
      <w:pPr>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outlineLvl w:val="9"/>
        <w:rPr>
          <w:rFonts w:hint="eastAsia" w:ascii="仿宋_GB2312" w:eastAsia="仿宋_GB2312" w:cs="仿宋_GB2312"/>
          <w:color w:val="auto"/>
          <w:spacing w:val="0"/>
          <w:kern w:val="2"/>
          <w:sz w:val="32"/>
          <w:szCs w:val="32"/>
          <w:highlight w:val="none"/>
          <w:lang w:val="en-US" w:eastAsia="zh-CN" w:bidi="ar"/>
        </w:rPr>
      </w:pPr>
      <w:r>
        <w:rPr>
          <w:rFonts w:hint="default" w:ascii="仿宋_GB2312" w:hAnsi="Times New Roman" w:eastAsia="仿宋_GB2312" w:cs="仿宋_GB2312"/>
          <w:color w:val="auto"/>
          <w:kern w:val="2"/>
          <w:sz w:val="32"/>
          <w:szCs w:val="32"/>
          <w:highlight w:val="none"/>
          <w:lang w:val="en-US" w:eastAsia="zh-CN" w:bidi="ar"/>
        </w:rPr>
        <w:t>以</w:t>
      </w:r>
      <w:r>
        <w:rPr>
          <w:rFonts w:hint="eastAsia" w:ascii="仿宋_GB2312" w:hAnsi="Times New Roman" w:eastAsia="仿宋_GB2312" w:cs="仿宋_GB2312"/>
          <w:color w:val="auto"/>
          <w:kern w:val="2"/>
          <w:sz w:val="32"/>
          <w:szCs w:val="32"/>
          <w:highlight w:val="none"/>
          <w:lang w:val="en-US" w:eastAsia="zh-CN" w:bidi="ar"/>
        </w:rPr>
        <w:t>政务服务、</w:t>
      </w:r>
      <w:r>
        <w:rPr>
          <w:rFonts w:hint="eastAsia" w:ascii="仿宋_GB2312" w:eastAsia="仿宋_GB2312" w:cs="仿宋_GB2312"/>
          <w:color w:val="auto"/>
          <w:spacing w:val="0"/>
          <w:kern w:val="2"/>
          <w:sz w:val="32"/>
          <w:szCs w:val="32"/>
          <w:highlight w:val="none"/>
          <w:lang w:val="en-US" w:eastAsia="zh-CN" w:bidi="ar"/>
        </w:rPr>
        <w:t>医疗、教育、就业、文旅、消费、体育</w:t>
      </w:r>
      <w:r>
        <w:rPr>
          <w:rFonts w:hint="default" w:ascii="仿宋_GB2312" w:hAnsi="Times New Roman" w:eastAsia="仿宋_GB2312" w:cs="仿宋_GB2312"/>
          <w:color w:val="auto"/>
          <w:kern w:val="2"/>
          <w:sz w:val="32"/>
          <w:szCs w:val="32"/>
          <w:highlight w:val="none"/>
          <w:lang w:val="en-US" w:eastAsia="zh-CN" w:bidi="ar"/>
        </w:rPr>
        <w:t>等</w:t>
      </w:r>
      <w:r>
        <w:rPr>
          <w:rFonts w:hint="eastAsia" w:ascii="仿宋_GB2312" w:hAnsi="Times New Roman" w:eastAsia="仿宋_GB2312" w:cs="仿宋_GB2312"/>
          <w:color w:val="auto"/>
          <w:kern w:val="2"/>
          <w:sz w:val="32"/>
          <w:szCs w:val="32"/>
          <w:highlight w:val="none"/>
          <w:lang w:val="en-US" w:eastAsia="zh-CN" w:bidi="ar"/>
        </w:rPr>
        <w:t>民生</w:t>
      </w:r>
      <w:r>
        <w:rPr>
          <w:rFonts w:hint="default" w:ascii="仿宋_GB2312" w:hAnsi="Times New Roman" w:eastAsia="仿宋_GB2312" w:cs="仿宋_GB2312"/>
          <w:color w:val="auto"/>
          <w:kern w:val="2"/>
          <w:sz w:val="32"/>
          <w:szCs w:val="32"/>
          <w:highlight w:val="none"/>
          <w:lang w:val="en-US" w:eastAsia="zh-CN" w:bidi="ar"/>
        </w:rPr>
        <w:t>需求为</w:t>
      </w:r>
      <w:r>
        <w:rPr>
          <w:rFonts w:hint="eastAsia" w:ascii="仿宋_GB2312" w:hAnsi="Times New Roman" w:eastAsia="仿宋_GB2312" w:cs="仿宋_GB2312"/>
          <w:color w:val="auto"/>
          <w:kern w:val="2"/>
          <w:sz w:val="32"/>
          <w:szCs w:val="32"/>
          <w:highlight w:val="none"/>
          <w:lang w:val="en-US" w:eastAsia="zh-CN" w:bidi="ar"/>
        </w:rPr>
        <w:t>牵引</w:t>
      </w:r>
      <w:r>
        <w:rPr>
          <w:rFonts w:hint="eastAsia" w:ascii="仿宋_GB2312" w:eastAsia="仿宋_GB2312" w:cs="仿宋_GB2312"/>
          <w:color w:val="auto"/>
          <w:spacing w:val="0"/>
          <w:kern w:val="2"/>
          <w:sz w:val="32"/>
          <w:szCs w:val="32"/>
          <w:highlight w:val="none"/>
          <w:lang w:val="en-US" w:eastAsia="zh-CN" w:bidi="ar"/>
        </w:rPr>
        <w:t>，提升公共服务数智化水平，切实增强群众获得感、幸福感、安全感</w:t>
      </w:r>
      <w:r>
        <w:rPr>
          <w:rFonts w:hint="default" w:ascii="仿宋_GB2312" w:hAnsi="Times New Roman" w:eastAsia="仿宋_GB2312" w:cs="仿宋_GB2312"/>
          <w:color w:val="auto"/>
          <w:kern w:val="2"/>
          <w:sz w:val="32"/>
          <w:szCs w:val="32"/>
          <w:highlight w:val="none"/>
          <w:lang w:val="en-US" w:eastAsia="zh-CN" w:bidi="ar"/>
        </w:rPr>
        <w:t>。</w:t>
      </w:r>
    </w:p>
    <w:p w14:paraId="0468926E">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打造数智</w:t>
      </w:r>
      <w:r>
        <w:rPr>
          <w:rFonts w:hint="default" w:ascii="仿宋_GB2312" w:hAnsi="仿宋_GB2312" w:eastAsia="仿宋_GB2312" w:cs="仿宋_GB2312"/>
          <w:sz w:val="32"/>
          <w:szCs w:val="32"/>
          <w:lang w:val="en-US" w:eastAsia="zh-CN"/>
        </w:rPr>
        <w:t>政务服务</w:t>
      </w:r>
      <w:r>
        <w:rPr>
          <w:rFonts w:hint="eastAsia" w:ascii="仿宋_GB2312" w:hAnsi="仿宋_GB2312" w:eastAsia="仿宋_GB2312" w:cs="仿宋_GB2312"/>
          <w:sz w:val="32"/>
          <w:szCs w:val="32"/>
          <w:lang w:val="en-US" w:eastAsia="zh-CN"/>
        </w:rPr>
        <w:t>新范式</w:t>
      </w:r>
    </w:p>
    <w:p w14:paraId="6131066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创新“</w:t>
      </w:r>
      <w:r>
        <w:rPr>
          <w:rFonts w:hint="default" w:ascii="仿宋_GB2312" w:hAnsi="仿宋_GB2312" w:eastAsia="仿宋_GB2312" w:cs="仿宋_GB2312"/>
          <w:sz w:val="32"/>
          <w:szCs w:val="32"/>
          <w:lang w:val="en-US" w:eastAsia="zh-CN"/>
        </w:rPr>
        <w:t>三链</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融合</w:t>
      </w:r>
      <w:r>
        <w:rPr>
          <w:rFonts w:hint="eastAsia" w:ascii="仿宋_GB2312" w:hAnsi="仿宋_GB2312" w:eastAsia="仿宋_GB2312" w:cs="仿宋_GB2312"/>
          <w:sz w:val="32"/>
          <w:szCs w:val="32"/>
          <w:lang w:val="en-US" w:eastAsia="zh-CN"/>
        </w:rPr>
        <w:t>政务服务体系</w:t>
      </w:r>
      <w:r>
        <w:rPr>
          <w:rFonts w:hint="default" w:ascii="仿宋_GB2312" w:hAnsi="仿宋_GB2312" w:eastAsia="仿宋_GB2312" w:cs="仿宋_GB2312"/>
          <w:sz w:val="32"/>
          <w:szCs w:val="32"/>
          <w:lang w:val="en-US" w:eastAsia="zh-CN"/>
        </w:rPr>
        <w:t>。夯实“数据链”，承接市级数据下沉试点任务，</w:t>
      </w:r>
      <w:r>
        <w:rPr>
          <w:rFonts w:hint="eastAsia" w:ascii="仿宋_GB2312" w:hAnsi="仿宋_GB2312" w:eastAsia="仿宋_GB2312" w:cs="仿宋_GB2312"/>
          <w:sz w:val="32"/>
          <w:szCs w:val="32"/>
          <w:lang w:val="en-US" w:eastAsia="zh-CN"/>
        </w:rPr>
        <w:t>持续优化</w:t>
      </w:r>
      <w:r>
        <w:rPr>
          <w:rFonts w:hint="default" w:ascii="仿宋_GB2312" w:hAnsi="仿宋_GB2312" w:eastAsia="仿宋_GB2312" w:cs="仿宋_GB2312"/>
          <w:sz w:val="32"/>
          <w:szCs w:val="32"/>
          <w:lang w:val="en-US" w:eastAsia="zh-CN"/>
        </w:rPr>
        <w:t>政务服务数据资源管理</w:t>
      </w:r>
      <w:r>
        <w:rPr>
          <w:rFonts w:hint="eastAsia" w:ascii="仿宋_GB2312" w:hAnsi="仿宋_GB2312" w:eastAsia="仿宋_GB2312" w:cs="仿宋_GB2312"/>
          <w:sz w:val="32"/>
          <w:szCs w:val="32"/>
          <w:lang w:val="en-US" w:eastAsia="zh-CN"/>
        </w:rPr>
        <w:t>。激活</w:t>
      </w:r>
      <w:r>
        <w:rPr>
          <w:rFonts w:hint="default" w:ascii="仿宋_GB2312" w:hAnsi="仿宋_GB2312" w:eastAsia="仿宋_GB2312" w:cs="仿宋_GB2312"/>
          <w:sz w:val="32"/>
          <w:szCs w:val="32"/>
          <w:shd w:val="clear"/>
          <w:lang w:val="en-US" w:eastAsia="zh-CN"/>
        </w:rPr>
        <w:t>“智能链”，依托视频交互、大模型及智能体应用，</w:t>
      </w:r>
      <w:r>
        <w:rPr>
          <w:rFonts w:hint="eastAsia" w:ascii="仿宋_GB2312" w:hAnsi="仿宋_GB2312" w:eastAsia="仿宋_GB2312" w:cs="仿宋_GB2312"/>
          <w:sz w:val="32"/>
          <w:szCs w:val="32"/>
          <w:lang w:val="en-US" w:eastAsia="zh-CN"/>
        </w:rPr>
        <w:t>支撑推动咨询、申报、帮办等服务智能化提升</w:t>
      </w:r>
      <w:r>
        <w:rPr>
          <w:rFonts w:hint="eastAsia" w:ascii="仿宋_GB2312" w:hAnsi="仿宋_GB2312" w:eastAsia="仿宋_GB2312" w:cs="仿宋_GB2312"/>
          <w:sz w:val="32"/>
          <w:szCs w:val="32"/>
          <w:shd w:val="clear"/>
          <w:lang w:val="en-US" w:eastAsia="zh-CN"/>
        </w:rPr>
        <w:t>。精耕</w:t>
      </w:r>
      <w:r>
        <w:rPr>
          <w:rFonts w:hint="default" w:ascii="仿宋_GB2312" w:hAnsi="仿宋_GB2312" w:eastAsia="仿宋_GB2312" w:cs="仿宋_GB2312"/>
          <w:sz w:val="32"/>
          <w:szCs w:val="32"/>
          <w:lang w:val="en-US" w:eastAsia="zh-CN"/>
        </w:rPr>
        <w:t>“服务链”，</w:t>
      </w:r>
      <w:r>
        <w:rPr>
          <w:rFonts w:hint="eastAsia" w:ascii="仿宋_GB2312" w:hAnsi="仿宋_GB2312" w:eastAsia="仿宋_GB2312" w:cs="仿宋_GB2312"/>
          <w:sz w:val="32"/>
          <w:szCs w:val="32"/>
          <w:lang w:val="en-US" w:eastAsia="zh-CN"/>
        </w:rPr>
        <w:t>以</w:t>
      </w:r>
      <w:r>
        <w:rPr>
          <w:rFonts w:hint="default" w:ascii="仿宋_GB2312" w:hAnsi="仿宋_GB2312" w:eastAsia="仿宋_GB2312" w:cs="仿宋_GB2312"/>
          <w:sz w:val="32"/>
          <w:szCs w:val="32"/>
          <w:lang w:val="en-US" w:eastAsia="zh-CN"/>
        </w:rPr>
        <w:t>深化咨询引导服务、靠前帮办服务、极简</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服务、跨</w:t>
      </w:r>
      <w:r>
        <w:rPr>
          <w:rFonts w:hint="eastAsia" w:ascii="仿宋_GB2312" w:hAnsi="仿宋_GB2312" w:eastAsia="仿宋_GB2312" w:cs="仿宋_GB2312"/>
          <w:sz w:val="32"/>
          <w:szCs w:val="32"/>
          <w:lang w:val="en-US" w:eastAsia="zh-CN"/>
        </w:rPr>
        <w:t>部门跨层级“一类事”</w:t>
      </w:r>
      <w:r>
        <w:rPr>
          <w:rFonts w:hint="default" w:ascii="仿宋_GB2312" w:hAnsi="仿宋_GB2312" w:eastAsia="仿宋_GB2312" w:cs="仿宋_GB2312"/>
          <w:sz w:val="32"/>
          <w:szCs w:val="32"/>
          <w:lang w:val="en-US" w:eastAsia="zh-CN"/>
        </w:rPr>
        <w:t>协同服务</w:t>
      </w:r>
      <w:r>
        <w:rPr>
          <w:rFonts w:hint="eastAsia" w:ascii="仿宋_GB2312" w:hAnsi="仿宋_GB2312" w:eastAsia="仿宋_GB2312" w:cs="仿宋_GB2312"/>
          <w:sz w:val="32"/>
          <w:szCs w:val="32"/>
          <w:lang w:val="en-US" w:eastAsia="zh-CN"/>
        </w:rPr>
        <w:t>为支点，</w:t>
      </w:r>
      <w:r>
        <w:rPr>
          <w:rFonts w:hint="default" w:ascii="仿宋_GB2312" w:hAnsi="仿宋_GB2312" w:eastAsia="仿宋_GB2312" w:cs="仿宋_GB2312"/>
          <w:sz w:val="32"/>
          <w:szCs w:val="32"/>
          <w:lang w:val="en-US" w:eastAsia="zh-CN"/>
        </w:rPr>
        <w:t>实现服务从“能办”向“智办”“优办”跃升</w:t>
      </w:r>
      <w:r>
        <w:rPr>
          <w:rFonts w:hint="eastAsia" w:ascii="仿宋_GB2312" w:hAnsi="仿宋_GB2312" w:eastAsia="仿宋_GB2312" w:cs="仿宋_GB2312"/>
          <w:sz w:val="32"/>
          <w:szCs w:val="32"/>
          <w:lang w:val="en-US" w:eastAsia="zh-CN"/>
        </w:rPr>
        <w:t>，深入推进“一网通办”</w:t>
      </w:r>
      <w:r>
        <w:rPr>
          <w:rFonts w:hint="default" w:ascii="仿宋_GB2312" w:hAnsi="仿宋_GB2312" w:eastAsia="仿宋_GB2312" w:cs="仿宋_GB2312"/>
          <w:sz w:val="32"/>
          <w:szCs w:val="32"/>
          <w:lang w:val="en-US" w:eastAsia="zh-CN"/>
        </w:rPr>
        <w:t>。</w:t>
      </w:r>
    </w:p>
    <w:p w14:paraId="24F3D5D5">
      <w:pPr>
        <w:keepNext w:val="0"/>
        <w:keepLines w:val="0"/>
        <w:pageBreakBefore w:val="0"/>
        <w:widowControl w:val="0"/>
        <w:numPr>
          <w:ilvl w:val="0"/>
          <w:numId w:val="2"/>
        </w:numPr>
        <w:shd w:val="clear"/>
        <w:kinsoku/>
        <w:wordWrap/>
        <w:overflowPunct/>
        <w:topLinePunct w:val="0"/>
        <w:autoSpaceDE/>
        <w:autoSpaceDN/>
        <w:bidi w:val="0"/>
        <w:adjustRightInd/>
        <w:snapToGrid/>
        <w:spacing w:beforeAutospacing="0" w:afterAutospacing="0" w:line="560" w:lineRule="exact"/>
        <w:ind w:left="-10" w:leftChars="0" w:firstLine="640" w:firstLineChars="0"/>
        <w:textAlignment w:val="auto"/>
        <w:outlineLvl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lang w:val="en-US" w:eastAsia="zh-CN" w:bidi="ar-SA"/>
        </w:rPr>
        <w:t>提高智慧医疗服务体系效能</w:t>
      </w:r>
    </w:p>
    <w:p w14:paraId="1F24688D">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搭建“应用深度融合、业务智能协同、数据统一驱动”的基层医疗卫生服务一体化平台。以居民为中心，升级检验检查结果互认共享、居民电子健康档案“一人一档”、慢病管理数智化等应用场景。以医护为中心，</w:t>
      </w:r>
      <w:r>
        <w:rPr>
          <w:rFonts w:hint="eastAsia" w:ascii="仿宋_GB2312" w:hAnsi="仿宋_GB2312" w:eastAsia="仿宋_GB2312" w:cs="仿宋_GB2312"/>
          <w:kern w:val="2"/>
          <w:sz w:val="32"/>
          <w:szCs w:val="32"/>
          <w:lang w:val="en-US" w:eastAsia="zh-CN" w:bidi="ar-SA"/>
        </w:rPr>
        <w:t>畅通双向转诊、远程诊疗等业务场景</w:t>
      </w:r>
      <w:r>
        <w:rPr>
          <w:rFonts w:hint="eastAsia" w:ascii="仿宋_GB2312" w:hAnsi="仿宋_GB2312" w:eastAsia="仿宋_GB2312" w:cs="仿宋_GB2312"/>
          <w:sz w:val="32"/>
          <w:szCs w:val="32"/>
          <w:lang w:val="en-US" w:eastAsia="zh-CN"/>
        </w:rPr>
        <w:t>。以管理为中心，构建医疗质量与安全智能预警模型，打造分层赋能的智慧治理应用平台。以数据为中心，搭建全域统一健康数据资源池，创新探索跨部门协同办事应用场景。推进</w:t>
      </w:r>
      <w:r>
        <w:rPr>
          <w:rFonts w:hint="eastAsia" w:ascii="仿宋_GB2312" w:hAnsi="仿宋_GB2312" w:eastAsia="仿宋_GB2312" w:cs="仿宋_GB2312"/>
          <w:b w:val="0"/>
          <w:bCs w:val="0"/>
          <w:kern w:val="2"/>
          <w:sz w:val="32"/>
          <w:szCs w:val="32"/>
          <w:lang w:val="en-US" w:eastAsia="zh-CN" w:bidi="ar-SA"/>
        </w:rPr>
        <w:t>区医院、</w:t>
      </w:r>
      <w:r>
        <w:rPr>
          <w:rFonts w:hint="eastAsia" w:ascii="仿宋_GB2312" w:hAnsi="仿宋_GB2312" w:eastAsia="仿宋_GB2312" w:cs="仿宋_GB2312"/>
          <w:b w:val="0"/>
          <w:bCs w:val="0"/>
          <w:kern w:val="2"/>
          <w:sz w:val="32"/>
          <w:szCs w:val="32"/>
          <w:highlight w:val="none"/>
          <w:lang w:val="en-US" w:eastAsia="zh-CN" w:bidi="ar-SA"/>
        </w:rPr>
        <w:t>卫生服务中心、</w:t>
      </w:r>
      <w:r>
        <w:rPr>
          <w:rFonts w:hint="eastAsia" w:ascii="仿宋_GB2312" w:hAnsi="仿宋_GB2312" w:eastAsia="仿宋_GB2312" w:cs="仿宋_GB2312"/>
          <w:b w:val="0"/>
          <w:bCs w:val="0"/>
          <w:kern w:val="2"/>
          <w:sz w:val="32"/>
          <w:szCs w:val="32"/>
          <w:lang w:val="en-US" w:eastAsia="zh-CN" w:bidi="ar-SA"/>
        </w:rPr>
        <w:t>卫生院等新址配套信息化升级改造，全面提高</w:t>
      </w:r>
      <w:r>
        <w:rPr>
          <w:rFonts w:hint="eastAsia" w:ascii="仿宋_GB2312" w:hAnsi="仿宋_GB2312" w:eastAsia="仿宋_GB2312" w:cs="仿宋_GB2312"/>
          <w:sz w:val="32"/>
          <w:szCs w:val="32"/>
          <w:lang w:val="en-US" w:eastAsia="zh-CN"/>
        </w:rPr>
        <w:t>基层医疗机构的</w:t>
      </w:r>
      <w:r>
        <w:rPr>
          <w:rFonts w:hint="eastAsia" w:ascii="仿宋_GB2312" w:hAnsi="仿宋_GB2312" w:eastAsia="仿宋_GB2312" w:cs="仿宋_GB2312"/>
          <w:b w:val="0"/>
          <w:bCs w:val="0"/>
          <w:kern w:val="2"/>
          <w:sz w:val="32"/>
          <w:szCs w:val="32"/>
          <w:lang w:val="en-US" w:eastAsia="zh-CN" w:bidi="ar-SA"/>
        </w:rPr>
        <w:t>数字化诊疗能力和精细化管理水平。</w:t>
      </w:r>
    </w:p>
    <w:p w14:paraId="313FF3E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10" w:leftChars="0" w:firstLine="640" w:firstLineChars="0"/>
        <w:textAlignment w:val="auto"/>
        <w:outlineLvl w:val="2"/>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b w:val="0"/>
          <w:bCs w:val="0"/>
          <w:kern w:val="2"/>
          <w:sz w:val="32"/>
          <w:szCs w:val="32"/>
          <w:lang w:val="en-US" w:eastAsia="zh-CN" w:bidi="ar-SA"/>
        </w:rPr>
        <w:t>建设</w:t>
      </w:r>
      <w:r>
        <w:rPr>
          <w:rFonts w:hint="eastAsia" w:ascii="仿宋_GB2312" w:hAnsi="仿宋_GB2312" w:eastAsia="仿宋_GB2312" w:cs="仿宋_GB2312"/>
          <w:b w:val="0"/>
          <w:bCs w:val="0"/>
          <w:kern w:val="2"/>
          <w:sz w:val="32"/>
          <w:szCs w:val="32"/>
          <w:lang w:val="en-US" w:eastAsia="zh-CN" w:bidi="ar-SA"/>
        </w:rPr>
        <w:t>数智</w:t>
      </w:r>
      <w:r>
        <w:rPr>
          <w:rFonts w:hint="default" w:ascii="仿宋_GB2312" w:hAnsi="仿宋_GB2312" w:eastAsia="仿宋_GB2312" w:cs="仿宋_GB2312"/>
          <w:sz w:val="32"/>
          <w:szCs w:val="32"/>
          <w:lang w:val="en-US" w:eastAsia="zh-CN"/>
        </w:rPr>
        <w:t>教育</w:t>
      </w:r>
      <w:r>
        <w:rPr>
          <w:rFonts w:hint="eastAsia" w:ascii="仿宋_GB2312" w:hAnsi="仿宋_GB2312" w:eastAsia="仿宋_GB2312" w:cs="仿宋_GB2312"/>
          <w:sz w:val="32"/>
          <w:szCs w:val="32"/>
          <w:lang w:val="en-US" w:eastAsia="zh-CN"/>
        </w:rPr>
        <w:t>共享</w:t>
      </w:r>
      <w:r>
        <w:rPr>
          <w:rFonts w:hint="default" w:ascii="仿宋_GB2312" w:hAnsi="仿宋_GB2312" w:eastAsia="仿宋_GB2312" w:cs="仿宋_GB2312"/>
          <w:sz w:val="32"/>
          <w:szCs w:val="32"/>
          <w:lang w:val="en-US" w:eastAsia="zh-CN"/>
        </w:rPr>
        <w:t>新生态</w:t>
      </w:r>
    </w:p>
    <w:p w14:paraId="4F881C0D">
      <w:pPr>
        <w:keepNext w:val="0"/>
        <w:keepLines w:val="0"/>
        <w:pageBreakBefore w:val="0"/>
        <w:kinsoku/>
        <w:wordWrap/>
        <w:autoSpaceDN/>
        <w:bidi w:val="0"/>
        <w:spacing w:beforeAutospacing="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推动Wi-Fi6及以上标准在校园实现100%覆盖，并完成现代化教学设备的更新换代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打通市</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区壁垒，</w:t>
      </w:r>
      <w:r>
        <w:rPr>
          <w:rFonts w:hint="eastAsia" w:ascii="仿宋_GB2312" w:hAnsi="仿宋_GB2312" w:eastAsia="仿宋_GB2312" w:cs="仿宋_GB2312"/>
          <w:b w:val="0"/>
          <w:bCs w:val="0"/>
          <w:sz w:val="32"/>
          <w:szCs w:val="32"/>
          <w:lang w:val="en-US" w:eastAsia="zh-CN"/>
        </w:rPr>
        <w:t>形成</w:t>
      </w:r>
      <w:r>
        <w:rPr>
          <w:rFonts w:hint="eastAsia" w:ascii="仿宋_GB2312" w:hAnsi="仿宋_GB2312" w:eastAsia="仿宋_GB2312" w:cs="仿宋_GB2312"/>
          <w:sz w:val="32"/>
          <w:szCs w:val="32"/>
          <w:lang w:val="en-US" w:eastAsia="zh-CN"/>
        </w:rPr>
        <w:t>一体化</w:t>
      </w:r>
      <w:r>
        <w:rPr>
          <w:rFonts w:hint="eastAsia" w:ascii="仿宋_GB2312" w:hAnsi="仿宋_GB2312" w:eastAsia="仿宋_GB2312" w:cs="仿宋_GB2312"/>
          <w:sz w:val="32"/>
          <w:szCs w:val="32"/>
        </w:rPr>
        <w:t>教育服务体系。</w:t>
      </w:r>
      <w:r>
        <w:rPr>
          <w:rFonts w:hint="eastAsia" w:ascii="仿宋_GB2312" w:hAnsi="仿宋_GB2312" w:eastAsia="仿宋_GB2312" w:cs="仿宋_GB2312"/>
          <w:sz w:val="32"/>
          <w:szCs w:val="32"/>
          <w:lang w:val="en-US" w:eastAsia="zh-CN"/>
        </w:rPr>
        <w:t>开展教育管理、教学质量评价、教师发展、学生成长等方面大数据建设，实现数据驱动教育精准治理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对接市级教师AI素养标准，实施数智强师专项行动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落实“教师－学生-AI”三元课堂，打造智慧教学、体育、心育及教师发展生态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研发“一科一辅（纸质）+一人一辅（数字）”智慧校本教辅资源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承接市级中试成果，推广“京娃”智能体与教师助手工具箱</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建设首都教育新地图大兴节点及“云游学”场景</w:t>
      </w:r>
      <w:r>
        <w:rPr>
          <w:rFonts w:hint="eastAsia" w:ascii="仿宋_GB2312" w:hAnsi="仿宋_GB2312" w:eastAsia="仿宋_GB2312" w:cs="仿宋_GB2312"/>
          <w:sz w:val="32"/>
          <w:szCs w:val="32"/>
        </w:rPr>
        <w:t>。全方位构建智能协同、特色鲜明的数智教育</w:t>
      </w:r>
      <w:r>
        <w:rPr>
          <w:rFonts w:hint="eastAsia" w:ascii="仿宋_GB2312" w:hAnsi="仿宋_GB2312" w:eastAsia="仿宋_GB2312" w:cs="仿宋_GB2312"/>
          <w:sz w:val="32"/>
          <w:szCs w:val="32"/>
          <w:lang w:val="en-US" w:eastAsia="zh-CN"/>
        </w:rPr>
        <w:t>发展</w:t>
      </w:r>
      <w:r>
        <w:rPr>
          <w:rFonts w:hint="eastAsia" w:ascii="仿宋_GB2312" w:hAnsi="仿宋_GB2312" w:eastAsia="仿宋_GB2312" w:cs="仿宋_GB2312"/>
          <w:sz w:val="32"/>
          <w:szCs w:val="32"/>
        </w:rPr>
        <w:t>新格局。</w:t>
      </w:r>
    </w:p>
    <w:p w14:paraId="0DAEA2C1">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kern w:val="2"/>
          <w:sz w:val="32"/>
          <w:szCs w:val="32"/>
          <w:lang w:val="en-US" w:eastAsia="zh-CN" w:bidi="ar-SA"/>
        </w:rPr>
        <w:t>推动就业服务保障智能化提升</w:t>
      </w:r>
    </w:p>
    <w:p w14:paraId="1D43BE56">
      <w:pPr>
        <w:keepNext w:val="0"/>
        <w:keepLines w:val="0"/>
        <w:pageBreakBefore w:val="0"/>
        <w:numPr>
          <w:ilvl w:val="0"/>
          <w:numId w:val="0"/>
        </w:numPr>
        <w:kinsoku/>
        <w:wordWrap/>
        <w:autoSpaceDN/>
        <w:bidi w:val="0"/>
        <w:spacing w:beforeAutospacing="0" w:afterAutospacing="0" w:line="560" w:lineRule="exact"/>
        <w:ind w:firstLine="640" w:firstLineChars="200"/>
        <w:outlineLvl w:val="9"/>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highlight w:val="none"/>
          <w:lang w:val="en-US" w:eastAsia="zh-CN"/>
        </w:rPr>
        <w:t>大兴</w:t>
      </w:r>
      <w:r>
        <w:rPr>
          <w:rFonts w:hint="default" w:ascii="仿宋_GB2312" w:hAnsi="仿宋_GB2312" w:eastAsia="仿宋_GB2312" w:cs="仿宋_GB2312"/>
          <w:sz w:val="32"/>
          <w:szCs w:val="32"/>
          <w:highlight w:val="none"/>
          <w:lang w:val="en-US" w:eastAsia="zh-CN"/>
        </w:rPr>
        <w:t>区企业智慧就业</w:t>
      </w:r>
      <w:r>
        <w:rPr>
          <w:rFonts w:hint="default" w:ascii="仿宋_GB2312" w:hAnsi="仿宋_GB2312" w:eastAsia="仿宋_GB2312" w:cs="仿宋_GB2312"/>
          <w:sz w:val="32"/>
          <w:szCs w:val="32"/>
          <w:lang w:val="en-US" w:eastAsia="zh-CN"/>
        </w:rPr>
        <w:t>”服务站</w:t>
      </w:r>
      <w:r>
        <w:rPr>
          <w:rFonts w:hint="eastAsia" w:ascii="仿宋_GB2312" w:hAnsi="仿宋_GB2312" w:eastAsia="仿宋_GB2312" w:cs="仿宋_GB2312"/>
          <w:sz w:val="32"/>
          <w:szCs w:val="32"/>
          <w:lang w:val="en-US" w:eastAsia="zh-CN"/>
        </w:rPr>
        <w:t>，搭建</w:t>
      </w:r>
      <w:r>
        <w:rPr>
          <w:rFonts w:hint="default" w:ascii="仿宋_GB2312" w:hAnsi="仿宋_GB2312" w:eastAsia="仿宋_GB2312" w:cs="仿宋_GB2312"/>
          <w:sz w:val="32"/>
          <w:szCs w:val="32"/>
          <w:lang w:val="en-US" w:eastAsia="zh-CN"/>
        </w:rPr>
        <w:t>智能岗位匹配、需求精准预测等场景</w:t>
      </w:r>
      <w:r>
        <w:rPr>
          <w:rFonts w:hint="eastAsia" w:ascii="仿宋_GB2312" w:hAnsi="仿宋_GB2312" w:eastAsia="仿宋_GB2312" w:cs="仿宋_GB2312"/>
          <w:sz w:val="32"/>
          <w:szCs w:val="32"/>
          <w:lang w:val="en-US" w:eastAsia="zh-CN"/>
        </w:rPr>
        <w:t>，实现</w:t>
      </w:r>
      <w:r>
        <w:rPr>
          <w:rFonts w:hint="default" w:ascii="仿宋_GB2312" w:hAnsi="仿宋_GB2312" w:eastAsia="仿宋_GB2312" w:cs="仿宋_GB2312"/>
          <w:sz w:val="32"/>
          <w:szCs w:val="32"/>
          <w:lang w:val="en-US" w:eastAsia="zh-CN"/>
        </w:rPr>
        <w:t>人力资源市场</w:t>
      </w:r>
      <w:r>
        <w:rPr>
          <w:rFonts w:hint="eastAsia" w:ascii="仿宋_GB2312" w:hAnsi="仿宋_GB2312" w:eastAsia="仿宋_GB2312" w:cs="仿宋_GB2312"/>
          <w:sz w:val="32"/>
          <w:szCs w:val="32"/>
          <w:lang w:val="en-US" w:eastAsia="zh-CN"/>
        </w:rPr>
        <w:t>供需对接智能化，提升重点群体服务精准度</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建立劳动保障监察一体化服务平台，推动治理欠薪工作从“被动应对诉求”向“主动排查预防”转变。</w:t>
      </w:r>
    </w:p>
    <w:p w14:paraId="187D0BFE">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推</w:t>
      </w:r>
      <w:r>
        <w:rPr>
          <w:rFonts w:hint="eastAsia" w:ascii="仿宋_GB2312" w:hAnsi="仿宋_GB2312" w:eastAsia="仿宋_GB2312" w:cs="仿宋_GB2312"/>
          <w:sz w:val="32"/>
          <w:szCs w:val="32"/>
          <w:highlight w:val="none"/>
          <w:lang w:val="en-US" w:eastAsia="zh-CN"/>
        </w:rPr>
        <w:t>进文商旅体</w:t>
      </w:r>
      <w:r>
        <w:rPr>
          <w:rFonts w:hint="default" w:ascii="仿宋_GB2312" w:hAnsi="仿宋_GB2312" w:eastAsia="仿宋_GB2312" w:cs="仿宋_GB2312"/>
          <w:sz w:val="32"/>
          <w:szCs w:val="32"/>
          <w:highlight w:val="none"/>
          <w:lang w:val="en-US" w:eastAsia="zh-CN"/>
        </w:rPr>
        <w:t>数字化</w:t>
      </w:r>
      <w:r>
        <w:rPr>
          <w:rFonts w:hint="eastAsia" w:ascii="仿宋_GB2312" w:hAnsi="仿宋_GB2312" w:eastAsia="仿宋_GB2312" w:cs="仿宋_GB2312"/>
          <w:sz w:val="32"/>
          <w:szCs w:val="32"/>
          <w:highlight w:val="none"/>
          <w:lang w:val="en-US" w:eastAsia="zh-CN"/>
        </w:rPr>
        <w:t>融合发展</w:t>
      </w:r>
    </w:p>
    <w:p w14:paraId="115A8A0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完善智慧图书馆和数字文化馆建设，持续丰富区域图书、文化、文物等特色数字资源。打造休闲度假多元化、智能化体验场景，稳步提升区域旅游服务品质与游客满意度。</w:t>
      </w:r>
      <w:r>
        <w:rPr>
          <w:rFonts w:hint="default" w:ascii="仿宋_GB2312" w:hAnsi="仿宋_GB2312" w:eastAsia="仿宋_GB2312" w:cs="仿宋_GB2312"/>
          <w:sz w:val="32"/>
          <w:szCs w:val="32"/>
          <w:lang w:val="en-US" w:eastAsia="zh-CN"/>
        </w:rPr>
        <w:t>加快智慧商圈、智慧门店建设，鼓励</w:t>
      </w:r>
      <w:r>
        <w:rPr>
          <w:rFonts w:hint="eastAsia" w:ascii="仿宋_GB2312" w:hAnsi="仿宋_GB2312" w:eastAsia="仿宋_GB2312" w:cs="仿宋_GB2312"/>
          <w:sz w:val="32"/>
          <w:szCs w:val="32"/>
          <w:lang w:val="en-US" w:eastAsia="zh-CN"/>
        </w:rPr>
        <w:t>经营</w:t>
      </w:r>
      <w:r>
        <w:rPr>
          <w:rFonts w:hint="default" w:ascii="仿宋_GB2312" w:hAnsi="仿宋_GB2312" w:eastAsia="仿宋_GB2312" w:cs="仿宋_GB2312"/>
          <w:sz w:val="32"/>
          <w:szCs w:val="32"/>
          <w:lang w:val="en-US" w:eastAsia="zh-CN"/>
        </w:rPr>
        <w:t>主体布局商圈消费体验中心，探索AI大卖场</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数</w:t>
      </w:r>
      <w:r>
        <w:rPr>
          <w:rFonts w:hint="eastAsia" w:ascii="仿宋_GB2312" w:hAnsi="仿宋_GB2312" w:eastAsia="仿宋_GB2312" w:cs="仿宋_GB2312"/>
          <w:sz w:val="32"/>
          <w:szCs w:val="32"/>
          <w:lang w:val="en-US" w:eastAsia="zh-CN"/>
        </w:rPr>
        <w:t>智</w:t>
      </w:r>
      <w:r>
        <w:rPr>
          <w:rFonts w:hint="default" w:ascii="仿宋_GB2312" w:hAnsi="仿宋_GB2312" w:eastAsia="仿宋_GB2312" w:cs="仿宋_GB2312"/>
          <w:sz w:val="32"/>
          <w:szCs w:val="32"/>
          <w:lang w:val="en-US" w:eastAsia="zh-CN"/>
        </w:rPr>
        <w:t>化转型实践</w:t>
      </w:r>
      <w:r>
        <w:rPr>
          <w:rFonts w:hint="eastAsia" w:ascii="仿宋_GB2312" w:hAnsi="仿宋_GB2312" w:eastAsia="仿宋_GB2312" w:cs="仿宋_GB2312"/>
          <w:sz w:val="32"/>
          <w:szCs w:val="32"/>
          <w:lang w:val="en-US" w:eastAsia="zh-CN"/>
        </w:rPr>
        <w:t>。支持家政企业对接社区居民家政服务需求，提供菜单式个性化、数智化家政服务产品。</w:t>
      </w:r>
      <w:r>
        <w:rPr>
          <w:rFonts w:hint="default" w:ascii="仿宋_GB2312" w:hAnsi="仿宋_GB2312" w:eastAsia="仿宋_GB2312" w:cs="仿宋_GB2312"/>
          <w:sz w:val="32"/>
          <w:szCs w:val="32"/>
          <w:lang w:val="en-US" w:eastAsia="zh-CN"/>
        </w:rPr>
        <w:t>依托</w:t>
      </w:r>
      <w:r>
        <w:rPr>
          <w:rFonts w:hint="eastAsia" w:ascii="仿宋_GB2312" w:hAnsi="仿宋_GB2312" w:eastAsia="仿宋_GB2312" w:cs="仿宋_GB2312"/>
          <w:sz w:val="32"/>
          <w:szCs w:val="32"/>
          <w:lang w:val="en-US" w:eastAsia="zh-CN"/>
        </w:rPr>
        <w:t>大兴</w:t>
      </w:r>
      <w:r>
        <w:rPr>
          <w:rFonts w:hint="default" w:ascii="仿宋_GB2312" w:hAnsi="仿宋_GB2312" w:eastAsia="仿宋_GB2312" w:cs="仿宋_GB2312"/>
          <w:sz w:val="32"/>
          <w:szCs w:val="32"/>
          <w:lang w:val="en-US" w:eastAsia="zh-CN"/>
        </w:rPr>
        <w:t>花马、全国青少年马术锦标赛等品牌赛事承办经验，</w:t>
      </w:r>
      <w:r>
        <w:rPr>
          <w:rFonts w:hint="eastAsia" w:ascii="仿宋_GB2312" w:hAnsi="仿宋_GB2312" w:eastAsia="仿宋_GB2312" w:cs="仿宋_GB2312"/>
          <w:sz w:val="32"/>
          <w:szCs w:val="32"/>
          <w:lang w:val="en-US" w:eastAsia="zh-CN"/>
        </w:rPr>
        <w:t>探索</w:t>
      </w:r>
      <w:r>
        <w:rPr>
          <w:rFonts w:hint="default" w:ascii="仿宋_GB2312" w:hAnsi="仿宋_GB2312" w:eastAsia="仿宋_GB2312" w:cs="仿宋_GB2312"/>
          <w:sz w:val="32"/>
          <w:szCs w:val="32"/>
          <w:lang w:val="en-US" w:eastAsia="zh-CN"/>
        </w:rPr>
        <w:t>专属赛事IP数字化运营</w:t>
      </w:r>
      <w:r>
        <w:rPr>
          <w:rFonts w:hint="eastAsia" w:ascii="仿宋_GB2312" w:hAnsi="仿宋_GB2312" w:eastAsia="仿宋_GB2312" w:cs="仿宋_GB2312"/>
          <w:sz w:val="32"/>
          <w:szCs w:val="32"/>
          <w:lang w:val="en-US" w:eastAsia="zh-CN"/>
        </w:rPr>
        <w:t>模式</w:t>
      </w:r>
      <w:r>
        <w:rPr>
          <w:rFonts w:hint="default" w:ascii="仿宋_GB2312" w:hAnsi="仿宋_GB2312" w:eastAsia="仿宋_GB2312" w:cs="仿宋_GB2312"/>
          <w:sz w:val="32"/>
          <w:szCs w:val="32"/>
          <w:lang w:val="en-US" w:eastAsia="zh-CN"/>
        </w:rPr>
        <w:t>。</w:t>
      </w:r>
    </w:p>
    <w:p w14:paraId="4BA7B4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bCs/>
          <w:color w:val="C00000"/>
          <w:sz w:val="32"/>
          <w:szCs w:val="32"/>
          <w:lang w:val="en-US" w:eastAsia="zh-CN"/>
        </w:rPr>
      </w:pPr>
      <w:bookmarkStart w:id="19" w:name="_Toc943786488"/>
      <w:bookmarkStart w:id="20" w:name="_Toc21866"/>
      <w:r>
        <w:rPr>
          <w:rFonts w:hint="eastAsia" w:ascii="楷体_GB2312" w:hAnsi="楷体_GB2312" w:eastAsia="楷体_GB2312" w:cs="楷体_GB2312"/>
          <w:b w:val="0"/>
          <w:bCs w:val="0"/>
          <w:sz w:val="32"/>
          <w:szCs w:val="32"/>
          <w:lang w:val="en-US" w:eastAsia="zh-CN"/>
        </w:rPr>
        <w:t>（</w:t>
      </w:r>
      <w:r>
        <w:rPr>
          <w:rFonts w:hint="default" w:ascii="楷体_GB2312" w:hAnsi="楷体_GB2312" w:eastAsia="楷体_GB2312" w:cs="楷体_GB2312"/>
          <w:b w:val="0"/>
          <w:bCs w:val="0"/>
          <w:sz w:val="32"/>
          <w:szCs w:val="32"/>
          <w:lang w:val="en-US" w:eastAsia="zh-CN"/>
        </w:rPr>
        <w:t>四</w:t>
      </w:r>
      <w:r>
        <w:rPr>
          <w:rFonts w:hint="eastAsia" w:ascii="楷体_GB2312" w:hAnsi="楷体_GB2312" w:eastAsia="楷体_GB2312" w:cs="楷体_GB2312"/>
          <w:b w:val="0"/>
          <w:bCs w:val="0"/>
          <w:sz w:val="32"/>
          <w:szCs w:val="32"/>
          <w:lang w:val="en-US" w:eastAsia="zh-CN"/>
        </w:rPr>
        <w:t>）</w:t>
      </w:r>
      <w:r>
        <w:rPr>
          <w:rFonts w:hint="default" w:ascii="楷体_GB2312" w:hAnsi="楷体_GB2312" w:eastAsia="楷体_GB2312" w:cs="楷体_GB2312"/>
          <w:b w:val="0"/>
          <w:bCs w:val="0"/>
          <w:sz w:val="32"/>
          <w:szCs w:val="32"/>
          <w:lang w:val="en-US" w:eastAsia="zh-CN"/>
        </w:rPr>
        <w:t>推进精准智能的城市治理，提升管理运行效率</w:t>
      </w:r>
      <w:bookmarkEnd w:id="19"/>
      <w:bookmarkEnd w:id="20"/>
    </w:p>
    <w:p w14:paraId="5BD0D719">
      <w:pPr>
        <w:keepNext w:val="0"/>
        <w:keepLines w:val="0"/>
        <w:pageBreakBefore w:val="0"/>
        <w:widowControl w:val="0"/>
        <w:numPr>
          <w:ilvl w:val="0"/>
          <w:numId w:val="0"/>
        </w:numPr>
        <w:shd w:val="clear" w:color="auto"/>
        <w:kinsoku/>
        <w:wordWrap/>
        <w:overflowPunct w:val="0"/>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val="en-US" w:eastAsia="zh-CN"/>
        </w:rPr>
        <w:t>开展机关办公、</w:t>
      </w:r>
      <w:r>
        <w:rPr>
          <w:rFonts w:hint="default" w:ascii="仿宋_GB2312" w:hAnsi="仿宋_GB2312" w:eastAsia="仿宋_GB2312" w:cs="仿宋_GB2312"/>
          <w:color w:val="auto"/>
          <w:spacing w:val="0"/>
          <w:sz w:val="32"/>
          <w:szCs w:val="32"/>
          <w:highlight w:val="none"/>
          <w:lang w:eastAsia="zh-CN"/>
        </w:rPr>
        <w:t>城市运行、基层治理、交通</w:t>
      </w:r>
      <w:r>
        <w:rPr>
          <w:rFonts w:hint="eastAsia" w:ascii="仿宋_GB2312" w:hAnsi="仿宋_GB2312" w:eastAsia="仿宋_GB2312" w:cs="仿宋_GB2312"/>
          <w:color w:val="auto"/>
          <w:spacing w:val="0"/>
          <w:sz w:val="32"/>
          <w:szCs w:val="32"/>
          <w:highlight w:val="none"/>
          <w:lang w:val="en-US" w:eastAsia="zh-CN"/>
        </w:rPr>
        <w:t>治理</w:t>
      </w:r>
      <w:r>
        <w:rPr>
          <w:rFonts w:hint="default" w:ascii="仿宋_GB2312" w:hAnsi="仿宋_GB2312" w:eastAsia="仿宋_GB2312" w:cs="仿宋_GB2312"/>
          <w:color w:val="auto"/>
          <w:spacing w:val="0"/>
          <w:sz w:val="32"/>
          <w:szCs w:val="32"/>
          <w:highlight w:val="none"/>
          <w:lang w:eastAsia="zh-CN"/>
        </w:rPr>
        <w:t>、生态环境、公共安全等</w:t>
      </w:r>
      <w:r>
        <w:rPr>
          <w:rFonts w:hint="eastAsia" w:ascii="仿宋_GB2312" w:hAnsi="仿宋_GB2312" w:eastAsia="仿宋_GB2312" w:cs="仿宋_GB2312"/>
          <w:color w:val="auto"/>
          <w:spacing w:val="0"/>
          <w:sz w:val="32"/>
          <w:szCs w:val="32"/>
          <w:highlight w:val="none"/>
          <w:lang w:val="en-US" w:eastAsia="zh-CN"/>
        </w:rPr>
        <w:t>数智化</w:t>
      </w:r>
      <w:r>
        <w:rPr>
          <w:rFonts w:hint="default" w:ascii="仿宋_GB2312" w:hAnsi="仿宋_GB2312" w:eastAsia="仿宋_GB2312" w:cs="仿宋_GB2312"/>
          <w:color w:val="auto"/>
          <w:spacing w:val="0"/>
          <w:sz w:val="32"/>
          <w:szCs w:val="32"/>
          <w:highlight w:val="none"/>
          <w:lang w:eastAsia="zh-CN"/>
        </w:rPr>
        <w:t>场景</w:t>
      </w:r>
      <w:r>
        <w:rPr>
          <w:rFonts w:hint="eastAsia" w:ascii="仿宋_GB2312" w:hAnsi="仿宋_GB2312" w:eastAsia="仿宋_GB2312" w:cs="仿宋_GB2312"/>
          <w:color w:val="auto"/>
          <w:spacing w:val="0"/>
          <w:sz w:val="32"/>
          <w:szCs w:val="32"/>
          <w:highlight w:val="none"/>
          <w:lang w:val="en-US" w:eastAsia="zh-CN"/>
        </w:rPr>
        <w:t>建设</w:t>
      </w:r>
      <w:r>
        <w:rPr>
          <w:rFonts w:hint="default" w:ascii="仿宋_GB2312" w:hAnsi="仿宋_GB2312" w:eastAsia="仿宋_GB2312" w:cs="仿宋_GB2312"/>
          <w:color w:val="auto"/>
          <w:spacing w:val="0"/>
          <w:sz w:val="32"/>
          <w:szCs w:val="32"/>
          <w:highlight w:val="none"/>
          <w:lang w:eastAsia="zh-CN"/>
        </w:rPr>
        <w:t>，推动城市治理科学化、精细化、智能化。</w:t>
      </w:r>
    </w:p>
    <w:p w14:paraId="6D889CEB">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提升机关办公</w:t>
      </w:r>
      <w:r>
        <w:rPr>
          <w:rFonts w:hint="default" w:ascii="仿宋_GB2312" w:hAnsi="仿宋_GB2312" w:eastAsia="仿宋_GB2312" w:cs="仿宋_GB2312"/>
          <w:sz w:val="32"/>
          <w:szCs w:val="32"/>
          <w:lang w:val="en-US" w:eastAsia="zh-CN"/>
        </w:rPr>
        <w:t>运行效能</w:t>
      </w:r>
    </w:p>
    <w:p w14:paraId="55D585CB">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京办”为统一办公入口，优化升级政务协同办公系统，加快推进区级应用接入。建设覆盖全区、统一规范的“大兴区数字档案室一体化平台”，推动档案资源数字化、服务智能化、管理协同化。围绕各行业领域业务开展和领导决策需求，开发一批面向不同业务领域的驾驶舱应用场景，</w:t>
      </w:r>
      <w:r>
        <w:rPr>
          <w:rFonts w:hint="default" w:ascii="仿宋_GB2312" w:hAnsi="仿宋_GB2312" w:eastAsia="仿宋_GB2312" w:cs="仿宋_GB2312"/>
          <w:sz w:val="32"/>
          <w:szCs w:val="32"/>
          <w:lang w:val="en-US" w:eastAsia="zh-CN"/>
        </w:rPr>
        <w:t>深化</w:t>
      </w:r>
      <w:r>
        <w:rPr>
          <w:rFonts w:hint="eastAsia" w:ascii="仿宋_GB2312" w:hAnsi="仿宋_GB2312" w:eastAsia="仿宋_GB2312" w:cs="仿宋_GB2312"/>
          <w:sz w:val="32"/>
          <w:szCs w:val="32"/>
          <w:lang w:val="en-US" w:eastAsia="zh-CN"/>
        </w:rPr>
        <w:t>“一网慧治”</w:t>
      </w:r>
      <w:r>
        <w:rPr>
          <w:rFonts w:hint="default" w:ascii="仿宋_GB2312" w:hAnsi="仿宋_GB2312" w:eastAsia="仿宋_GB2312" w:cs="仿宋_GB2312"/>
          <w:sz w:val="32"/>
          <w:szCs w:val="32"/>
          <w:lang w:val="en-US" w:eastAsia="zh-CN"/>
        </w:rPr>
        <w:t>多层级决策体系</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充分利用“京智”平台共性基础能力，完善领导驾驶舱功能，</w:t>
      </w:r>
      <w:r>
        <w:rPr>
          <w:rFonts w:hint="eastAsia" w:ascii="仿宋_GB2312" w:hAnsi="仿宋_GB2312" w:eastAsia="仿宋_GB2312" w:cs="仿宋_GB2312"/>
          <w:sz w:val="32"/>
          <w:szCs w:val="32"/>
          <w:lang w:val="en-US" w:eastAsia="zh-CN"/>
        </w:rPr>
        <w:t>对</w:t>
      </w:r>
      <w:r>
        <w:rPr>
          <w:rFonts w:hint="default" w:ascii="仿宋_GB2312" w:hAnsi="仿宋_GB2312" w:eastAsia="仿宋_GB2312" w:cs="仿宋_GB2312"/>
          <w:sz w:val="32"/>
          <w:szCs w:val="32"/>
          <w:lang w:val="en-US" w:eastAsia="zh-CN"/>
        </w:rPr>
        <w:t>重点领域</w:t>
      </w:r>
      <w:r>
        <w:rPr>
          <w:rFonts w:hint="eastAsia" w:ascii="仿宋_GB2312" w:hAnsi="仿宋_GB2312" w:eastAsia="仿宋_GB2312" w:cs="仿宋_GB2312"/>
          <w:sz w:val="32"/>
          <w:szCs w:val="32"/>
          <w:lang w:val="en-US" w:eastAsia="zh-CN"/>
        </w:rPr>
        <w:t>、主题决策</w:t>
      </w:r>
      <w:r>
        <w:rPr>
          <w:rFonts w:hint="default" w:ascii="仿宋_GB2312" w:hAnsi="仿宋_GB2312" w:eastAsia="仿宋_GB2312" w:cs="仿宋_GB2312"/>
          <w:sz w:val="32"/>
          <w:szCs w:val="32"/>
          <w:lang w:val="en-US" w:eastAsia="zh-CN"/>
        </w:rPr>
        <w:t>指标</w:t>
      </w:r>
      <w:r>
        <w:rPr>
          <w:rFonts w:hint="eastAsia" w:ascii="仿宋_GB2312" w:hAnsi="仿宋_GB2312" w:eastAsia="仿宋_GB2312" w:cs="仿宋_GB2312"/>
          <w:sz w:val="32"/>
          <w:szCs w:val="32"/>
          <w:lang w:val="en-US" w:eastAsia="zh-CN"/>
        </w:rPr>
        <w:t>进行</w:t>
      </w:r>
      <w:r>
        <w:rPr>
          <w:rFonts w:hint="default" w:ascii="仿宋_GB2312" w:hAnsi="仿宋_GB2312" w:eastAsia="仿宋_GB2312" w:cs="仿宋_GB2312"/>
          <w:sz w:val="32"/>
          <w:szCs w:val="32"/>
          <w:lang w:val="en-US" w:eastAsia="zh-CN"/>
        </w:rPr>
        <w:t>统一管理、接入和展示</w:t>
      </w:r>
      <w:r>
        <w:rPr>
          <w:rFonts w:hint="eastAsia" w:ascii="仿宋_GB2312" w:hAnsi="仿宋_GB2312" w:eastAsia="仿宋_GB2312" w:cs="仿宋_GB2312"/>
          <w:sz w:val="32"/>
          <w:szCs w:val="32"/>
          <w:lang w:val="en-US" w:eastAsia="zh-CN"/>
        </w:rPr>
        <w:t>，实现数据一屏汇聚、态势实时感知、决策精准高效。</w:t>
      </w:r>
    </w:p>
    <w:p w14:paraId="154466B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助力城市运行平稳推进</w:t>
      </w:r>
    </w:p>
    <w:p w14:paraId="5B7E416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搭建多层级、全流程诉求办理平台，强化基层诉求办理能力。升级“吹哨报到”平台，提升跨区域、跨部门协同处置能力。推动AI赋能接诉即办全业务链条，拓展智能派单、审核、预警、问数及诉求智库等场景。基于视频治理综合服务平台，构建区域视图智能体，迭代AI识别、预警分析及智能调度等功能，探索社会治理感知、分析、决策、处置、反馈的智能化流程。</w:t>
      </w:r>
    </w:p>
    <w:p w14:paraId="315AE7D6">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推动数智赋能</w:t>
      </w:r>
      <w:r>
        <w:rPr>
          <w:rFonts w:hint="default" w:ascii="仿宋_GB2312" w:hAnsi="仿宋_GB2312" w:eastAsia="仿宋_GB2312" w:cs="仿宋_GB2312"/>
          <w:sz w:val="32"/>
          <w:szCs w:val="32"/>
          <w:highlight w:val="none"/>
          <w:lang w:val="en-US" w:eastAsia="zh-CN"/>
        </w:rPr>
        <w:t>基层</w:t>
      </w:r>
      <w:r>
        <w:rPr>
          <w:rFonts w:hint="eastAsia" w:ascii="仿宋_GB2312" w:hAnsi="仿宋_GB2312" w:eastAsia="仿宋_GB2312" w:cs="仿宋_GB2312"/>
          <w:sz w:val="32"/>
          <w:szCs w:val="32"/>
          <w:highlight w:val="none"/>
          <w:lang w:val="en-US" w:eastAsia="zh-CN"/>
        </w:rPr>
        <w:t>治理</w:t>
      </w:r>
    </w:p>
    <w:p w14:paraId="75BAE41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构建区级专项</w:t>
      </w:r>
      <w:r>
        <w:rPr>
          <w:rFonts w:hint="eastAsia" w:ascii="仿宋_GB2312" w:hAnsi="仿宋_GB2312" w:eastAsia="仿宋_GB2312" w:cs="仿宋_GB2312"/>
          <w:sz w:val="32"/>
          <w:szCs w:val="32"/>
          <w:lang w:val="en-US" w:eastAsia="zh-CN"/>
        </w:rPr>
        <w:t>工作</w:t>
      </w:r>
      <w:r>
        <w:rPr>
          <w:rFonts w:hint="default" w:ascii="仿宋_GB2312" w:hAnsi="仿宋_GB2312" w:eastAsia="仿宋_GB2312" w:cs="仿宋_GB2312"/>
          <w:sz w:val="32"/>
          <w:szCs w:val="32"/>
          <w:lang w:val="en-US" w:eastAsia="zh-CN"/>
        </w:rPr>
        <w:t>机制</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推进专项清理整治，推动报表任务统一下发、台账清单规范管理、数据资源集中归集，</w:t>
      </w:r>
      <w:r>
        <w:rPr>
          <w:rFonts w:hint="eastAsia" w:ascii="仿宋_GB2312" w:hAnsi="仿宋_GB2312" w:eastAsia="仿宋_GB2312" w:cs="仿宋_GB2312"/>
          <w:sz w:val="32"/>
          <w:szCs w:val="32"/>
          <w:lang w:val="en-US" w:eastAsia="zh-CN"/>
        </w:rPr>
        <w:t>深化应用市级基层数智支撑平台，实现基层工作方式系统优化、治理能力整体提升。</w:t>
      </w:r>
    </w:p>
    <w:p w14:paraId="75B6DC57">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促进交通治理模式创新</w:t>
      </w:r>
    </w:p>
    <w:p w14:paraId="1EB959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围绕新城核心地区及全区交通道路主要干线和重要节点，</w:t>
      </w:r>
      <w:r>
        <w:rPr>
          <w:rFonts w:hint="eastAsia" w:ascii="仿宋_GB2312" w:hAnsi="仿宋_GB2312" w:eastAsia="仿宋_GB2312" w:cs="仿宋_GB2312"/>
          <w:sz w:val="32"/>
          <w:szCs w:val="32"/>
          <w:highlight w:val="none"/>
          <w:lang w:val="en-US" w:eastAsia="zh-CN"/>
        </w:rPr>
        <w:t>精细布局</w:t>
      </w:r>
      <w:r>
        <w:rPr>
          <w:rFonts w:hint="default" w:ascii="仿宋_GB2312" w:hAnsi="仿宋_GB2312" w:eastAsia="仿宋_GB2312" w:cs="仿宋_GB2312"/>
          <w:sz w:val="32"/>
          <w:szCs w:val="32"/>
          <w:lang w:val="en-US" w:eastAsia="zh-CN"/>
        </w:rPr>
        <w:t>智慧交通管理体系</w:t>
      </w:r>
      <w:r>
        <w:rPr>
          <w:rFonts w:hint="eastAsia" w:ascii="仿宋_GB2312" w:hAnsi="仿宋_GB2312" w:eastAsia="仿宋_GB2312" w:cs="仿宋_GB2312"/>
          <w:sz w:val="32"/>
          <w:szCs w:val="32"/>
          <w:highlight w:val="none"/>
          <w:lang w:val="en-US" w:eastAsia="zh-CN"/>
        </w:rPr>
        <w:t>，补建升级</w:t>
      </w:r>
      <w:r>
        <w:rPr>
          <w:rFonts w:hint="eastAsia" w:ascii="仿宋_GB2312" w:hAnsi="仿宋_GB2312" w:eastAsia="仿宋_GB2312" w:cs="仿宋_GB2312"/>
          <w:sz w:val="32"/>
          <w:szCs w:val="32"/>
          <w:highlight w:val="none"/>
          <w:lang w:eastAsia="zh-CN"/>
        </w:rPr>
        <w:t>前端执法设备，</w:t>
      </w:r>
      <w:r>
        <w:rPr>
          <w:rFonts w:hint="eastAsia" w:ascii="仿宋_GB2312" w:hAnsi="仿宋_GB2312" w:eastAsia="仿宋_GB2312" w:cs="仿宋_GB2312"/>
          <w:sz w:val="32"/>
          <w:szCs w:val="32"/>
          <w:highlight w:val="none"/>
        </w:rPr>
        <w:t>建设非机动车交通违法检测、交通勤务路线安全保障等试点应用场景</w:t>
      </w:r>
      <w:r>
        <w:rPr>
          <w:rFonts w:hint="eastAsia" w:ascii="仿宋_GB2312" w:hAnsi="仿宋_GB2312" w:eastAsia="仿宋_GB2312" w:cs="仿宋_GB2312"/>
          <w:sz w:val="32"/>
          <w:szCs w:val="32"/>
          <w:highlight w:val="none"/>
          <w:lang w:eastAsia="zh-CN"/>
        </w:rPr>
        <w:t>，实现交通管控精准高效</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lang w:val="en-US" w:eastAsia="zh-CN"/>
        </w:rPr>
        <w:t>聚焦道路货物运输动态监控，整合“两客一危”重点营运车辆数据资源</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为道路运输安全监管与决策部署提供坚实数据保障。</w:t>
      </w:r>
    </w:p>
    <w:p w14:paraId="19F41E43">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深化</w:t>
      </w:r>
      <w:r>
        <w:rPr>
          <w:rFonts w:hint="default" w:ascii="仿宋_GB2312" w:hAnsi="仿宋_GB2312" w:eastAsia="仿宋_GB2312" w:cs="仿宋_GB2312"/>
          <w:sz w:val="32"/>
          <w:szCs w:val="32"/>
          <w:highlight w:val="none"/>
          <w:lang w:val="en-US" w:eastAsia="zh-CN"/>
        </w:rPr>
        <w:t>生态</w:t>
      </w:r>
      <w:r>
        <w:rPr>
          <w:rFonts w:hint="eastAsia" w:ascii="仿宋_GB2312" w:hAnsi="仿宋_GB2312" w:eastAsia="仿宋_GB2312" w:cs="仿宋_GB2312"/>
          <w:sz w:val="32"/>
          <w:szCs w:val="32"/>
          <w:highlight w:val="none"/>
          <w:lang w:val="en-US" w:eastAsia="zh-CN"/>
        </w:rPr>
        <w:t>气象数智</w:t>
      </w:r>
      <w:r>
        <w:rPr>
          <w:rFonts w:hint="default" w:ascii="仿宋_GB2312" w:hAnsi="仿宋_GB2312" w:eastAsia="仿宋_GB2312" w:cs="仿宋_GB2312"/>
          <w:sz w:val="32"/>
          <w:szCs w:val="32"/>
          <w:highlight w:val="none"/>
          <w:lang w:val="en-US" w:eastAsia="zh-CN"/>
        </w:rPr>
        <w:t>建设</w:t>
      </w:r>
    </w:p>
    <w:p w14:paraId="76F5BC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highlight w:val="none"/>
          <w:lang w:val="en-US" w:eastAsia="zh-CN"/>
        </w:rPr>
        <w:t>推动生态执法、生态监测等方面数智化转型，提升生态环境治理精细化与智能化水平</w:t>
      </w:r>
      <w:r>
        <w:rPr>
          <w:rFonts w:hint="eastAsia" w:ascii="仿宋_GB2312" w:hAnsi="仿宋_GB2312" w:eastAsia="仿宋_GB2312" w:cs="仿宋_GB2312"/>
          <w:sz w:val="32"/>
          <w:szCs w:val="32"/>
          <w:highlight w:val="none"/>
          <w:lang w:val="en-US" w:eastAsia="zh-CN"/>
        </w:rPr>
        <w:t>。优化升级</w:t>
      </w:r>
      <w:r>
        <w:rPr>
          <w:rFonts w:hint="default" w:ascii="仿宋_GB2312" w:hAnsi="仿宋_GB2312" w:eastAsia="仿宋_GB2312" w:cs="仿宋_GB2312"/>
          <w:sz w:val="32"/>
          <w:szCs w:val="32"/>
          <w:highlight w:val="none"/>
          <w:lang w:val="en-US" w:eastAsia="zh-CN"/>
        </w:rPr>
        <w:t>智慧气象监测预警服务，</w:t>
      </w:r>
      <w:r>
        <w:rPr>
          <w:rFonts w:hint="eastAsia" w:ascii="仿宋_GB2312" w:hAnsi="仿宋_GB2312" w:eastAsia="仿宋_GB2312" w:cs="仿宋_GB2312"/>
          <w:sz w:val="32"/>
          <w:szCs w:val="32"/>
          <w:lang w:val="en-US" w:eastAsia="zh-CN"/>
        </w:rPr>
        <w:t>实现</w:t>
      </w:r>
      <w:r>
        <w:rPr>
          <w:rFonts w:hint="default" w:ascii="仿宋_GB2312" w:hAnsi="仿宋_GB2312" w:eastAsia="仿宋_GB2312" w:cs="仿宋_GB2312"/>
          <w:sz w:val="32"/>
          <w:szCs w:val="32"/>
          <w:lang w:val="en-US" w:eastAsia="zh-CN"/>
        </w:rPr>
        <w:t>天气预报达“百米级、分钟级”</w:t>
      </w:r>
      <w:r>
        <w:rPr>
          <w:rFonts w:hint="eastAsia" w:ascii="仿宋_GB2312" w:hAnsi="仿宋_GB2312" w:eastAsia="仿宋_GB2312" w:cs="仿宋_GB2312"/>
          <w:sz w:val="32"/>
          <w:szCs w:val="32"/>
          <w:lang w:val="en-US" w:eastAsia="zh-CN"/>
        </w:rPr>
        <w:t>。将</w:t>
      </w:r>
      <w:r>
        <w:rPr>
          <w:rFonts w:hint="default" w:ascii="仿宋_GB2312" w:hAnsi="仿宋_GB2312" w:eastAsia="仿宋_GB2312" w:cs="仿宋_GB2312"/>
          <w:sz w:val="32"/>
          <w:szCs w:val="32"/>
          <w:lang w:val="en-US" w:eastAsia="zh-CN"/>
        </w:rPr>
        <w:t>高质量气象数据集</w:t>
      </w:r>
      <w:r>
        <w:rPr>
          <w:rFonts w:hint="eastAsia" w:ascii="仿宋_GB2312" w:hAnsi="仿宋_GB2312" w:eastAsia="仿宋_GB2312" w:cs="仿宋_GB2312"/>
          <w:sz w:val="32"/>
          <w:szCs w:val="32"/>
          <w:lang w:val="en-US" w:eastAsia="zh-CN"/>
        </w:rPr>
        <w:t>拓展</w:t>
      </w:r>
      <w:r>
        <w:rPr>
          <w:rFonts w:hint="default" w:ascii="仿宋_GB2312" w:hAnsi="仿宋_GB2312" w:eastAsia="仿宋_GB2312" w:cs="仿宋_GB2312"/>
          <w:sz w:val="32"/>
          <w:szCs w:val="32"/>
          <w:lang w:val="en-US" w:eastAsia="zh-CN"/>
        </w:rPr>
        <w:t>应用于防汛调度、</w:t>
      </w:r>
      <w:r>
        <w:rPr>
          <w:rFonts w:hint="eastAsia" w:ascii="仿宋_GB2312" w:hAnsi="仿宋_GB2312" w:eastAsia="仿宋_GB2312" w:cs="仿宋_GB2312"/>
          <w:sz w:val="32"/>
          <w:szCs w:val="32"/>
          <w:lang w:val="en-US" w:eastAsia="zh-CN"/>
        </w:rPr>
        <w:t>乡村振兴、产业发展等领域。充分探索国省气象人工智能预报大模型的本地化适配与轻量化部署路径，以及多模态、多场景下的智能交互与辅助决策应用场景</w:t>
      </w:r>
      <w:r>
        <w:rPr>
          <w:rFonts w:hint="eastAsia" w:ascii="仿宋_GB2312" w:hAnsi="仿宋_GB2312" w:eastAsia="仿宋_GB2312" w:cs="仿宋_GB2312"/>
          <w:b w:val="0"/>
          <w:bCs w:val="0"/>
          <w:kern w:val="2"/>
          <w:sz w:val="32"/>
          <w:szCs w:val="32"/>
          <w:lang w:val="en-US" w:eastAsia="zh-CN" w:bidi="ar-SA"/>
        </w:rPr>
        <w:t>。</w:t>
      </w:r>
    </w:p>
    <w:p w14:paraId="0151B3C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eastAsia" w:ascii="仿宋_GB2312" w:hAnsi="仿宋_GB2312" w:eastAsia="仿宋_GB2312" w:cs="仿宋_GB2312"/>
          <w:sz w:val="32"/>
          <w:szCs w:val="32"/>
          <w:lang w:val="en-US" w:eastAsia="zh-CN"/>
        </w:rPr>
      </w:pPr>
      <w:bookmarkStart w:id="21" w:name="_Toc4203"/>
      <w:r>
        <w:rPr>
          <w:rFonts w:hint="eastAsia" w:ascii="仿宋_GB2312" w:hAnsi="仿宋_GB2312" w:eastAsia="仿宋_GB2312" w:cs="仿宋_GB2312"/>
          <w:sz w:val="32"/>
          <w:szCs w:val="32"/>
          <w:lang w:val="en-US" w:eastAsia="zh-CN"/>
        </w:rPr>
        <w:t>优化城市公共安全体系</w:t>
      </w:r>
    </w:p>
    <w:p w14:paraId="3EDAC48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打造出租屋智慧核查应用场景，强化安全隐患常态化排查与闭环整治。</w:t>
      </w:r>
      <w:r>
        <w:rPr>
          <w:rFonts w:hint="default" w:ascii="仿宋_GB2312" w:hAnsi="仿宋_GB2312" w:eastAsia="仿宋_GB2312" w:cs="仿宋_GB2312"/>
          <w:sz w:val="32"/>
          <w:szCs w:val="32"/>
          <w:lang w:val="en-US" w:eastAsia="zh-CN"/>
        </w:rPr>
        <w:t>构建</w:t>
      </w:r>
      <w:r>
        <w:rPr>
          <w:rFonts w:hint="eastAsia" w:ascii="仿宋_GB2312" w:hAnsi="仿宋_GB2312" w:eastAsia="仿宋_GB2312" w:cs="仿宋_GB2312"/>
          <w:sz w:val="32"/>
          <w:szCs w:val="32"/>
          <w:lang w:val="en-US" w:eastAsia="zh-CN"/>
        </w:rPr>
        <w:t>校园及周边“车辆+人员”双维度智能防控场景，实现从被动防御到主动预警的安全防控升级。面向重点关爱人群精准布设联网型感烟报警器，实现智慧消防非现场监测预警。推行人脸识别防脱岗管理，推动监管模式从“人工巡查”向“智能管控”转变。</w:t>
      </w:r>
      <w:r>
        <w:rPr>
          <w:rFonts w:hint="default" w:ascii="仿宋_GB2312" w:hAnsi="仿宋_GB2312" w:eastAsia="仿宋_GB2312" w:cs="仿宋_GB2312"/>
          <w:sz w:val="32"/>
          <w:szCs w:val="32"/>
          <w:lang w:val="en-US" w:eastAsia="zh-CN"/>
        </w:rPr>
        <w:t>推进数字化、智能化“平急两用”公共基础设施建设，切实提升平急转换效率。构建</w:t>
      </w:r>
      <w:r>
        <w:rPr>
          <w:rFonts w:hint="eastAsia" w:ascii="仿宋_GB2312" w:hAnsi="仿宋_GB2312" w:eastAsia="仿宋_GB2312" w:cs="仿宋_GB2312"/>
          <w:kern w:val="2"/>
          <w:sz w:val="32"/>
          <w:szCs w:val="32"/>
          <w:lang w:val="en-US" w:eastAsia="zh-CN" w:bidi="ar-SA"/>
        </w:rPr>
        <w:t>区、街镇、社区（村）三级贯通的</w:t>
      </w:r>
      <w:r>
        <w:rPr>
          <w:rFonts w:hint="eastAsia" w:ascii="仿宋_GB2312" w:hAnsi="仿宋_GB2312" w:eastAsia="仿宋_GB2312" w:cs="仿宋_GB2312"/>
          <w:sz w:val="32"/>
          <w:szCs w:val="32"/>
          <w:lang w:val="en-US" w:eastAsia="zh-CN"/>
        </w:rPr>
        <w:t>智慧</w:t>
      </w:r>
      <w:r>
        <w:rPr>
          <w:rFonts w:hint="default" w:ascii="仿宋_GB2312" w:hAnsi="仿宋_GB2312" w:eastAsia="仿宋_GB2312" w:cs="仿宋_GB2312"/>
          <w:sz w:val="32"/>
          <w:szCs w:val="32"/>
          <w:lang w:val="en-US" w:eastAsia="zh-CN"/>
        </w:rPr>
        <w:t>应急广播体系，全面提升基层防灾避险和自救互救能力。</w:t>
      </w:r>
    </w:p>
    <w:p w14:paraId="1E1C79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val="0"/>
          <w:bCs w:val="0"/>
          <w:sz w:val="32"/>
          <w:szCs w:val="32"/>
          <w:highlight w:val="none"/>
          <w:lang w:val="en-US" w:eastAsia="zh-CN"/>
        </w:rPr>
      </w:pPr>
      <w:bookmarkStart w:id="22" w:name="_Toc905287074"/>
      <w:r>
        <w:rPr>
          <w:rFonts w:hint="eastAsia" w:ascii="楷体_GB2312" w:hAnsi="楷体_GB2312" w:eastAsia="楷体_GB2312" w:cs="楷体_GB2312"/>
          <w:b w:val="0"/>
          <w:bCs w:val="0"/>
          <w:sz w:val="32"/>
          <w:szCs w:val="32"/>
          <w:lang w:val="en-US" w:eastAsia="zh-CN"/>
        </w:rPr>
        <w:t>（</w:t>
      </w:r>
      <w:r>
        <w:rPr>
          <w:rFonts w:hint="default" w:ascii="楷体_GB2312" w:hAnsi="楷体_GB2312" w:eastAsia="楷体_GB2312" w:cs="楷体_GB2312"/>
          <w:b w:val="0"/>
          <w:bCs w:val="0"/>
          <w:sz w:val="32"/>
          <w:szCs w:val="32"/>
          <w:lang w:val="en-US" w:eastAsia="zh-CN"/>
        </w:rPr>
        <w:t>五</w:t>
      </w:r>
      <w:r>
        <w:rPr>
          <w:rFonts w:hint="eastAsia" w:ascii="楷体_GB2312" w:hAnsi="楷体_GB2312" w:eastAsia="楷体_GB2312" w:cs="楷体_GB2312"/>
          <w:b w:val="0"/>
          <w:bCs w:val="0"/>
          <w:sz w:val="32"/>
          <w:szCs w:val="32"/>
          <w:lang w:val="en-US" w:eastAsia="zh-CN"/>
        </w:rPr>
        <w:t>）落实区域产业布局规划</w:t>
      </w:r>
      <w:r>
        <w:rPr>
          <w:rFonts w:hint="default" w:ascii="楷体_GB2312" w:hAnsi="楷体_GB2312" w:eastAsia="楷体_GB2312" w:cs="楷体_GB2312"/>
          <w:b w:val="0"/>
          <w:bCs w:val="0"/>
          <w:sz w:val="32"/>
          <w:szCs w:val="32"/>
          <w:lang w:val="en-US" w:eastAsia="zh-CN"/>
        </w:rPr>
        <w:t>，</w:t>
      </w:r>
      <w:r>
        <w:rPr>
          <w:rFonts w:hint="default" w:ascii="楷体_GB2312" w:hAnsi="楷体_GB2312" w:eastAsia="楷体_GB2312" w:cs="楷体_GB2312"/>
          <w:b w:val="0"/>
          <w:bCs w:val="0"/>
          <w:sz w:val="32"/>
          <w:szCs w:val="32"/>
          <w:highlight w:val="none"/>
          <w:lang w:val="en-US" w:eastAsia="zh-CN"/>
        </w:rPr>
        <w:t>一体化推动产城融合</w:t>
      </w:r>
      <w:bookmarkEnd w:id="21"/>
      <w:bookmarkEnd w:id="22"/>
    </w:p>
    <w:p w14:paraId="477DBD28">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以“6+5+3”产业布局为牵引，激发数实经济融合发展活力，深化大兴特色场景</w:t>
      </w:r>
      <w:r>
        <w:rPr>
          <w:rFonts w:hint="default" w:ascii="仿宋_GB2312" w:hAnsi="仿宋_GB2312" w:eastAsia="仿宋_GB2312" w:cs="仿宋_GB2312"/>
          <w:sz w:val="32"/>
          <w:szCs w:val="32"/>
          <w:highlight w:val="none"/>
          <w:lang w:val="en-US" w:eastAsia="zh-CN"/>
        </w:rPr>
        <w:t>示范</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实现“以城带产、以产促城、产城交融”</w:t>
      </w:r>
      <w:r>
        <w:rPr>
          <w:rFonts w:hint="eastAsia" w:ascii="仿宋_GB2312" w:hAnsi="仿宋_GB2312" w:eastAsia="仿宋_GB2312" w:cs="仿宋_GB2312"/>
          <w:sz w:val="32"/>
          <w:szCs w:val="32"/>
          <w:highlight w:val="none"/>
          <w:lang w:val="en-US" w:eastAsia="zh-CN"/>
        </w:rPr>
        <w:t>的</w:t>
      </w:r>
      <w:r>
        <w:rPr>
          <w:rFonts w:hint="default" w:ascii="仿宋_GB2312" w:hAnsi="仿宋_GB2312" w:eastAsia="仿宋_GB2312" w:cs="仿宋_GB2312"/>
          <w:sz w:val="32"/>
          <w:szCs w:val="32"/>
          <w:highlight w:val="none"/>
          <w:lang w:val="en-US" w:eastAsia="zh-CN"/>
        </w:rPr>
        <w:t>发展新格局</w:t>
      </w:r>
      <w:r>
        <w:rPr>
          <w:rFonts w:hint="eastAsia" w:ascii="仿宋_GB2312" w:hAnsi="仿宋_GB2312" w:eastAsia="仿宋_GB2312" w:cs="仿宋_GB2312"/>
          <w:sz w:val="32"/>
          <w:szCs w:val="32"/>
          <w:highlight w:val="none"/>
          <w:lang w:val="en-US" w:eastAsia="zh-CN"/>
        </w:rPr>
        <w:t>。</w:t>
      </w:r>
    </w:p>
    <w:p w14:paraId="4596B4B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推进</w:t>
      </w:r>
      <w:r>
        <w:rPr>
          <w:rFonts w:hint="default" w:ascii="仿宋_GB2312" w:hAnsi="仿宋_GB2312" w:eastAsia="仿宋_GB2312" w:cs="仿宋_GB2312"/>
          <w:sz w:val="32"/>
          <w:szCs w:val="32"/>
          <w:lang w:val="en-US" w:eastAsia="zh-CN"/>
        </w:rPr>
        <w:t>数实经济</w:t>
      </w:r>
      <w:r>
        <w:rPr>
          <w:rFonts w:hint="eastAsia" w:ascii="仿宋_GB2312" w:hAnsi="仿宋_GB2312" w:eastAsia="仿宋_GB2312" w:cs="仿宋_GB2312"/>
          <w:sz w:val="32"/>
          <w:szCs w:val="32"/>
          <w:lang w:val="en-US" w:eastAsia="zh-CN"/>
        </w:rPr>
        <w:t>融合发展</w:t>
      </w:r>
    </w:p>
    <w:p w14:paraId="561800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打造重点行业数据应用产业集聚带。</w:t>
      </w:r>
      <w:r>
        <w:rPr>
          <w:rFonts w:hint="default" w:ascii="仿宋_GB2312" w:hAnsi="仿宋_GB2312" w:eastAsia="仿宋_GB2312" w:cs="仿宋_GB2312"/>
          <w:sz w:val="32"/>
          <w:szCs w:val="32"/>
          <w:lang w:val="en-US" w:eastAsia="zh-CN"/>
        </w:rPr>
        <w:t>临空经济区建设集</w:t>
      </w:r>
      <w:r>
        <w:rPr>
          <w:rFonts w:hint="eastAsia" w:ascii="仿宋_GB2312" w:hAnsi="仿宋_GB2312" w:eastAsia="仿宋_GB2312" w:cs="仿宋_GB2312"/>
          <w:sz w:val="32"/>
          <w:szCs w:val="32"/>
          <w:lang w:val="en-US" w:eastAsia="zh-CN"/>
        </w:rPr>
        <w:t>数据跨境</w:t>
      </w:r>
      <w:r>
        <w:rPr>
          <w:rFonts w:hint="default" w:ascii="仿宋_GB2312" w:hAnsi="仿宋_GB2312" w:eastAsia="仿宋_GB2312" w:cs="仿宋_GB2312"/>
          <w:sz w:val="32"/>
          <w:szCs w:val="32"/>
          <w:lang w:val="en-US" w:eastAsia="zh-CN"/>
        </w:rPr>
        <w:t>合规</w:t>
      </w:r>
      <w:r>
        <w:rPr>
          <w:rFonts w:hint="eastAsia" w:ascii="仿宋_GB2312" w:hAnsi="仿宋_GB2312" w:eastAsia="仿宋_GB2312" w:cs="仿宋_GB2312"/>
          <w:sz w:val="32"/>
          <w:szCs w:val="32"/>
          <w:lang w:val="en-US" w:eastAsia="zh-CN"/>
        </w:rPr>
        <w:t>服务</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跨境</w:t>
      </w:r>
      <w:r>
        <w:rPr>
          <w:rFonts w:hint="default" w:ascii="仿宋_GB2312" w:hAnsi="仿宋_GB2312" w:eastAsia="仿宋_GB2312" w:cs="仿宋_GB2312"/>
          <w:sz w:val="32"/>
          <w:szCs w:val="32"/>
          <w:lang w:val="en-US" w:eastAsia="zh-CN"/>
        </w:rPr>
        <w:t>安全监管</w:t>
      </w:r>
      <w:r>
        <w:rPr>
          <w:rFonts w:hint="eastAsia" w:ascii="仿宋_GB2312" w:hAnsi="仿宋_GB2312" w:eastAsia="仿宋_GB2312" w:cs="仿宋_GB2312"/>
          <w:sz w:val="32"/>
          <w:szCs w:val="32"/>
          <w:lang w:val="en-US" w:eastAsia="zh-CN"/>
        </w:rPr>
        <w:t>及</w:t>
      </w:r>
      <w:r>
        <w:rPr>
          <w:rFonts w:hint="default" w:ascii="仿宋_GB2312" w:hAnsi="仿宋_GB2312" w:eastAsia="仿宋_GB2312" w:cs="仿宋_GB2312"/>
          <w:sz w:val="32"/>
          <w:szCs w:val="32"/>
          <w:lang w:val="en-US" w:eastAsia="zh-CN"/>
        </w:rPr>
        <w:t>国际数据服务</w:t>
      </w:r>
      <w:r>
        <w:rPr>
          <w:rFonts w:hint="eastAsia" w:ascii="仿宋_GB2312" w:hAnsi="仿宋_GB2312" w:eastAsia="仿宋_GB2312" w:cs="仿宋_GB2312"/>
          <w:sz w:val="32"/>
          <w:szCs w:val="32"/>
          <w:lang w:val="en-US" w:eastAsia="zh-CN"/>
        </w:rPr>
        <w:t>于一体</w:t>
      </w:r>
      <w:r>
        <w:rPr>
          <w:rFonts w:hint="default" w:ascii="仿宋_GB2312" w:hAnsi="仿宋_GB2312" w:eastAsia="仿宋_GB2312" w:cs="仿宋_GB2312"/>
          <w:sz w:val="32"/>
          <w:szCs w:val="32"/>
          <w:lang w:val="en-US" w:eastAsia="zh-CN"/>
        </w:rPr>
        <w:t>的国际数据枢纽</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全面赋能外向型数据产业</w:t>
      </w:r>
      <w:r>
        <w:rPr>
          <w:rStyle w:val="27"/>
          <w:rFonts w:hint="default" w:ascii="仿宋_GB2312" w:hAnsi="仿宋_GB2312" w:eastAsia="仿宋_GB2312" w:cs="仿宋_GB2312"/>
          <w:sz w:val="32"/>
          <w:szCs w:val="32"/>
          <w:lang w:val="en-US" w:eastAsia="zh-CN"/>
        </w:rPr>
        <w:footnoteReference w:id="5"/>
      </w:r>
      <w:r>
        <w:rPr>
          <w:rFonts w:hint="default" w:ascii="仿宋_GB2312" w:hAnsi="仿宋_GB2312" w:eastAsia="仿宋_GB2312" w:cs="仿宋_GB2312"/>
          <w:sz w:val="32"/>
          <w:szCs w:val="32"/>
          <w:lang w:val="en-US" w:eastAsia="zh-CN"/>
        </w:rPr>
        <w:t>的创新场景。生物医药基地优化一站式企业服务平台，</w:t>
      </w:r>
      <w:r>
        <w:rPr>
          <w:rFonts w:hint="eastAsia" w:ascii="仿宋_GB2312" w:hAnsi="仿宋_GB2312" w:eastAsia="仿宋_GB2312" w:cs="仿宋_GB2312"/>
          <w:sz w:val="32"/>
          <w:szCs w:val="32"/>
          <w:lang w:val="en-US" w:eastAsia="zh-CN"/>
        </w:rPr>
        <w:t>鼓励企业</w:t>
      </w:r>
      <w:r>
        <w:rPr>
          <w:rFonts w:hint="default" w:ascii="仿宋_GB2312" w:hAnsi="仿宋_GB2312" w:eastAsia="仿宋_GB2312" w:cs="仿宋_GB2312"/>
          <w:sz w:val="32"/>
          <w:szCs w:val="32"/>
          <w:lang w:val="en-US" w:eastAsia="zh-CN"/>
        </w:rPr>
        <w:t>在药物研发、医疗器械等多领域</w:t>
      </w:r>
      <w:r>
        <w:rPr>
          <w:rFonts w:hint="eastAsia" w:ascii="仿宋_GB2312" w:hAnsi="仿宋_GB2312" w:eastAsia="仿宋_GB2312" w:cs="仿宋_GB2312"/>
          <w:sz w:val="32"/>
          <w:szCs w:val="32"/>
          <w:lang w:val="en-US" w:eastAsia="zh-CN"/>
        </w:rPr>
        <w:t>开展</w:t>
      </w:r>
      <w:r>
        <w:rPr>
          <w:rFonts w:hint="default" w:ascii="仿宋_GB2312" w:hAnsi="仿宋_GB2312" w:eastAsia="仿宋_GB2312" w:cs="仿宋_GB2312"/>
          <w:sz w:val="32"/>
          <w:szCs w:val="32"/>
          <w:lang w:val="en-US" w:eastAsia="zh-CN"/>
        </w:rPr>
        <w:t>数智化应用。数字经济示范区</w:t>
      </w:r>
      <w:r>
        <w:rPr>
          <w:rFonts w:hint="eastAsia" w:ascii="仿宋_GB2312" w:hAnsi="仿宋_GB2312" w:eastAsia="仿宋_GB2312" w:cs="仿宋_GB2312"/>
          <w:sz w:val="32"/>
          <w:szCs w:val="32"/>
          <w:lang w:val="en-US" w:eastAsia="zh-CN"/>
        </w:rPr>
        <w:t>推进数据产业发展体系建设，加快组建专业运营团队，</w:t>
      </w:r>
      <w:r>
        <w:rPr>
          <w:rFonts w:hint="eastAsia" w:ascii="仿宋_GB2312" w:hAnsi="仿宋_GB2312" w:eastAsia="仿宋_GB2312" w:cs="仿宋_GB2312"/>
          <w:b w:val="0"/>
          <w:bCs w:val="0"/>
          <w:sz w:val="32"/>
          <w:szCs w:val="32"/>
          <w:lang w:val="en-US" w:eastAsia="zh-CN"/>
        </w:rPr>
        <w:t>引进</w:t>
      </w:r>
      <w:r>
        <w:rPr>
          <w:rFonts w:hint="eastAsia" w:ascii="仿宋_GB2312" w:hAnsi="仿宋_GB2312" w:eastAsia="仿宋_GB2312" w:cs="仿宋_GB2312"/>
          <w:sz w:val="32"/>
          <w:szCs w:val="32"/>
          <w:lang w:val="en-US" w:eastAsia="zh-CN"/>
        </w:rPr>
        <w:t>一批第三方数据服务专业机构，鼓励企业聚焦数据合规开展产品创新和模式创新</w:t>
      </w:r>
      <w:r>
        <w:rPr>
          <w:rFonts w:hint="eastAsia" w:ascii="仿宋_GB2312" w:hAnsi="仿宋_GB2312" w:eastAsia="仿宋_GB2312" w:cs="仿宋_GB2312"/>
          <w:b w:val="0"/>
          <w:bCs w:val="0"/>
          <w:sz w:val="32"/>
          <w:szCs w:val="32"/>
          <w:lang w:val="en-US" w:eastAsia="zh-CN"/>
        </w:rPr>
        <w:t>。新媒体产业基地加快特色园区改造升级，大力发展AI视听、数字演艺经济产业。</w:t>
      </w:r>
    </w:p>
    <w:p w14:paraId="12EA3DF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560" w:leftChars="0" w:firstLine="70" w:firstLineChars="0"/>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打造产城融合特色场景</w:t>
      </w:r>
    </w:p>
    <w:p w14:paraId="741C763F">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建设“片区、特色小镇”等智慧场景示范。花园城市永定湾引入智慧交互设施、智慧驾驶应用，营造工作、生活与自然交融共生的城市理想地。采育数字时尚小镇吸引数字科技、时尚创意、高端制造等领域创新型企业落地，构建数字时尚产业链条和创新生态。庞各庄西瓜小镇推进京南农林科技园建设</w:t>
      </w:r>
      <w:r>
        <w:rPr>
          <w:rFonts w:hint="eastAsia" w:ascii="仿宋_GB2312" w:hAnsi="仿宋_GB2312" w:eastAsia="仿宋_GB2312" w:cs="仿宋_GB2312"/>
          <w:sz w:val="32"/>
          <w:szCs w:val="32"/>
          <w:highlight w:val="none"/>
          <w:lang w:val="en-US" w:eastAsia="zh-CN"/>
        </w:rPr>
        <w:t>，协助拓展花卉数字贸易综合体等智慧场景，升级“西瓜特色产业+智慧农业+文旅融合”发展模式，带动区域产业升级和城乡融合发展。</w:t>
      </w:r>
    </w:p>
    <w:p w14:paraId="00CCC988">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eastAsia" w:ascii="楷体_GB2312" w:hAnsi="楷体_GB2312" w:eastAsia="楷体_GB2312" w:cs="楷体_GB2312"/>
          <w:b w:val="0"/>
          <w:bCs w:val="0"/>
          <w:sz w:val="32"/>
          <w:szCs w:val="32"/>
          <w:highlight w:val="none"/>
          <w:shd w:val="clear"/>
          <w:lang w:val="en-US" w:eastAsia="zh-CN"/>
        </w:rPr>
      </w:pPr>
      <w:bookmarkStart w:id="23" w:name="_Toc1356"/>
      <w:bookmarkStart w:id="24" w:name="_Toc238213723"/>
      <w:r>
        <w:rPr>
          <w:rFonts w:hint="eastAsia" w:ascii="楷体_GB2312" w:hAnsi="楷体_GB2312" w:eastAsia="楷体_GB2312" w:cs="楷体_GB2312"/>
          <w:b w:val="0"/>
          <w:bCs w:val="0"/>
          <w:sz w:val="32"/>
          <w:szCs w:val="32"/>
          <w:highlight w:val="none"/>
          <w:lang w:val="en-US" w:eastAsia="zh-CN"/>
        </w:rPr>
        <w:t>（</w:t>
      </w:r>
      <w:r>
        <w:rPr>
          <w:rFonts w:hint="default" w:ascii="楷体_GB2312" w:hAnsi="楷体_GB2312" w:eastAsia="楷体_GB2312" w:cs="楷体_GB2312"/>
          <w:b w:val="0"/>
          <w:bCs w:val="0"/>
          <w:sz w:val="32"/>
          <w:szCs w:val="32"/>
          <w:highlight w:val="none"/>
          <w:lang w:val="en-US" w:eastAsia="zh-CN"/>
        </w:rPr>
        <w:t>六</w:t>
      </w:r>
      <w:r>
        <w:rPr>
          <w:rFonts w:hint="eastAsia" w:ascii="楷体_GB2312" w:hAnsi="楷体_GB2312" w:eastAsia="楷体_GB2312" w:cs="楷体_GB2312"/>
          <w:b w:val="0"/>
          <w:bCs w:val="0"/>
          <w:sz w:val="32"/>
          <w:szCs w:val="32"/>
          <w:highlight w:val="none"/>
          <w:lang w:val="en-US" w:eastAsia="zh-CN"/>
        </w:rPr>
        <w:t>）</w:t>
      </w:r>
      <w:bookmarkEnd w:id="23"/>
      <w:r>
        <w:rPr>
          <w:rFonts w:hint="eastAsia" w:ascii="楷体_GB2312" w:hAnsi="楷体_GB2312" w:eastAsia="楷体_GB2312" w:cs="楷体_GB2312"/>
          <w:b w:val="0"/>
          <w:bCs w:val="0"/>
          <w:sz w:val="32"/>
          <w:szCs w:val="32"/>
          <w:highlight w:val="none"/>
          <w:lang w:val="en-US" w:eastAsia="zh-CN"/>
        </w:rPr>
        <w:t>优化政策标准规范体系，健全适数化发展制度</w:t>
      </w:r>
      <w:bookmarkEnd w:id="24"/>
    </w:p>
    <w:p w14:paraId="037A8D81">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default" w:ascii="仿宋_GB2312" w:hAnsi="仿宋_GB2312" w:eastAsia="仿宋_GB2312" w:cs="仿宋_GB2312"/>
          <w:strike/>
          <w:sz w:val="32"/>
          <w:szCs w:val="32"/>
          <w:highlight w:val="yellow"/>
          <w:lang w:val="en-US" w:eastAsia="zh-CN"/>
        </w:rPr>
      </w:pPr>
      <w:r>
        <w:rPr>
          <w:rFonts w:hint="eastAsia" w:ascii="仿宋_GB2312" w:hAnsi="仿宋_GB2312" w:eastAsia="仿宋_GB2312" w:cs="仿宋_GB2312"/>
          <w:sz w:val="32"/>
          <w:szCs w:val="32"/>
          <w:highlight w:val="none"/>
          <w:lang w:val="en-US" w:eastAsia="zh-CN"/>
        </w:rPr>
        <w:t>20.</w:t>
      </w:r>
      <w:r>
        <w:rPr>
          <w:rFonts w:hint="default" w:ascii="仿宋_GB2312" w:hAnsi="仿宋_GB2312" w:eastAsia="仿宋_GB2312" w:cs="仿宋_GB2312"/>
          <w:sz w:val="32"/>
          <w:szCs w:val="32"/>
          <w:highlight w:val="none"/>
          <w:lang w:val="en-US" w:eastAsia="zh-CN"/>
        </w:rPr>
        <w:t>完善规划管控配套制度，</w:t>
      </w:r>
      <w:r>
        <w:rPr>
          <w:rFonts w:hint="eastAsia" w:ascii="仿宋_GB2312" w:hAnsi="仿宋_GB2312" w:eastAsia="仿宋_GB2312" w:cs="仿宋_GB2312"/>
          <w:sz w:val="32"/>
          <w:szCs w:val="32"/>
          <w:highlight w:val="none"/>
          <w:lang w:val="en-US" w:eastAsia="zh-CN"/>
        </w:rPr>
        <w:t>优化</w:t>
      </w:r>
      <w:r>
        <w:rPr>
          <w:rFonts w:hint="default" w:ascii="仿宋_GB2312" w:hAnsi="仿宋_GB2312" w:eastAsia="仿宋_GB2312" w:cs="仿宋_GB2312"/>
          <w:sz w:val="32"/>
          <w:szCs w:val="32"/>
          <w:highlight w:val="none"/>
          <w:lang w:val="en-US" w:eastAsia="zh-CN"/>
        </w:rPr>
        <w:t>区级部门规划</w:t>
      </w:r>
      <w:r>
        <w:rPr>
          <w:rFonts w:hint="eastAsia" w:ascii="仿宋_GB2312" w:hAnsi="仿宋_GB2312" w:eastAsia="仿宋_GB2312" w:cs="仿宋_GB2312"/>
          <w:sz w:val="32"/>
          <w:szCs w:val="32"/>
          <w:highlight w:val="none"/>
          <w:lang w:val="en-US" w:eastAsia="zh-CN"/>
        </w:rPr>
        <w:t>设计与项目管理闭环管控机制</w:t>
      </w:r>
      <w:r>
        <w:rPr>
          <w:rFonts w:hint="default" w:ascii="仿宋_GB2312" w:hAnsi="仿宋_GB2312" w:eastAsia="仿宋_GB2312" w:cs="仿宋_GB2312"/>
          <w:strike w:val="0"/>
          <w:sz w:val="32"/>
          <w:szCs w:val="32"/>
          <w:highlight w:val="none"/>
          <w:lang w:val="en-US" w:eastAsia="zh-CN"/>
        </w:rPr>
        <w:t>。</w:t>
      </w:r>
      <w:r>
        <w:rPr>
          <w:rFonts w:hint="eastAsia" w:ascii="仿宋_GB2312" w:hAnsi="仿宋_GB2312" w:eastAsia="仿宋_GB2312" w:cs="仿宋_GB2312"/>
          <w:strike w:val="0"/>
          <w:sz w:val="32"/>
          <w:szCs w:val="32"/>
          <w:highlight w:val="none"/>
          <w:lang w:val="en-US" w:eastAsia="zh-CN"/>
        </w:rPr>
        <w:t>加强适数化制度</w:t>
      </w:r>
      <w:r>
        <w:rPr>
          <w:rFonts w:hint="default" w:ascii="仿宋_GB2312" w:hAnsi="仿宋_GB2312" w:eastAsia="仿宋_GB2312" w:cs="仿宋_GB2312"/>
          <w:strike w:val="0"/>
          <w:sz w:val="32"/>
          <w:szCs w:val="32"/>
          <w:highlight w:val="none"/>
          <w:lang w:val="en-US" w:eastAsia="zh-CN"/>
        </w:rPr>
        <w:t>创新</w:t>
      </w:r>
      <w:r>
        <w:rPr>
          <w:rFonts w:hint="eastAsia" w:ascii="仿宋_GB2312" w:hAnsi="仿宋_GB2312" w:eastAsia="仿宋_GB2312" w:cs="仿宋_GB2312"/>
          <w:strike w:val="0"/>
          <w:sz w:val="32"/>
          <w:szCs w:val="32"/>
          <w:highlight w:val="none"/>
          <w:lang w:val="en-US" w:eastAsia="zh-CN"/>
        </w:rPr>
        <w:t>，</w:t>
      </w:r>
      <w:r>
        <w:rPr>
          <w:rFonts w:hint="default" w:ascii="仿宋_GB2312" w:hAnsi="仿宋_GB2312" w:eastAsia="仿宋_GB2312" w:cs="仿宋_GB2312"/>
          <w:bCs w:val="0"/>
          <w:kern w:val="0"/>
          <w:sz w:val="32"/>
          <w:szCs w:val="32"/>
          <w:highlight w:val="none"/>
          <w:lang w:val="en-US" w:eastAsia="zh-CN" w:bidi="ar-SA"/>
        </w:rPr>
        <w:t>全面推行首席数据官制度，构建职责清晰、协同高效的数据治理组织体系。</w:t>
      </w:r>
      <w:r>
        <w:rPr>
          <w:rFonts w:hint="default" w:ascii="仿宋_GB2312" w:hAnsi="仿宋_GB2312" w:eastAsia="仿宋_GB2312" w:cs="仿宋_GB2312"/>
          <w:strike w:val="0"/>
          <w:sz w:val="32"/>
          <w:szCs w:val="32"/>
          <w:highlight w:val="none"/>
          <w:lang w:val="en-US" w:eastAsia="zh-CN"/>
        </w:rPr>
        <w:t>依托中央网信办网络数据安全合规实验室，</w:t>
      </w:r>
      <w:r>
        <w:rPr>
          <w:rFonts w:hint="eastAsia" w:ascii="仿宋_GB2312" w:hAnsi="仿宋_GB2312" w:eastAsia="仿宋_GB2312" w:cs="仿宋_GB2312"/>
          <w:strike w:val="0"/>
          <w:sz w:val="32"/>
          <w:szCs w:val="32"/>
          <w:highlight w:val="none"/>
          <w:lang w:val="en-US" w:eastAsia="zh-CN"/>
        </w:rPr>
        <w:t>牵头制定一批数据合规行业标准；</w:t>
      </w:r>
      <w:r>
        <w:rPr>
          <w:rFonts w:hint="default" w:ascii="仿宋_GB2312" w:hAnsi="仿宋_GB2312" w:eastAsia="仿宋_GB2312" w:cs="仿宋_GB2312"/>
          <w:strike w:val="0"/>
          <w:sz w:val="32"/>
          <w:szCs w:val="32"/>
          <w:highlight w:val="none"/>
          <w:lang w:val="en-US" w:eastAsia="zh-CN"/>
        </w:rPr>
        <w:t>联合</w:t>
      </w:r>
      <w:r>
        <w:rPr>
          <w:rFonts w:hint="eastAsia" w:ascii="仿宋_GB2312" w:hAnsi="仿宋_GB2312" w:eastAsia="仿宋_GB2312" w:cs="仿宋_GB2312"/>
          <w:strike w:val="0"/>
          <w:sz w:val="32"/>
          <w:szCs w:val="32"/>
          <w:highlight w:val="none"/>
          <w:lang w:val="en-US" w:eastAsia="zh-CN"/>
        </w:rPr>
        <w:t>法律、信息、数据</w:t>
      </w:r>
      <w:r>
        <w:rPr>
          <w:rFonts w:hint="default" w:ascii="仿宋_GB2312" w:hAnsi="仿宋_GB2312" w:eastAsia="仿宋_GB2312" w:cs="仿宋_GB2312"/>
          <w:strike w:val="0"/>
          <w:sz w:val="32"/>
          <w:szCs w:val="32"/>
          <w:highlight w:val="none"/>
          <w:lang w:val="en-US" w:eastAsia="zh-CN"/>
        </w:rPr>
        <w:t>等</w:t>
      </w:r>
      <w:r>
        <w:rPr>
          <w:rFonts w:hint="eastAsia" w:ascii="仿宋_GB2312" w:hAnsi="仿宋_GB2312" w:eastAsia="仿宋_GB2312" w:cs="仿宋_GB2312"/>
          <w:strike w:val="0"/>
          <w:sz w:val="32"/>
          <w:szCs w:val="32"/>
          <w:highlight w:val="none"/>
          <w:lang w:val="en-US" w:eastAsia="zh-CN"/>
        </w:rPr>
        <w:t>领域</w:t>
      </w:r>
      <w:r>
        <w:rPr>
          <w:rFonts w:hint="default" w:ascii="仿宋_GB2312" w:hAnsi="仿宋_GB2312" w:eastAsia="仿宋_GB2312" w:cs="仿宋_GB2312"/>
          <w:strike w:val="0"/>
          <w:sz w:val="32"/>
          <w:szCs w:val="32"/>
          <w:highlight w:val="none"/>
          <w:lang w:val="en-US" w:eastAsia="zh-CN"/>
        </w:rPr>
        <w:t>权威主体，研究制定一批数据治理标准</w:t>
      </w:r>
      <w:r>
        <w:rPr>
          <w:rFonts w:hint="eastAsia" w:ascii="仿宋_GB2312" w:hAnsi="仿宋_GB2312" w:eastAsia="仿宋_GB2312" w:cs="仿宋_GB2312"/>
          <w:strike w:val="0"/>
          <w:sz w:val="32"/>
          <w:szCs w:val="32"/>
          <w:highlight w:val="none"/>
          <w:lang w:val="en-US" w:eastAsia="zh-CN"/>
        </w:rPr>
        <w:t>，为数据安全流通与合规利用提供可操作的规范指引。</w:t>
      </w:r>
    </w:p>
    <w:p w14:paraId="5237327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25" w:name="_Toc748524453"/>
      <w:bookmarkStart w:id="26" w:name="_Toc31022"/>
      <w:r>
        <w:rPr>
          <w:rFonts w:hint="eastAsia" w:ascii="楷体_GB2312" w:hAnsi="楷体_GB2312" w:eastAsia="楷体_GB2312" w:cs="楷体_GB2312"/>
          <w:b w:val="0"/>
          <w:bCs w:val="0"/>
          <w:sz w:val="32"/>
          <w:szCs w:val="32"/>
          <w:lang w:val="en-US" w:eastAsia="zh-CN"/>
        </w:rPr>
        <w:t>（</w:t>
      </w:r>
      <w:r>
        <w:rPr>
          <w:rFonts w:hint="default" w:ascii="楷体_GB2312" w:hAnsi="楷体_GB2312" w:eastAsia="楷体_GB2312" w:cs="楷体_GB2312"/>
          <w:b w:val="0"/>
          <w:bCs w:val="0"/>
          <w:sz w:val="32"/>
          <w:szCs w:val="32"/>
          <w:lang w:val="en-US" w:eastAsia="zh-CN"/>
        </w:rPr>
        <w:t>七</w:t>
      </w:r>
      <w:r>
        <w:rPr>
          <w:rFonts w:hint="eastAsia" w:ascii="楷体_GB2312" w:hAnsi="楷体_GB2312" w:eastAsia="楷体_GB2312" w:cs="楷体_GB2312"/>
          <w:b w:val="0"/>
          <w:bCs w:val="0"/>
          <w:sz w:val="32"/>
          <w:szCs w:val="32"/>
          <w:lang w:val="en-US" w:eastAsia="zh-CN"/>
        </w:rPr>
        <w:t>）</w:t>
      </w:r>
      <w:r>
        <w:rPr>
          <w:rFonts w:hint="default" w:ascii="楷体_GB2312" w:hAnsi="楷体_GB2312" w:eastAsia="楷体_GB2312" w:cs="楷体_GB2312"/>
          <w:b w:val="0"/>
          <w:bCs w:val="0"/>
          <w:sz w:val="32"/>
          <w:szCs w:val="32"/>
          <w:lang w:val="en-US" w:eastAsia="zh-CN"/>
        </w:rPr>
        <w:t>强化安全保障能力，坚守“数智</w:t>
      </w:r>
      <w:r>
        <w:rPr>
          <w:rFonts w:hint="eastAsia" w:ascii="楷体_GB2312" w:hAnsi="楷体_GB2312" w:eastAsia="楷体_GB2312" w:cs="楷体_GB2312"/>
          <w:b w:val="0"/>
          <w:bCs w:val="0"/>
          <w:sz w:val="32"/>
          <w:szCs w:val="32"/>
          <w:lang w:val="en-US" w:eastAsia="zh-CN"/>
        </w:rPr>
        <w:t>大兴</w:t>
      </w:r>
      <w:r>
        <w:rPr>
          <w:rFonts w:hint="default" w:ascii="楷体_GB2312" w:hAnsi="楷体_GB2312" w:eastAsia="楷体_GB2312" w:cs="楷体_GB2312"/>
          <w:b w:val="0"/>
          <w:bCs w:val="0"/>
          <w:sz w:val="32"/>
          <w:szCs w:val="32"/>
          <w:lang w:val="en-US" w:eastAsia="zh-CN"/>
        </w:rPr>
        <w:t>”发展底线</w:t>
      </w:r>
      <w:bookmarkEnd w:id="25"/>
      <w:bookmarkEnd w:id="26"/>
    </w:p>
    <w:p w14:paraId="5A26D30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default" w:ascii="仿宋_GB2312" w:hAnsi="等线" w:eastAsia="仿宋_GB2312" w:cs="仿宋_GB2312"/>
          <w:b w:val="0"/>
          <w:bCs/>
          <w:color w:val="000000"/>
          <w:spacing w:val="-4"/>
          <w:kern w:val="2"/>
          <w:sz w:val="32"/>
          <w:szCs w:val="32"/>
          <w:highlight w:val="none"/>
          <w:lang w:val="en-US" w:eastAsia="zh-CN" w:bidi="ar"/>
        </w:rPr>
      </w:pPr>
      <w:r>
        <w:rPr>
          <w:rFonts w:hint="eastAsia" w:ascii="仿宋_GB2312" w:hAnsi="仿宋_GB2312" w:eastAsia="仿宋_GB2312" w:cs="仿宋_GB2312"/>
          <w:sz w:val="32"/>
          <w:szCs w:val="32"/>
          <w:lang w:val="en-US" w:eastAsia="zh-CN"/>
        </w:rPr>
        <w:t>21.</w:t>
      </w:r>
      <w:r>
        <w:rPr>
          <w:rFonts w:hint="default" w:ascii="仿宋_GB2312" w:hAnsi="仿宋_GB2312" w:eastAsia="仿宋_GB2312" w:cs="仿宋_GB2312"/>
          <w:sz w:val="32"/>
          <w:szCs w:val="32"/>
          <w:lang w:val="en-US" w:eastAsia="zh-CN"/>
        </w:rPr>
        <w:t>加强设施自主可控安全保障能力</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推进</w:t>
      </w:r>
      <w:r>
        <w:rPr>
          <w:rFonts w:hint="eastAsia" w:ascii="仿宋_GB2312" w:hAnsi="仿宋_GB2312" w:eastAsia="仿宋_GB2312" w:cs="仿宋_GB2312"/>
          <w:sz w:val="32"/>
          <w:szCs w:val="32"/>
          <w:lang w:val="en-US" w:eastAsia="zh-CN"/>
        </w:rPr>
        <w:t>政务</w:t>
      </w:r>
      <w:r>
        <w:rPr>
          <w:rFonts w:hint="default" w:ascii="仿宋_GB2312" w:hAnsi="仿宋_GB2312" w:eastAsia="仿宋_GB2312" w:cs="仿宋_GB2312"/>
          <w:sz w:val="32"/>
          <w:szCs w:val="32"/>
          <w:lang w:val="en-US" w:eastAsia="zh-CN"/>
        </w:rPr>
        <w:t>系统的国产密码应用</w:t>
      </w:r>
      <w:r>
        <w:rPr>
          <w:rFonts w:hint="eastAsia" w:ascii="仿宋_GB2312" w:hAnsi="仿宋_GB2312" w:eastAsia="仿宋_GB2312" w:cs="仿宋_GB2312"/>
          <w:sz w:val="32"/>
          <w:szCs w:val="32"/>
          <w:lang w:val="en-US" w:eastAsia="zh-CN"/>
        </w:rPr>
        <w:t>。</w:t>
      </w:r>
      <w:r>
        <w:rPr>
          <w:rFonts w:hint="default" w:ascii="仿宋_GB2312" w:hAnsi="等线" w:eastAsia="仿宋_GB2312" w:cs="仿宋_GB2312"/>
          <w:b w:val="0"/>
          <w:bCs/>
          <w:color w:val="000000"/>
          <w:spacing w:val="-4"/>
          <w:kern w:val="2"/>
          <w:sz w:val="32"/>
          <w:szCs w:val="32"/>
          <w:highlight w:val="none"/>
          <w:lang w:val="en-US" w:eastAsia="zh-CN" w:bidi="ar"/>
        </w:rPr>
        <w:t>强化数据安全，完善重要数据目录，</w:t>
      </w:r>
      <w:r>
        <w:rPr>
          <w:rFonts w:hint="eastAsia" w:ascii="仿宋_GB2312" w:hAnsi="等线" w:eastAsia="仿宋_GB2312" w:cs="仿宋_GB2312"/>
          <w:b w:val="0"/>
          <w:bCs/>
          <w:color w:val="000000"/>
          <w:spacing w:val="-4"/>
          <w:kern w:val="2"/>
          <w:sz w:val="32"/>
          <w:szCs w:val="32"/>
          <w:highlight w:val="none"/>
          <w:lang w:val="en-US" w:eastAsia="zh-CN" w:bidi="ar"/>
        </w:rPr>
        <w:t>加强</w:t>
      </w:r>
      <w:r>
        <w:rPr>
          <w:rFonts w:hint="default" w:ascii="仿宋_GB2312" w:hAnsi="等线" w:eastAsia="仿宋_GB2312" w:cs="仿宋_GB2312"/>
          <w:b w:val="0"/>
          <w:bCs/>
          <w:color w:val="000000"/>
          <w:spacing w:val="-4"/>
          <w:kern w:val="2"/>
          <w:sz w:val="32"/>
          <w:szCs w:val="32"/>
          <w:highlight w:val="none"/>
          <w:lang w:val="en-US" w:eastAsia="zh-CN" w:bidi="ar"/>
        </w:rPr>
        <w:t>数据分类分级，</w:t>
      </w:r>
      <w:r>
        <w:rPr>
          <w:rFonts w:hint="eastAsia" w:ascii="仿宋_GB2312" w:hAnsi="等线" w:eastAsia="仿宋_GB2312" w:cs="仿宋_GB2312"/>
          <w:b w:val="0"/>
          <w:bCs/>
          <w:color w:val="000000"/>
          <w:spacing w:val="-4"/>
          <w:kern w:val="2"/>
          <w:sz w:val="32"/>
          <w:szCs w:val="32"/>
          <w:highlight w:val="none"/>
          <w:lang w:val="en-US" w:eastAsia="zh-CN" w:bidi="ar"/>
        </w:rPr>
        <w:t>强化</w:t>
      </w:r>
      <w:r>
        <w:rPr>
          <w:rFonts w:hint="default" w:ascii="仿宋_GB2312" w:hAnsi="等线" w:eastAsia="仿宋_GB2312" w:cs="仿宋_GB2312"/>
          <w:b w:val="0"/>
          <w:bCs/>
          <w:color w:val="000000"/>
          <w:spacing w:val="-4"/>
          <w:kern w:val="2"/>
          <w:sz w:val="32"/>
          <w:szCs w:val="32"/>
          <w:highlight w:val="none"/>
          <w:lang w:val="en-US" w:eastAsia="zh-CN" w:bidi="ar"/>
        </w:rPr>
        <w:t>数据</w:t>
      </w:r>
      <w:r>
        <w:rPr>
          <w:rFonts w:hint="eastAsia" w:ascii="仿宋_GB2312" w:hAnsi="等线" w:eastAsia="仿宋_GB2312" w:cs="仿宋_GB2312"/>
          <w:b w:val="0"/>
          <w:bCs/>
          <w:color w:val="000000"/>
          <w:spacing w:val="-4"/>
          <w:kern w:val="2"/>
          <w:sz w:val="32"/>
          <w:szCs w:val="32"/>
          <w:highlight w:val="none"/>
          <w:lang w:val="en-US" w:eastAsia="zh-CN" w:bidi="ar"/>
        </w:rPr>
        <w:t>全生命周期</w:t>
      </w:r>
      <w:r>
        <w:rPr>
          <w:rFonts w:hint="default" w:ascii="仿宋_GB2312" w:hAnsi="等线" w:eastAsia="仿宋_GB2312" w:cs="仿宋_GB2312"/>
          <w:b w:val="0"/>
          <w:bCs/>
          <w:color w:val="000000"/>
          <w:spacing w:val="-4"/>
          <w:kern w:val="2"/>
          <w:sz w:val="32"/>
          <w:szCs w:val="32"/>
          <w:highlight w:val="none"/>
          <w:lang w:val="en-US" w:eastAsia="zh-CN" w:bidi="ar"/>
        </w:rPr>
        <w:t>安全管理。健全个人信息全链条保护机制，实现收集、使用、共享等环节的合规与安全可控。</w:t>
      </w:r>
      <w:r>
        <w:rPr>
          <w:rFonts w:hint="eastAsia" w:ascii="仿宋_GB2312" w:hAnsi="仿宋_GB2312" w:eastAsia="仿宋_GB2312" w:cs="仿宋_GB2312"/>
          <w:sz w:val="32"/>
          <w:szCs w:val="32"/>
          <w:lang w:val="en-US" w:eastAsia="zh-CN"/>
        </w:rPr>
        <w:t>加强</w:t>
      </w:r>
      <w:r>
        <w:rPr>
          <w:rFonts w:hint="default" w:ascii="仿宋_GB2312" w:hAnsi="仿宋_GB2312" w:eastAsia="仿宋_GB2312" w:cs="仿宋_GB2312"/>
          <w:sz w:val="32"/>
          <w:szCs w:val="32"/>
          <w:lang w:val="en-US" w:eastAsia="zh-CN"/>
        </w:rPr>
        <w:t>人工智能监管和风险识别</w:t>
      </w:r>
      <w:r>
        <w:rPr>
          <w:rFonts w:hint="eastAsia" w:ascii="仿宋_GB2312" w:hAnsi="仿宋_GB2312" w:eastAsia="仿宋_GB2312" w:cs="仿宋_GB2312"/>
          <w:sz w:val="32"/>
          <w:szCs w:val="32"/>
          <w:lang w:val="en-US" w:eastAsia="zh-CN"/>
        </w:rPr>
        <w:t>，安全稳妥有序推进政务领域人工智能大模型部署应用。完善网络</w:t>
      </w:r>
      <w:r>
        <w:rPr>
          <w:rFonts w:hint="default" w:ascii="仿宋_GB2312" w:hAnsi="仿宋_GB2312" w:eastAsia="仿宋_GB2312" w:cs="仿宋_GB2312"/>
          <w:sz w:val="32"/>
          <w:szCs w:val="32"/>
          <w:lang w:val="en-US" w:eastAsia="zh-CN"/>
        </w:rPr>
        <w:t>安全防护体系，加强常态化的安全监测、风险评估与应急响应能力</w:t>
      </w:r>
      <w:r>
        <w:rPr>
          <w:rFonts w:hint="eastAsia" w:ascii="仿宋_GB2312" w:hAnsi="仿宋_GB2312" w:eastAsia="仿宋_GB2312" w:cs="仿宋_GB2312"/>
          <w:sz w:val="32"/>
          <w:szCs w:val="32"/>
          <w:lang w:val="en-US" w:eastAsia="zh-CN"/>
        </w:rPr>
        <w:t>。</w:t>
      </w:r>
      <w:r>
        <w:rPr>
          <w:rFonts w:hint="default" w:ascii="仿宋_GB2312" w:hAnsi="等线" w:eastAsia="仿宋_GB2312" w:cs="仿宋_GB2312"/>
          <w:b w:val="0"/>
          <w:bCs/>
          <w:color w:val="000000"/>
          <w:spacing w:val="-4"/>
          <w:kern w:val="2"/>
          <w:sz w:val="32"/>
          <w:szCs w:val="32"/>
          <w:highlight w:val="none"/>
          <w:lang w:val="en-US" w:eastAsia="zh-CN" w:bidi="ar"/>
        </w:rPr>
        <w:t>持续做好政务领域网络安全监督检查工作</w:t>
      </w:r>
      <w:r>
        <w:rPr>
          <w:rFonts w:hint="eastAsia" w:ascii="仿宋_GB2312" w:hAnsi="等线" w:eastAsia="仿宋_GB2312" w:cs="仿宋_GB2312"/>
          <w:b w:val="0"/>
          <w:bCs/>
          <w:color w:val="000000"/>
          <w:spacing w:val="-4"/>
          <w:kern w:val="2"/>
          <w:sz w:val="32"/>
          <w:szCs w:val="32"/>
          <w:highlight w:val="none"/>
          <w:lang w:val="en-US" w:eastAsia="zh-CN" w:bidi="ar"/>
        </w:rPr>
        <w:t>，</w:t>
      </w:r>
      <w:r>
        <w:rPr>
          <w:rFonts w:hint="eastAsia" w:ascii="仿宋_GB2312" w:hAnsi="仿宋_GB2312" w:eastAsia="仿宋_GB2312" w:cs="仿宋_GB2312"/>
          <w:color w:val="auto"/>
          <w:sz w:val="32"/>
          <w:szCs w:val="32"/>
          <w:lang w:val="en-US" w:eastAsia="zh-CN"/>
        </w:rPr>
        <w:t>提升应急处置能力</w:t>
      </w:r>
      <w:r>
        <w:rPr>
          <w:rFonts w:hint="default" w:ascii="仿宋_GB2312" w:hAnsi="等线" w:eastAsia="仿宋_GB2312" w:cs="仿宋_GB2312"/>
          <w:b w:val="0"/>
          <w:bCs/>
          <w:color w:val="000000"/>
          <w:spacing w:val="-4"/>
          <w:kern w:val="2"/>
          <w:sz w:val="32"/>
          <w:szCs w:val="32"/>
          <w:highlight w:val="none"/>
          <w:lang w:val="en-US" w:eastAsia="zh-CN" w:bidi="ar"/>
        </w:rPr>
        <w:t>。</w:t>
      </w:r>
    </w:p>
    <w:p w14:paraId="68F92982">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黑体"/>
          <w:b w:val="0"/>
          <w:bCs w:val="0"/>
          <w:sz w:val="32"/>
          <w:szCs w:val="32"/>
          <w:highlight w:val="none"/>
          <w:lang w:val="en-US" w:eastAsia="zh-CN"/>
        </w:rPr>
      </w:pPr>
      <w:bookmarkStart w:id="27" w:name="_Toc491277445"/>
      <w:r>
        <w:rPr>
          <w:rFonts w:hint="eastAsia" w:ascii="黑体" w:hAnsi="黑体" w:eastAsia="黑体" w:cs="黑体"/>
          <w:b w:val="0"/>
          <w:bCs w:val="0"/>
          <w:sz w:val="32"/>
          <w:szCs w:val="32"/>
          <w:highlight w:val="none"/>
          <w:lang w:val="en-US" w:eastAsia="zh-CN"/>
        </w:rPr>
        <w:t>保障措施</w:t>
      </w:r>
      <w:bookmarkEnd w:id="27"/>
    </w:p>
    <w:p w14:paraId="13F5D718">
      <w:pPr>
        <w:keepNext w:val="0"/>
        <w:keepLines w:val="0"/>
        <w:widowControl/>
        <w:suppressLineNumbers w:val="0"/>
        <w:spacing w:line="560" w:lineRule="exact"/>
        <w:ind w:firstLine="640" w:firstLineChars="200"/>
        <w:jc w:val="left"/>
        <w:rPr>
          <w:rFonts w:hint="eastAsia" w:ascii="仿宋_GB2312" w:hAnsi="仿宋_GB2312" w:eastAsia="仿宋_GB2312" w:cs="仿宋_GB2312"/>
          <w:i w:val="0"/>
          <w:iCs w:val="0"/>
          <w:caps w:val="0"/>
          <w:color w:val="0F1115"/>
          <w:spacing w:val="0"/>
          <w:sz w:val="32"/>
          <w:szCs w:val="32"/>
        </w:rPr>
      </w:pPr>
      <w:bookmarkStart w:id="28" w:name="_Toc9246"/>
      <w:bookmarkStart w:id="29" w:name="_Toc1972879047"/>
      <w:bookmarkStart w:id="30" w:name="_Toc12078"/>
      <w:bookmarkStart w:id="31" w:name="_Toc1959057394"/>
      <w:r>
        <w:rPr>
          <w:rFonts w:hint="eastAsia" w:ascii="仿宋_GB2312" w:hAnsi="仿宋_GB2312" w:eastAsia="仿宋_GB2312" w:cs="仿宋_GB2312"/>
          <w:i w:val="0"/>
          <w:iCs w:val="0"/>
          <w:caps w:val="0"/>
          <w:color w:val="0F1115"/>
          <w:spacing w:val="0"/>
          <w:kern w:val="2"/>
          <w:sz w:val="32"/>
          <w:szCs w:val="32"/>
          <w:shd w:val="clear" w:color="auto" w:fill="FFFFFF"/>
          <w:lang w:val="en-US" w:eastAsia="zh-CN" w:bidi="ar-SA"/>
        </w:rPr>
        <w:t>围绕规划落地实施，从组织统筹、资金融通、人才支撑、宣传引导四个维度，构建全方位、多层次的保障体系，确保各项任务有力有序推进。</w:t>
      </w:r>
      <w:r>
        <w:rPr>
          <w:rFonts w:hint="eastAsia" w:ascii="仿宋_GB2312" w:hAnsi="仿宋_GB2312" w:eastAsia="仿宋_GB2312" w:cs="仿宋_GB2312"/>
          <w:i w:val="0"/>
          <w:iCs w:val="0"/>
          <w:caps w:val="0"/>
          <w:color w:val="0F1115"/>
          <w:spacing w:val="0"/>
          <w:sz w:val="32"/>
          <w:szCs w:val="32"/>
          <w:shd w:val="clear" w:color="auto" w:fill="FFFFFF"/>
        </w:rPr>
        <w:t>加强统筹规划实施，</w:t>
      </w:r>
      <w:r>
        <w:rPr>
          <w:rFonts w:hint="eastAsia" w:ascii="仿宋_GB2312" w:hAnsi="仿宋_GB2312" w:eastAsia="仿宋_GB2312" w:cs="仿宋_GB2312"/>
          <w:i w:val="0"/>
          <w:iCs w:val="0"/>
          <w:caps w:val="0"/>
          <w:color w:val="0F1115"/>
          <w:spacing w:val="0"/>
          <w:kern w:val="2"/>
          <w:sz w:val="32"/>
          <w:szCs w:val="32"/>
          <w:shd w:val="clear" w:color="auto" w:fill="FFFFFF"/>
          <w:lang w:val="en-US" w:eastAsia="zh-CN" w:bidi="ar-SA"/>
        </w:rPr>
        <w:t>建立数智大兴常态化调</w:t>
      </w:r>
      <w:r>
        <w:rPr>
          <w:rFonts w:hint="eastAsia" w:ascii="仿宋_GB2312" w:hAnsi="仿宋_GB2312" w:eastAsia="仿宋_GB2312" w:cs="仿宋_GB2312"/>
          <w:i w:val="0"/>
          <w:iCs w:val="0"/>
          <w:caps w:val="0"/>
          <w:color w:val="0F1115"/>
          <w:spacing w:val="0"/>
          <w:sz w:val="32"/>
          <w:szCs w:val="32"/>
          <w:shd w:val="clear" w:color="auto" w:fill="FFFFFF"/>
        </w:rPr>
        <w:t>度机制，强化区级统筹与部门协同联动，及时协调解决重大问题。充分发挥各部门首席数据官管理职能，统筹本单位、本领域数据全生命周期管理，推动重点任务与工程项目落地见效。探索建立“政府引导、企业主体、金融支持”的投融资模式，推动形成多元可持续的金融服务体系。探索建立数字经济产业基金，引导更多金融资源精准投向数据产业链上下游的关键环节，为项目建设提供稳定资金保障。持续提升干部队伍数智综合素养，培育各类专业数智人才。聚焦基层强化实操培训，深化跨区域人才协同，鼓励社会力量参与全民数字素养与技能提升行动，构建多层次人才支撑体系。多渠道、常态化开展数据要素与人工智能专题宣贯，在全区营造乐学数智、善用数智的良好氛围，实现政府、企业、社会携手共建数据要素与人工智能协同发展的数智生态。</w:t>
      </w:r>
    </w:p>
    <w:bookmarkEnd w:id="28"/>
    <w:bookmarkEnd w:id="29"/>
    <w:bookmarkEnd w:id="30"/>
    <w:bookmarkEnd w:id="31"/>
    <w:p w14:paraId="7D101A27">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p>
    <w:sectPr>
      <w:pgSz w:w="11906" w:h="16838"/>
      <w:pgMar w:top="2098" w:right="1474" w:bottom="1984" w:left="1587" w:header="851" w:footer="992" w:gutter="0"/>
      <w:paperSrc/>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Microsoft YaHei">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F6C45">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326F0">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22586">
    <w:pPr>
      <w:pStyle w:val="12"/>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2F31D">
                          <w:pPr>
                            <w:pStyle w:val="12"/>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72F31D">
                    <w:pPr>
                      <w:pStyle w:val="12"/>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2A83617D">
      <w:pPr>
        <w:pStyle w:val="15"/>
        <w:snapToGrid w:val="0"/>
        <w:rPr>
          <w:rFonts w:hint="eastAsia" w:ascii="宋体" w:hAnsi="宋体" w:cs="宋体"/>
          <w:sz w:val="20"/>
          <w:szCs w:val="20"/>
        </w:rPr>
      </w:pPr>
      <w:r>
        <w:rPr>
          <w:rFonts w:hint="eastAsia" w:ascii="宋体" w:hAnsi="宋体" w:cs="宋体"/>
          <w:sz w:val="20"/>
          <w:szCs w:val="20"/>
        </w:rPr>
        <w:footnoteRef/>
      </w:r>
      <w:r>
        <w:rPr>
          <w:rFonts w:hint="eastAsia" w:ascii="宋体" w:hAnsi="宋体" w:cs="宋体"/>
          <w:sz w:val="20"/>
          <w:szCs w:val="20"/>
          <w:lang w:val="en-US" w:eastAsia="zh-CN"/>
        </w:rPr>
        <w:t>.</w:t>
      </w:r>
      <w:r>
        <w:rPr>
          <w:rFonts w:hint="eastAsia" w:ascii="宋体" w:hAnsi="宋体" w:cs="宋体" w:eastAsiaTheme="minorEastAsia"/>
          <w:sz w:val="20"/>
          <w:szCs w:val="20"/>
          <w:lang w:val="en-US" w:eastAsia="zh-CN"/>
        </w:rPr>
        <w:t>数实融合</w:t>
      </w:r>
      <w:r>
        <w:rPr>
          <w:rFonts w:hint="eastAsia" w:ascii="宋体" w:hAnsi="宋体" w:cs="宋体"/>
          <w:sz w:val="20"/>
          <w:szCs w:val="20"/>
          <w:lang w:val="en-US" w:eastAsia="zh-CN"/>
        </w:rPr>
        <w:t>指</w:t>
      </w:r>
      <w:r>
        <w:rPr>
          <w:rFonts w:hint="eastAsia" w:ascii="宋体" w:hAnsi="宋体" w:cs="宋体" w:eastAsiaTheme="minorEastAsia"/>
          <w:sz w:val="20"/>
          <w:szCs w:val="20"/>
          <w:lang w:val="en-US" w:eastAsia="zh-CN"/>
        </w:rPr>
        <w:t>数字经济与实体经济深度融合，以大数据、人工智能、云计算、物联网等数字技术为核心驱动力，以实体经济为根基，通过数字技术赋能实体产业转型升级、实体场景支撑数字技术创新迭代的双向互促模式。</w:t>
      </w:r>
    </w:p>
  </w:footnote>
  <w:footnote w:id="1">
    <w:p w14:paraId="56D8D047">
      <w:pPr>
        <w:pStyle w:val="15"/>
        <w:snapToGrid w:val="0"/>
        <w:rPr>
          <w:rFonts w:hint="eastAsia" w:ascii="宋体" w:hAnsi="宋体" w:cs="宋体"/>
          <w:sz w:val="20"/>
          <w:szCs w:val="20"/>
        </w:rPr>
      </w:pPr>
      <w:r>
        <w:rPr>
          <w:rFonts w:hint="eastAsia" w:ascii="宋体" w:hAnsi="宋体" w:cs="宋体"/>
          <w:sz w:val="20"/>
          <w:szCs w:val="20"/>
          <w:lang w:val="en-US" w:eastAsia="zh-CN"/>
        </w:rPr>
        <w:t>2.</w:t>
      </w:r>
      <w:r>
        <w:rPr>
          <w:rFonts w:hint="eastAsia" w:ascii="宋体" w:hAnsi="宋体" w:cs="宋体"/>
          <w:sz w:val="20"/>
          <w:szCs w:val="20"/>
        </w:rPr>
        <w:t>智慧城市“33321”工作体系</w:t>
      </w:r>
      <w:r>
        <w:rPr>
          <w:rFonts w:hint="eastAsia" w:ascii="宋体" w:hAnsi="宋体" w:cs="宋体"/>
          <w:sz w:val="20"/>
          <w:szCs w:val="20"/>
          <w:lang w:val="en-US" w:eastAsia="zh-CN"/>
        </w:rPr>
        <w:t>指</w:t>
      </w:r>
      <w:r>
        <w:rPr>
          <w:rFonts w:hint="eastAsia" w:ascii="宋体" w:hAnsi="宋体" w:cs="宋体"/>
          <w:sz w:val="20"/>
          <w:szCs w:val="20"/>
        </w:rPr>
        <w:t>“十四五”时期北京智慧城市建设确立了“上下结合、统分结合、并串结合”的发展思路，形成“规划管控、平台支撑、数据治理”三大工作体系，“一网通办、一网统管、一网慧治”三大牵引应用，场景开放和技术创新两类产业培育路径，以及安全、考核、评估等一系列保障机制，构建支撑城市“33321”总体框架，形成全市协同发展“一盘棋”。</w:t>
      </w:r>
    </w:p>
  </w:footnote>
  <w:footnote w:id="2">
    <w:p w14:paraId="2E91D929">
      <w:pPr>
        <w:pStyle w:val="15"/>
        <w:snapToGrid w:val="0"/>
      </w:pPr>
      <w:r>
        <w:rPr>
          <w:rFonts w:hint="eastAsia" w:ascii="宋体" w:hAnsi="宋体" w:eastAsia="宋体" w:cs="宋体"/>
          <w:sz w:val="20"/>
          <w:szCs w:val="20"/>
          <w:lang w:val="en-US" w:eastAsia="zh-CN"/>
        </w:rPr>
        <w:t>3.</w:t>
      </w:r>
      <w:r>
        <w:rPr>
          <w:rFonts w:hint="eastAsia" w:ascii="宋体" w:hAnsi="宋体" w:eastAsia="宋体" w:cs="宋体"/>
          <w:sz w:val="20"/>
          <w:szCs w:val="20"/>
        </w:rPr>
        <w:t>数据要素综合试验区“243”建设框架</w:t>
      </w:r>
      <w:r>
        <w:rPr>
          <w:rFonts w:hint="eastAsia" w:ascii="宋体" w:hAnsi="宋体" w:eastAsia="宋体" w:cs="宋体"/>
          <w:sz w:val="20"/>
          <w:szCs w:val="20"/>
          <w:lang w:val="en-US" w:eastAsia="zh-CN"/>
        </w:rPr>
        <w:t>指</w:t>
      </w:r>
      <w:r>
        <w:rPr>
          <w:rFonts w:hint="eastAsia" w:ascii="宋体" w:hAnsi="宋体" w:eastAsia="宋体" w:cs="宋体"/>
          <w:sz w:val="20"/>
          <w:szCs w:val="20"/>
        </w:rPr>
        <w:t>以数据要素市场化配置改革为主线，统筹数据发展和安全，夯实数据基础制度、基础设施“两大基础”，打通数据供给、流通、应用和安全“四个环节”，构筑数据技术创新、要素服务和产业发展“三大体系”。</w:t>
      </w:r>
    </w:p>
  </w:footnote>
  <w:footnote w:id="3">
    <w:p w14:paraId="2893CF6E">
      <w:pPr>
        <w:pStyle w:val="15"/>
        <w:snapToGrid w:val="0"/>
        <w:rPr>
          <w:rFonts w:hint="eastAsia" w:eastAsiaTheme="minorEastAsia"/>
          <w:lang w:eastAsia="zh-CN"/>
        </w:rPr>
      </w:pPr>
      <w:r>
        <w:rPr>
          <w:rFonts w:hint="eastAsia" w:ascii="宋体" w:hAnsi="宋体" w:eastAsia="宋体" w:cs="宋体"/>
          <w:sz w:val="20"/>
          <w:szCs w:val="20"/>
          <w:lang w:val="en-US" w:eastAsia="zh-CN"/>
        </w:rPr>
        <w:t>4.</w:t>
      </w:r>
      <w:r>
        <w:rPr>
          <w:rFonts w:hint="eastAsia" w:ascii="宋体" w:hAnsi="宋体" w:eastAsia="宋体" w:cs="宋体"/>
          <w:sz w:val="20"/>
          <w:szCs w:val="20"/>
        </w:rPr>
        <w:t>“一数一源一标准”</w:t>
      </w:r>
      <w:r>
        <w:rPr>
          <w:rFonts w:hint="eastAsia" w:ascii="宋体" w:hAnsi="宋体" w:eastAsia="宋体" w:cs="宋体"/>
          <w:sz w:val="20"/>
          <w:szCs w:val="20"/>
          <w:lang w:val="en-US" w:eastAsia="zh-CN"/>
        </w:rPr>
        <w:t>指</w:t>
      </w:r>
      <w:r>
        <w:rPr>
          <w:rFonts w:hint="eastAsia" w:ascii="宋体" w:hAnsi="宋体" w:eastAsia="宋体" w:cs="宋体"/>
          <w:sz w:val="20"/>
          <w:szCs w:val="20"/>
        </w:rPr>
        <w:t>每个数据项都应有唯一的来源和统一的标准。其中，“一数”指的是每个数据项，“一源”指的是该数据项的唯一来源，“一标准”则是指该数据项应遵循的统一标准</w:t>
      </w:r>
      <w:r>
        <w:rPr>
          <w:rFonts w:hint="eastAsia" w:ascii="宋体" w:hAnsi="宋体" w:eastAsia="宋体" w:cs="宋体"/>
          <w:sz w:val="20"/>
          <w:szCs w:val="20"/>
          <w:lang w:eastAsia="zh-CN"/>
        </w:rPr>
        <w:t>。</w:t>
      </w:r>
    </w:p>
  </w:footnote>
  <w:footnote w:id="4">
    <w:p w14:paraId="1CDCEAF1">
      <w:pPr>
        <w:pStyle w:val="15"/>
        <w:snapToGrid w:val="0"/>
        <w:rPr>
          <w:rFonts w:hint="eastAsia" w:ascii="宋体" w:hAnsi="宋体" w:eastAsia="宋体" w:cs="宋体"/>
          <w:sz w:val="20"/>
          <w:szCs w:val="20"/>
        </w:rPr>
      </w:pPr>
      <w:r>
        <w:rPr>
          <w:rFonts w:hint="eastAsia" w:ascii="宋体" w:hAnsi="宋体" w:eastAsia="宋体" w:cs="宋体"/>
          <w:sz w:val="20"/>
          <w:szCs w:val="20"/>
          <w:lang w:val="en-US" w:eastAsia="zh-CN"/>
        </w:rPr>
        <w:t>5</w:t>
      </w:r>
      <w:r>
        <w:rPr>
          <w:rFonts w:hint="eastAsia" w:ascii="宋体" w:hAnsi="宋体" w:eastAsia="宋体" w:cs="宋体"/>
          <w:sz w:val="20"/>
          <w:szCs w:val="20"/>
        </w:rPr>
        <w:t>.“数据要素×”</w:t>
      </w:r>
      <w:r>
        <w:rPr>
          <w:rFonts w:hint="eastAsia" w:ascii="宋体" w:hAnsi="宋体" w:eastAsia="宋体" w:cs="宋体"/>
          <w:sz w:val="20"/>
          <w:szCs w:val="20"/>
          <w:lang w:val="en-US" w:eastAsia="zh-CN"/>
        </w:rPr>
        <w:t>指</w:t>
      </w:r>
      <w:r>
        <w:rPr>
          <w:rFonts w:hint="eastAsia" w:ascii="宋体" w:hAnsi="宋体" w:eastAsia="宋体" w:cs="宋体"/>
          <w:sz w:val="20"/>
          <w:szCs w:val="20"/>
        </w:rPr>
        <w:t>充分发挥数据要素的放大、叠加、倍增作用，推动数据要素与其他要素相结合，发挥数据要素乘数效应，赋能经济社会发展。</w:t>
      </w:r>
    </w:p>
  </w:footnote>
  <w:footnote w:id="5">
    <w:p w14:paraId="54D6DC14">
      <w:pPr>
        <w:pStyle w:val="15"/>
        <w:snapToGrid w:val="0"/>
        <w:rPr>
          <w:rFonts w:hint="eastAsia" w:ascii="宋体" w:hAnsi="宋体" w:eastAsia="宋体" w:cs="宋体"/>
          <w:sz w:val="20"/>
          <w:szCs w:val="20"/>
        </w:rPr>
      </w:pPr>
      <w:r>
        <w:rPr>
          <w:rFonts w:hint="eastAsia" w:ascii="宋体" w:hAnsi="宋体" w:eastAsia="宋体" w:cs="宋体"/>
          <w:sz w:val="20"/>
          <w:szCs w:val="20"/>
        </w:rPr>
        <w:footnoteRef/>
      </w:r>
      <w:r>
        <w:rPr>
          <w:rFonts w:hint="eastAsia" w:ascii="宋体" w:hAnsi="宋体" w:eastAsia="宋体" w:cs="宋体"/>
          <w:sz w:val="20"/>
          <w:szCs w:val="20"/>
          <w:lang w:val="en-US" w:eastAsia="zh-CN"/>
        </w:rPr>
        <w:t>.</w:t>
      </w:r>
      <w:r>
        <w:rPr>
          <w:rFonts w:hint="eastAsia" w:ascii="宋体" w:hAnsi="宋体" w:eastAsia="宋体" w:cs="宋体"/>
          <w:sz w:val="20"/>
          <w:szCs w:val="20"/>
        </w:rPr>
        <w:t>数据产业</w:t>
      </w:r>
      <w:r>
        <w:rPr>
          <w:rFonts w:hint="eastAsia" w:ascii="宋体" w:hAnsi="宋体" w:eastAsia="宋体" w:cs="宋体"/>
          <w:sz w:val="20"/>
          <w:szCs w:val="20"/>
          <w:lang w:val="en-US" w:eastAsia="zh-CN"/>
        </w:rPr>
        <w:t>指</w:t>
      </w:r>
      <w:r>
        <w:rPr>
          <w:rFonts w:hint="eastAsia" w:ascii="宋体" w:hAnsi="宋体" w:eastAsia="宋体" w:cs="宋体"/>
          <w:sz w:val="20"/>
          <w:szCs w:val="20"/>
        </w:rPr>
        <w:t>利用现代信息技术对数据资源进行产品或服务开发，并推动其流通应用所形成的新兴产业，包括数据采集汇聚、计算存储、流通交易、开发利用、安全治理和数据基础设施建设等。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2CB78">
    <w:pPr>
      <w:pStyle w:val="30"/>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0F8AF"/>
    <w:multiLevelType w:val="singleLevel"/>
    <w:tmpl w:val="8430F8AF"/>
    <w:lvl w:ilvl="0" w:tentative="0">
      <w:start w:val="1"/>
      <w:numFmt w:val="chineseCounting"/>
      <w:suff w:val="nothing"/>
      <w:lvlText w:val="%1、"/>
      <w:lvlJc w:val="left"/>
      <w:pPr>
        <w:ind w:left="0" w:firstLine="0"/>
      </w:pPr>
      <w:rPr>
        <w:rFonts w:hint="eastAsia"/>
        <w:color w:val="000000" w:themeColor="text1"/>
        <w14:textFill>
          <w14:solidFill>
            <w14:schemeClr w14:val="tx1"/>
          </w14:solidFill>
        </w14:textFill>
      </w:rPr>
    </w:lvl>
  </w:abstractNum>
  <w:abstractNum w:abstractNumId="1">
    <w:nsid w:val="B9F9A5E1"/>
    <w:multiLevelType w:val="singleLevel"/>
    <w:tmpl w:val="B9F9A5E1"/>
    <w:lvl w:ilvl="0" w:tentative="0">
      <w:start w:val="1"/>
      <w:numFmt w:val="decimal"/>
      <w:suff w:val="nothing"/>
      <w:lvlText w:val="%1."/>
      <w:lvlJc w:val="left"/>
      <w:pPr>
        <w:ind w:left="560" w:leftChars="0" w:firstLine="70" w:firstLineChars="0"/>
      </w:pPr>
      <w:rPr>
        <w:rFonts w:hint="default" w:ascii="仿宋_GB2312" w:hAnsi="仿宋_GB2312" w:eastAsia="仿宋_GB2312" w:cs="仿宋_GB2312"/>
        <w:strike w:val="0"/>
        <w:dstrike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2"/>
    <w:footnote w:id="1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7DB4"/>
    <w:rsid w:val="00023986"/>
    <w:rsid w:val="0012448A"/>
    <w:rsid w:val="001315D9"/>
    <w:rsid w:val="00133387"/>
    <w:rsid w:val="0023516D"/>
    <w:rsid w:val="00276E33"/>
    <w:rsid w:val="00333A2A"/>
    <w:rsid w:val="00440FC5"/>
    <w:rsid w:val="004B4383"/>
    <w:rsid w:val="00522102"/>
    <w:rsid w:val="005501F1"/>
    <w:rsid w:val="00563274"/>
    <w:rsid w:val="005C088A"/>
    <w:rsid w:val="005F6FC4"/>
    <w:rsid w:val="00665CBB"/>
    <w:rsid w:val="0066795B"/>
    <w:rsid w:val="00690CB1"/>
    <w:rsid w:val="00726300"/>
    <w:rsid w:val="007D6A53"/>
    <w:rsid w:val="007F6C6F"/>
    <w:rsid w:val="008250D8"/>
    <w:rsid w:val="008F0F7B"/>
    <w:rsid w:val="009C512B"/>
    <w:rsid w:val="009D0EA3"/>
    <w:rsid w:val="009E70F5"/>
    <w:rsid w:val="00A05859"/>
    <w:rsid w:val="00A24FE8"/>
    <w:rsid w:val="00B72DD4"/>
    <w:rsid w:val="00B94F13"/>
    <w:rsid w:val="00BF706B"/>
    <w:rsid w:val="00CC1F98"/>
    <w:rsid w:val="00CE72AE"/>
    <w:rsid w:val="00DB7A05"/>
    <w:rsid w:val="00E61ADA"/>
    <w:rsid w:val="00E908CF"/>
    <w:rsid w:val="00EC3893"/>
    <w:rsid w:val="00F20962"/>
    <w:rsid w:val="00F87355"/>
    <w:rsid w:val="00FA00A3"/>
    <w:rsid w:val="00FE41A8"/>
    <w:rsid w:val="0101237C"/>
    <w:rsid w:val="01066A48"/>
    <w:rsid w:val="010D4FC5"/>
    <w:rsid w:val="010D7DD7"/>
    <w:rsid w:val="011A24F4"/>
    <w:rsid w:val="01243D64"/>
    <w:rsid w:val="012515C4"/>
    <w:rsid w:val="01292C7A"/>
    <w:rsid w:val="012F32DD"/>
    <w:rsid w:val="013637D1"/>
    <w:rsid w:val="01390BCC"/>
    <w:rsid w:val="01453498"/>
    <w:rsid w:val="014766D2"/>
    <w:rsid w:val="01492904"/>
    <w:rsid w:val="01541EA9"/>
    <w:rsid w:val="0155524A"/>
    <w:rsid w:val="015A413A"/>
    <w:rsid w:val="015F1E6E"/>
    <w:rsid w:val="0166457E"/>
    <w:rsid w:val="017936BE"/>
    <w:rsid w:val="01797E36"/>
    <w:rsid w:val="017D4D3A"/>
    <w:rsid w:val="019762E5"/>
    <w:rsid w:val="019E4347"/>
    <w:rsid w:val="019F1377"/>
    <w:rsid w:val="01A050EF"/>
    <w:rsid w:val="01A22C15"/>
    <w:rsid w:val="01AA7D1B"/>
    <w:rsid w:val="01AD5116"/>
    <w:rsid w:val="01B6221C"/>
    <w:rsid w:val="01BD4E29"/>
    <w:rsid w:val="01CB6DD7"/>
    <w:rsid w:val="01CF7782"/>
    <w:rsid w:val="01D47F8D"/>
    <w:rsid w:val="01D5174D"/>
    <w:rsid w:val="01D54643"/>
    <w:rsid w:val="01D7777D"/>
    <w:rsid w:val="01E52B01"/>
    <w:rsid w:val="01E6443F"/>
    <w:rsid w:val="01E66FA5"/>
    <w:rsid w:val="01EC20E2"/>
    <w:rsid w:val="01F12C93"/>
    <w:rsid w:val="01FA65AD"/>
    <w:rsid w:val="01FB40D3"/>
    <w:rsid w:val="01FF6E43"/>
    <w:rsid w:val="020B355F"/>
    <w:rsid w:val="020D2C3B"/>
    <w:rsid w:val="02124002"/>
    <w:rsid w:val="02181129"/>
    <w:rsid w:val="022278B2"/>
    <w:rsid w:val="0224362A"/>
    <w:rsid w:val="02251150"/>
    <w:rsid w:val="02385AC7"/>
    <w:rsid w:val="023A7B93"/>
    <w:rsid w:val="023C403F"/>
    <w:rsid w:val="023E0D15"/>
    <w:rsid w:val="023F66B6"/>
    <w:rsid w:val="02445A7A"/>
    <w:rsid w:val="024505F1"/>
    <w:rsid w:val="024A27EA"/>
    <w:rsid w:val="024A32BB"/>
    <w:rsid w:val="025674A6"/>
    <w:rsid w:val="026568C8"/>
    <w:rsid w:val="02685C0C"/>
    <w:rsid w:val="026A28A4"/>
    <w:rsid w:val="026C5134"/>
    <w:rsid w:val="026C6D7F"/>
    <w:rsid w:val="02702D13"/>
    <w:rsid w:val="02786099"/>
    <w:rsid w:val="027A1446"/>
    <w:rsid w:val="027D2D3A"/>
    <w:rsid w:val="02967A4D"/>
    <w:rsid w:val="0297355C"/>
    <w:rsid w:val="029762F6"/>
    <w:rsid w:val="02A0095B"/>
    <w:rsid w:val="02A209F3"/>
    <w:rsid w:val="02A93F7C"/>
    <w:rsid w:val="02AC0567"/>
    <w:rsid w:val="02B20C36"/>
    <w:rsid w:val="02B40324"/>
    <w:rsid w:val="02B50425"/>
    <w:rsid w:val="02B53E6F"/>
    <w:rsid w:val="02C6361D"/>
    <w:rsid w:val="02DC0E87"/>
    <w:rsid w:val="02E45BCC"/>
    <w:rsid w:val="02F43C68"/>
    <w:rsid w:val="02F55E9D"/>
    <w:rsid w:val="02F56D74"/>
    <w:rsid w:val="03001846"/>
    <w:rsid w:val="03025914"/>
    <w:rsid w:val="030346AF"/>
    <w:rsid w:val="03035935"/>
    <w:rsid w:val="030649B5"/>
    <w:rsid w:val="03065425"/>
    <w:rsid w:val="030D0562"/>
    <w:rsid w:val="0316033F"/>
    <w:rsid w:val="031A67DB"/>
    <w:rsid w:val="03265180"/>
    <w:rsid w:val="0328396D"/>
    <w:rsid w:val="032C4E8C"/>
    <w:rsid w:val="0331225A"/>
    <w:rsid w:val="03433F84"/>
    <w:rsid w:val="034A3564"/>
    <w:rsid w:val="03537ABF"/>
    <w:rsid w:val="035622CC"/>
    <w:rsid w:val="03692931"/>
    <w:rsid w:val="036C58F1"/>
    <w:rsid w:val="03726617"/>
    <w:rsid w:val="037D56E7"/>
    <w:rsid w:val="03804BE0"/>
    <w:rsid w:val="038F3100"/>
    <w:rsid w:val="039A02A0"/>
    <w:rsid w:val="03A55365"/>
    <w:rsid w:val="03AD5BAA"/>
    <w:rsid w:val="03AD5C9B"/>
    <w:rsid w:val="03B22EB7"/>
    <w:rsid w:val="03B31109"/>
    <w:rsid w:val="03B629A7"/>
    <w:rsid w:val="03B84CAB"/>
    <w:rsid w:val="03BD4F62"/>
    <w:rsid w:val="03CA6453"/>
    <w:rsid w:val="03CE6E4F"/>
    <w:rsid w:val="03D168E4"/>
    <w:rsid w:val="03D17215"/>
    <w:rsid w:val="03D63DFF"/>
    <w:rsid w:val="03E07A24"/>
    <w:rsid w:val="03E91B56"/>
    <w:rsid w:val="03F04E05"/>
    <w:rsid w:val="03F1316B"/>
    <w:rsid w:val="03F1578E"/>
    <w:rsid w:val="03FB766B"/>
    <w:rsid w:val="0405748B"/>
    <w:rsid w:val="040A4B65"/>
    <w:rsid w:val="040F3E66"/>
    <w:rsid w:val="041714FE"/>
    <w:rsid w:val="041B6CAE"/>
    <w:rsid w:val="04267B2D"/>
    <w:rsid w:val="042A0FA8"/>
    <w:rsid w:val="042B3B79"/>
    <w:rsid w:val="042E3539"/>
    <w:rsid w:val="04332EF4"/>
    <w:rsid w:val="04346E5F"/>
    <w:rsid w:val="044A53F6"/>
    <w:rsid w:val="0460645B"/>
    <w:rsid w:val="0469127A"/>
    <w:rsid w:val="04695C6C"/>
    <w:rsid w:val="046B474E"/>
    <w:rsid w:val="04814D63"/>
    <w:rsid w:val="04847450"/>
    <w:rsid w:val="04856793"/>
    <w:rsid w:val="048E5BA5"/>
    <w:rsid w:val="04902CB6"/>
    <w:rsid w:val="04910DFE"/>
    <w:rsid w:val="049674C3"/>
    <w:rsid w:val="04A02942"/>
    <w:rsid w:val="04A24407"/>
    <w:rsid w:val="04AD4D42"/>
    <w:rsid w:val="04B81F7C"/>
    <w:rsid w:val="04BC382A"/>
    <w:rsid w:val="04BF573A"/>
    <w:rsid w:val="04C251F9"/>
    <w:rsid w:val="04C44C50"/>
    <w:rsid w:val="04C764D1"/>
    <w:rsid w:val="04C80FFB"/>
    <w:rsid w:val="04E76AA2"/>
    <w:rsid w:val="04E86B91"/>
    <w:rsid w:val="04F55751"/>
    <w:rsid w:val="04F96FF0"/>
    <w:rsid w:val="05150BEA"/>
    <w:rsid w:val="05160BBE"/>
    <w:rsid w:val="051745EB"/>
    <w:rsid w:val="051A6F66"/>
    <w:rsid w:val="051E6A43"/>
    <w:rsid w:val="052348D4"/>
    <w:rsid w:val="05343D27"/>
    <w:rsid w:val="05377B18"/>
    <w:rsid w:val="053B7608"/>
    <w:rsid w:val="05411EB8"/>
    <w:rsid w:val="0555666F"/>
    <w:rsid w:val="056A1E9D"/>
    <w:rsid w:val="056C4616"/>
    <w:rsid w:val="056F4631"/>
    <w:rsid w:val="0570500B"/>
    <w:rsid w:val="05793C8D"/>
    <w:rsid w:val="05794A3A"/>
    <w:rsid w:val="058542AA"/>
    <w:rsid w:val="058663AA"/>
    <w:rsid w:val="0588158B"/>
    <w:rsid w:val="05926AFC"/>
    <w:rsid w:val="05972CF4"/>
    <w:rsid w:val="059A3C03"/>
    <w:rsid w:val="05BD6C76"/>
    <w:rsid w:val="05CC5F80"/>
    <w:rsid w:val="05CD222A"/>
    <w:rsid w:val="05D9297D"/>
    <w:rsid w:val="05DD1F63"/>
    <w:rsid w:val="05E201FF"/>
    <w:rsid w:val="05F5022F"/>
    <w:rsid w:val="060F6E9B"/>
    <w:rsid w:val="061A6BAB"/>
    <w:rsid w:val="061C15D5"/>
    <w:rsid w:val="061F2A86"/>
    <w:rsid w:val="06253E14"/>
    <w:rsid w:val="063B7194"/>
    <w:rsid w:val="06425281"/>
    <w:rsid w:val="064D029A"/>
    <w:rsid w:val="06555D37"/>
    <w:rsid w:val="065B3392"/>
    <w:rsid w:val="065C6A51"/>
    <w:rsid w:val="065F10D4"/>
    <w:rsid w:val="066D292A"/>
    <w:rsid w:val="066E087B"/>
    <w:rsid w:val="066E1B10"/>
    <w:rsid w:val="066E64BD"/>
    <w:rsid w:val="06736DDF"/>
    <w:rsid w:val="06783F44"/>
    <w:rsid w:val="06930D7E"/>
    <w:rsid w:val="06971CB5"/>
    <w:rsid w:val="069A65B0"/>
    <w:rsid w:val="069D6332"/>
    <w:rsid w:val="06A820F3"/>
    <w:rsid w:val="06B27065"/>
    <w:rsid w:val="06B74A9B"/>
    <w:rsid w:val="06BC6527"/>
    <w:rsid w:val="06C61153"/>
    <w:rsid w:val="06CE6D97"/>
    <w:rsid w:val="06D17EE2"/>
    <w:rsid w:val="06D534B3"/>
    <w:rsid w:val="06D71FE3"/>
    <w:rsid w:val="06DC0977"/>
    <w:rsid w:val="06DF648B"/>
    <w:rsid w:val="06E52002"/>
    <w:rsid w:val="06E8731C"/>
    <w:rsid w:val="06E94E42"/>
    <w:rsid w:val="06F547FE"/>
    <w:rsid w:val="06FC6128"/>
    <w:rsid w:val="07102DE7"/>
    <w:rsid w:val="071307FC"/>
    <w:rsid w:val="07145F6C"/>
    <w:rsid w:val="071F0864"/>
    <w:rsid w:val="071F09B7"/>
    <w:rsid w:val="072500B8"/>
    <w:rsid w:val="07267E44"/>
    <w:rsid w:val="07293490"/>
    <w:rsid w:val="0730587C"/>
    <w:rsid w:val="07322345"/>
    <w:rsid w:val="0736399F"/>
    <w:rsid w:val="073A17BD"/>
    <w:rsid w:val="07413D48"/>
    <w:rsid w:val="0745296C"/>
    <w:rsid w:val="07481042"/>
    <w:rsid w:val="07506C6F"/>
    <w:rsid w:val="07630750"/>
    <w:rsid w:val="07634BF4"/>
    <w:rsid w:val="076646E5"/>
    <w:rsid w:val="076A180B"/>
    <w:rsid w:val="076A6EB9"/>
    <w:rsid w:val="07751C03"/>
    <w:rsid w:val="0776227B"/>
    <w:rsid w:val="07793E90"/>
    <w:rsid w:val="077F7784"/>
    <w:rsid w:val="07801236"/>
    <w:rsid w:val="07837045"/>
    <w:rsid w:val="07852DBD"/>
    <w:rsid w:val="07A019A5"/>
    <w:rsid w:val="07B43691"/>
    <w:rsid w:val="07BA557B"/>
    <w:rsid w:val="07C7512B"/>
    <w:rsid w:val="07DD01FC"/>
    <w:rsid w:val="07E37CE0"/>
    <w:rsid w:val="07E4387F"/>
    <w:rsid w:val="07F63E15"/>
    <w:rsid w:val="07F817E1"/>
    <w:rsid w:val="07FC37E9"/>
    <w:rsid w:val="08040D24"/>
    <w:rsid w:val="08045822"/>
    <w:rsid w:val="0808579C"/>
    <w:rsid w:val="08183C31"/>
    <w:rsid w:val="081C4913"/>
    <w:rsid w:val="082118BE"/>
    <w:rsid w:val="082952D0"/>
    <w:rsid w:val="082C0EAD"/>
    <w:rsid w:val="083375A0"/>
    <w:rsid w:val="0839318B"/>
    <w:rsid w:val="083E2F6B"/>
    <w:rsid w:val="08412ED0"/>
    <w:rsid w:val="08461151"/>
    <w:rsid w:val="084762C4"/>
    <w:rsid w:val="084D027D"/>
    <w:rsid w:val="08512C9F"/>
    <w:rsid w:val="08583A3F"/>
    <w:rsid w:val="085B1D6F"/>
    <w:rsid w:val="085B3B1D"/>
    <w:rsid w:val="085F3C76"/>
    <w:rsid w:val="08602DD3"/>
    <w:rsid w:val="08622431"/>
    <w:rsid w:val="08687FE8"/>
    <w:rsid w:val="087E4839"/>
    <w:rsid w:val="088E5CA1"/>
    <w:rsid w:val="088F7525"/>
    <w:rsid w:val="08962DA7"/>
    <w:rsid w:val="089917CF"/>
    <w:rsid w:val="089D2CA0"/>
    <w:rsid w:val="08A05597"/>
    <w:rsid w:val="08AA3D8F"/>
    <w:rsid w:val="08BC62FE"/>
    <w:rsid w:val="08C467EB"/>
    <w:rsid w:val="08CA47FF"/>
    <w:rsid w:val="08CC0577"/>
    <w:rsid w:val="08CD536A"/>
    <w:rsid w:val="08D21A4E"/>
    <w:rsid w:val="08DD4532"/>
    <w:rsid w:val="090E293E"/>
    <w:rsid w:val="091066B6"/>
    <w:rsid w:val="09242161"/>
    <w:rsid w:val="09296F84"/>
    <w:rsid w:val="0935611C"/>
    <w:rsid w:val="093920B1"/>
    <w:rsid w:val="093E76C7"/>
    <w:rsid w:val="093F49D4"/>
    <w:rsid w:val="094822F4"/>
    <w:rsid w:val="094D790A"/>
    <w:rsid w:val="094E5430"/>
    <w:rsid w:val="095104DE"/>
    <w:rsid w:val="09526CCE"/>
    <w:rsid w:val="095C586C"/>
    <w:rsid w:val="095F50ED"/>
    <w:rsid w:val="096219AB"/>
    <w:rsid w:val="09701131"/>
    <w:rsid w:val="097326CC"/>
    <w:rsid w:val="09750994"/>
    <w:rsid w:val="097F1A8E"/>
    <w:rsid w:val="09916B3E"/>
    <w:rsid w:val="099948FD"/>
    <w:rsid w:val="09A26EB0"/>
    <w:rsid w:val="09A45C60"/>
    <w:rsid w:val="09A7491F"/>
    <w:rsid w:val="09A908B8"/>
    <w:rsid w:val="09C000DC"/>
    <w:rsid w:val="09CD7CB4"/>
    <w:rsid w:val="09CF2BC7"/>
    <w:rsid w:val="09D05AAE"/>
    <w:rsid w:val="09D13DDF"/>
    <w:rsid w:val="09D23EB5"/>
    <w:rsid w:val="09D467AF"/>
    <w:rsid w:val="09D5345C"/>
    <w:rsid w:val="09DE0562"/>
    <w:rsid w:val="09DE35FC"/>
    <w:rsid w:val="09E544CB"/>
    <w:rsid w:val="09EC7123"/>
    <w:rsid w:val="09F064E7"/>
    <w:rsid w:val="09F77876"/>
    <w:rsid w:val="09FB5325"/>
    <w:rsid w:val="0A031588"/>
    <w:rsid w:val="0A0855DF"/>
    <w:rsid w:val="0A0C658B"/>
    <w:rsid w:val="0A0E1796"/>
    <w:rsid w:val="0A1646EB"/>
    <w:rsid w:val="0A171CC6"/>
    <w:rsid w:val="0A1D5CA7"/>
    <w:rsid w:val="0A287A2F"/>
    <w:rsid w:val="0A2C5771"/>
    <w:rsid w:val="0A2F5262"/>
    <w:rsid w:val="0A3D4581"/>
    <w:rsid w:val="0A401D4A"/>
    <w:rsid w:val="0A416970"/>
    <w:rsid w:val="0A443D63"/>
    <w:rsid w:val="0A4505E1"/>
    <w:rsid w:val="0A4533E2"/>
    <w:rsid w:val="0A5151D8"/>
    <w:rsid w:val="0A565C1B"/>
    <w:rsid w:val="0A570314"/>
    <w:rsid w:val="0A595E3B"/>
    <w:rsid w:val="0A5C2888"/>
    <w:rsid w:val="0A6E6CF0"/>
    <w:rsid w:val="0A73514E"/>
    <w:rsid w:val="0A747118"/>
    <w:rsid w:val="0A8A06EA"/>
    <w:rsid w:val="0A8B5655"/>
    <w:rsid w:val="0A9B30A2"/>
    <w:rsid w:val="0A9D041D"/>
    <w:rsid w:val="0A9F3E33"/>
    <w:rsid w:val="0AA25A34"/>
    <w:rsid w:val="0AAA2B3A"/>
    <w:rsid w:val="0AAB0D8C"/>
    <w:rsid w:val="0AAF1EFF"/>
    <w:rsid w:val="0AB37C41"/>
    <w:rsid w:val="0ABC60D9"/>
    <w:rsid w:val="0ABE045A"/>
    <w:rsid w:val="0ABE41AE"/>
    <w:rsid w:val="0AC10340"/>
    <w:rsid w:val="0AC43BFC"/>
    <w:rsid w:val="0AC57974"/>
    <w:rsid w:val="0AC7367C"/>
    <w:rsid w:val="0ACB34C4"/>
    <w:rsid w:val="0AD37255"/>
    <w:rsid w:val="0AD606B9"/>
    <w:rsid w:val="0AD6582F"/>
    <w:rsid w:val="0AE12693"/>
    <w:rsid w:val="0AEA04F5"/>
    <w:rsid w:val="0AEA1189"/>
    <w:rsid w:val="0AEA49E5"/>
    <w:rsid w:val="0AF12517"/>
    <w:rsid w:val="0AF13604"/>
    <w:rsid w:val="0AF3628F"/>
    <w:rsid w:val="0AFC25EF"/>
    <w:rsid w:val="0B0F7836"/>
    <w:rsid w:val="0B1B7594"/>
    <w:rsid w:val="0B1F4E68"/>
    <w:rsid w:val="0B212DFC"/>
    <w:rsid w:val="0B27786B"/>
    <w:rsid w:val="0B2823FC"/>
    <w:rsid w:val="0B291CB1"/>
    <w:rsid w:val="0B2C354F"/>
    <w:rsid w:val="0B3B4488"/>
    <w:rsid w:val="0B413BF6"/>
    <w:rsid w:val="0B446AEB"/>
    <w:rsid w:val="0B5807E8"/>
    <w:rsid w:val="0B5F7844"/>
    <w:rsid w:val="0B666A61"/>
    <w:rsid w:val="0B6837DC"/>
    <w:rsid w:val="0B796FD0"/>
    <w:rsid w:val="0B820AFC"/>
    <w:rsid w:val="0B831E78"/>
    <w:rsid w:val="0B882E7B"/>
    <w:rsid w:val="0B8B64C8"/>
    <w:rsid w:val="0B995089"/>
    <w:rsid w:val="0B9A7A75"/>
    <w:rsid w:val="0B9D2386"/>
    <w:rsid w:val="0B9F6D28"/>
    <w:rsid w:val="0BA37CB5"/>
    <w:rsid w:val="0BA666AA"/>
    <w:rsid w:val="0BCD088E"/>
    <w:rsid w:val="0BDE6F3F"/>
    <w:rsid w:val="0BE34556"/>
    <w:rsid w:val="0BE502CE"/>
    <w:rsid w:val="0BF15744"/>
    <w:rsid w:val="0BF216D1"/>
    <w:rsid w:val="0BF22AFE"/>
    <w:rsid w:val="0BF42992"/>
    <w:rsid w:val="0BFA54C5"/>
    <w:rsid w:val="0BFB5CEE"/>
    <w:rsid w:val="0BFC1173"/>
    <w:rsid w:val="0C0727E4"/>
    <w:rsid w:val="0C0A3890"/>
    <w:rsid w:val="0C0E7B0E"/>
    <w:rsid w:val="0C230DF6"/>
    <w:rsid w:val="0C2506CA"/>
    <w:rsid w:val="0C2B072E"/>
    <w:rsid w:val="0C37664F"/>
    <w:rsid w:val="0C392F0A"/>
    <w:rsid w:val="0C3A5C6D"/>
    <w:rsid w:val="0C48260B"/>
    <w:rsid w:val="0C4D19CF"/>
    <w:rsid w:val="0C5B40EC"/>
    <w:rsid w:val="0C6A432F"/>
    <w:rsid w:val="0C6C00A7"/>
    <w:rsid w:val="0C7626EE"/>
    <w:rsid w:val="0C8A3D1F"/>
    <w:rsid w:val="0C915D60"/>
    <w:rsid w:val="0C995C24"/>
    <w:rsid w:val="0CA44EFC"/>
    <w:rsid w:val="0CAE02B5"/>
    <w:rsid w:val="0CB01F00"/>
    <w:rsid w:val="0CC33C1B"/>
    <w:rsid w:val="0CC96F4F"/>
    <w:rsid w:val="0CCA3020"/>
    <w:rsid w:val="0CD43E9E"/>
    <w:rsid w:val="0CD87FE8"/>
    <w:rsid w:val="0CDB522D"/>
    <w:rsid w:val="0CDB6ACE"/>
    <w:rsid w:val="0CE91379"/>
    <w:rsid w:val="0CEB3FFD"/>
    <w:rsid w:val="0CEC768D"/>
    <w:rsid w:val="0CF0162B"/>
    <w:rsid w:val="0CF05DB5"/>
    <w:rsid w:val="0CF81D6E"/>
    <w:rsid w:val="0CF9597A"/>
    <w:rsid w:val="0D0504FC"/>
    <w:rsid w:val="0D054058"/>
    <w:rsid w:val="0D154C07"/>
    <w:rsid w:val="0D1A1D74"/>
    <w:rsid w:val="0D1C60BC"/>
    <w:rsid w:val="0D1E1A24"/>
    <w:rsid w:val="0D256B51"/>
    <w:rsid w:val="0D2C3980"/>
    <w:rsid w:val="0D2E68B7"/>
    <w:rsid w:val="0D3E316B"/>
    <w:rsid w:val="0D4032E2"/>
    <w:rsid w:val="0D44075C"/>
    <w:rsid w:val="0D4F6A66"/>
    <w:rsid w:val="0D531267"/>
    <w:rsid w:val="0D58062B"/>
    <w:rsid w:val="0D6578A9"/>
    <w:rsid w:val="0D6B65B1"/>
    <w:rsid w:val="0D6E42F3"/>
    <w:rsid w:val="0D701947"/>
    <w:rsid w:val="0D713E1F"/>
    <w:rsid w:val="0D731909"/>
    <w:rsid w:val="0D7511DD"/>
    <w:rsid w:val="0D7F205C"/>
    <w:rsid w:val="0D847672"/>
    <w:rsid w:val="0D8532D3"/>
    <w:rsid w:val="0D887163"/>
    <w:rsid w:val="0D894C89"/>
    <w:rsid w:val="0D8A1D43"/>
    <w:rsid w:val="0D920D72"/>
    <w:rsid w:val="0DA87805"/>
    <w:rsid w:val="0DB963BF"/>
    <w:rsid w:val="0DBA7538"/>
    <w:rsid w:val="0DBE008E"/>
    <w:rsid w:val="0DC45E43"/>
    <w:rsid w:val="0DC772CA"/>
    <w:rsid w:val="0DCE224B"/>
    <w:rsid w:val="0DDA7EA7"/>
    <w:rsid w:val="0DDD6D83"/>
    <w:rsid w:val="0DE63A2B"/>
    <w:rsid w:val="0DE82D13"/>
    <w:rsid w:val="0DEB14A0"/>
    <w:rsid w:val="0DED5218"/>
    <w:rsid w:val="0DFA16E3"/>
    <w:rsid w:val="0E0B08DE"/>
    <w:rsid w:val="0E1E62C5"/>
    <w:rsid w:val="0E1F739B"/>
    <w:rsid w:val="0E2350DD"/>
    <w:rsid w:val="0E306AF2"/>
    <w:rsid w:val="0E443019"/>
    <w:rsid w:val="0E4F4C06"/>
    <w:rsid w:val="0E540AF0"/>
    <w:rsid w:val="0E545297"/>
    <w:rsid w:val="0E561A26"/>
    <w:rsid w:val="0E57521D"/>
    <w:rsid w:val="0E59727F"/>
    <w:rsid w:val="0E6949DF"/>
    <w:rsid w:val="0E6A6868"/>
    <w:rsid w:val="0E6B1A6A"/>
    <w:rsid w:val="0E6E3471"/>
    <w:rsid w:val="0E7368AA"/>
    <w:rsid w:val="0E741495"/>
    <w:rsid w:val="0E77482B"/>
    <w:rsid w:val="0E912047"/>
    <w:rsid w:val="0E925DBF"/>
    <w:rsid w:val="0E9436FA"/>
    <w:rsid w:val="0E9F5DF3"/>
    <w:rsid w:val="0EA0672E"/>
    <w:rsid w:val="0EA1149D"/>
    <w:rsid w:val="0EA174D3"/>
    <w:rsid w:val="0EA63619"/>
    <w:rsid w:val="0EA94DFB"/>
    <w:rsid w:val="0EB65F8B"/>
    <w:rsid w:val="0EBA6B4A"/>
    <w:rsid w:val="0EBA6EEE"/>
    <w:rsid w:val="0ED14B39"/>
    <w:rsid w:val="0ED32CE3"/>
    <w:rsid w:val="0EEF0419"/>
    <w:rsid w:val="0EEF83EC"/>
    <w:rsid w:val="0EF441AF"/>
    <w:rsid w:val="0EF600FC"/>
    <w:rsid w:val="0EF71B93"/>
    <w:rsid w:val="0EF93C72"/>
    <w:rsid w:val="0F00541F"/>
    <w:rsid w:val="0F0C5B71"/>
    <w:rsid w:val="0F0E7B3C"/>
    <w:rsid w:val="0F1D46D8"/>
    <w:rsid w:val="0F20718E"/>
    <w:rsid w:val="0F256C33"/>
    <w:rsid w:val="0F2C69E9"/>
    <w:rsid w:val="0F2F692A"/>
    <w:rsid w:val="0F355F61"/>
    <w:rsid w:val="0F3B5EA8"/>
    <w:rsid w:val="0F3F1B5B"/>
    <w:rsid w:val="0F536C56"/>
    <w:rsid w:val="0F5B5DE7"/>
    <w:rsid w:val="0F655D19"/>
    <w:rsid w:val="0F696B20"/>
    <w:rsid w:val="0F76123D"/>
    <w:rsid w:val="0F770861"/>
    <w:rsid w:val="0F7722CF"/>
    <w:rsid w:val="0F8120BC"/>
    <w:rsid w:val="0F985657"/>
    <w:rsid w:val="0FA807AB"/>
    <w:rsid w:val="0FA83DE2"/>
    <w:rsid w:val="0FA865E5"/>
    <w:rsid w:val="0FA97864"/>
    <w:rsid w:val="0FB17243"/>
    <w:rsid w:val="0FB36FF5"/>
    <w:rsid w:val="0FBF2BE4"/>
    <w:rsid w:val="0FC710E8"/>
    <w:rsid w:val="0FCA78FF"/>
    <w:rsid w:val="0FCA7B33"/>
    <w:rsid w:val="0FD0094D"/>
    <w:rsid w:val="0FD03043"/>
    <w:rsid w:val="0FD74C28"/>
    <w:rsid w:val="0FDC0E6C"/>
    <w:rsid w:val="0FDD306A"/>
    <w:rsid w:val="0FDF708E"/>
    <w:rsid w:val="0FE465D5"/>
    <w:rsid w:val="0FE66647"/>
    <w:rsid w:val="0FEC5AD4"/>
    <w:rsid w:val="0FEC5E28"/>
    <w:rsid w:val="0FFC3E38"/>
    <w:rsid w:val="0FFC7994"/>
    <w:rsid w:val="0FFE1710"/>
    <w:rsid w:val="10113D75"/>
    <w:rsid w:val="10143842"/>
    <w:rsid w:val="1017657C"/>
    <w:rsid w:val="10281706"/>
    <w:rsid w:val="10357304"/>
    <w:rsid w:val="1037061D"/>
    <w:rsid w:val="103C39BD"/>
    <w:rsid w:val="103F4196"/>
    <w:rsid w:val="1041184B"/>
    <w:rsid w:val="10433815"/>
    <w:rsid w:val="10440B70"/>
    <w:rsid w:val="10465F48"/>
    <w:rsid w:val="104F21BA"/>
    <w:rsid w:val="104F7E3C"/>
    <w:rsid w:val="10514D40"/>
    <w:rsid w:val="10545A22"/>
    <w:rsid w:val="10646BAE"/>
    <w:rsid w:val="10740EB2"/>
    <w:rsid w:val="1074513D"/>
    <w:rsid w:val="107E65FB"/>
    <w:rsid w:val="10915915"/>
    <w:rsid w:val="109776BD"/>
    <w:rsid w:val="10993435"/>
    <w:rsid w:val="109A1844"/>
    <w:rsid w:val="10A74D0F"/>
    <w:rsid w:val="10A9387B"/>
    <w:rsid w:val="10AD554B"/>
    <w:rsid w:val="10AF2C58"/>
    <w:rsid w:val="10B62239"/>
    <w:rsid w:val="10C34956"/>
    <w:rsid w:val="10C500F9"/>
    <w:rsid w:val="10C75702"/>
    <w:rsid w:val="10CC380A"/>
    <w:rsid w:val="10CC55B8"/>
    <w:rsid w:val="10D32D80"/>
    <w:rsid w:val="10D62408"/>
    <w:rsid w:val="10DE353E"/>
    <w:rsid w:val="10F16DCD"/>
    <w:rsid w:val="10F64275"/>
    <w:rsid w:val="10F93ED3"/>
    <w:rsid w:val="10FA64D8"/>
    <w:rsid w:val="10FE6615"/>
    <w:rsid w:val="110805BA"/>
    <w:rsid w:val="110C00AB"/>
    <w:rsid w:val="111B60D6"/>
    <w:rsid w:val="112141AA"/>
    <w:rsid w:val="112278CE"/>
    <w:rsid w:val="11317B11"/>
    <w:rsid w:val="11321A7E"/>
    <w:rsid w:val="1143043B"/>
    <w:rsid w:val="11492859"/>
    <w:rsid w:val="114E06C3"/>
    <w:rsid w:val="11502559"/>
    <w:rsid w:val="115560EE"/>
    <w:rsid w:val="115F47B6"/>
    <w:rsid w:val="11625F56"/>
    <w:rsid w:val="11661A00"/>
    <w:rsid w:val="11733C86"/>
    <w:rsid w:val="117D68B3"/>
    <w:rsid w:val="1184614B"/>
    <w:rsid w:val="11851C0B"/>
    <w:rsid w:val="11863A2D"/>
    <w:rsid w:val="118D039B"/>
    <w:rsid w:val="118D1797"/>
    <w:rsid w:val="119853EE"/>
    <w:rsid w:val="119A56B6"/>
    <w:rsid w:val="119D183C"/>
    <w:rsid w:val="11A11963"/>
    <w:rsid w:val="11A6405B"/>
    <w:rsid w:val="11A8102A"/>
    <w:rsid w:val="11A81CA9"/>
    <w:rsid w:val="11B0043B"/>
    <w:rsid w:val="11BA7DDA"/>
    <w:rsid w:val="11BD13A5"/>
    <w:rsid w:val="11C73FD2"/>
    <w:rsid w:val="11D4369E"/>
    <w:rsid w:val="11D72467"/>
    <w:rsid w:val="11D861DF"/>
    <w:rsid w:val="11DC7A7D"/>
    <w:rsid w:val="11E25ADC"/>
    <w:rsid w:val="11E60A3B"/>
    <w:rsid w:val="11FA43A7"/>
    <w:rsid w:val="11FE2196"/>
    <w:rsid w:val="12046B49"/>
    <w:rsid w:val="1209283C"/>
    <w:rsid w:val="120E389E"/>
    <w:rsid w:val="1212349F"/>
    <w:rsid w:val="121C431D"/>
    <w:rsid w:val="121E62E8"/>
    <w:rsid w:val="12275FFF"/>
    <w:rsid w:val="12280F14"/>
    <w:rsid w:val="122C2F50"/>
    <w:rsid w:val="122C3D05"/>
    <w:rsid w:val="122E4051"/>
    <w:rsid w:val="123476D9"/>
    <w:rsid w:val="12361E86"/>
    <w:rsid w:val="123C2076"/>
    <w:rsid w:val="124B4979"/>
    <w:rsid w:val="124B69B1"/>
    <w:rsid w:val="125716E9"/>
    <w:rsid w:val="125910CE"/>
    <w:rsid w:val="125F4117"/>
    <w:rsid w:val="1266379E"/>
    <w:rsid w:val="126B4AE4"/>
    <w:rsid w:val="12765E44"/>
    <w:rsid w:val="127D6363"/>
    <w:rsid w:val="127E6D86"/>
    <w:rsid w:val="1280154D"/>
    <w:rsid w:val="12802B6B"/>
    <w:rsid w:val="128634AC"/>
    <w:rsid w:val="1288527F"/>
    <w:rsid w:val="12921148"/>
    <w:rsid w:val="129354CD"/>
    <w:rsid w:val="12955E7E"/>
    <w:rsid w:val="12993BC0"/>
    <w:rsid w:val="129A4820"/>
    <w:rsid w:val="129F0AAB"/>
    <w:rsid w:val="12A143E4"/>
    <w:rsid w:val="12A9510A"/>
    <w:rsid w:val="12AD766B"/>
    <w:rsid w:val="12AF0CEE"/>
    <w:rsid w:val="12B10F0A"/>
    <w:rsid w:val="12BA2803"/>
    <w:rsid w:val="12BC3211"/>
    <w:rsid w:val="12BF15E3"/>
    <w:rsid w:val="12C55AC6"/>
    <w:rsid w:val="12C64289"/>
    <w:rsid w:val="12C66037"/>
    <w:rsid w:val="12C91FC9"/>
    <w:rsid w:val="12CC47B6"/>
    <w:rsid w:val="12D06191"/>
    <w:rsid w:val="12DD1080"/>
    <w:rsid w:val="12DD2585"/>
    <w:rsid w:val="12DF12DE"/>
    <w:rsid w:val="12E54A65"/>
    <w:rsid w:val="12F31522"/>
    <w:rsid w:val="12FE511D"/>
    <w:rsid w:val="130C25E4"/>
    <w:rsid w:val="130C6140"/>
    <w:rsid w:val="130F3E82"/>
    <w:rsid w:val="1312127D"/>
    <w:rsid w:val="13160D6D"/>
    <w:rsid w:val="132814A2"/>
    <w:rsid w:val="132E7ED6"/>
    <w:rsid w:val="133307DA"/>
    <w:rsid w:val="1336140F"/>
    <w:rsid w:val="133D279D"/>
    <w:rsid w:val="133D4D15"/>
    <w:rsid w:val="134F427F"/>
    <w:rsid w:val="13562450"/>
    <w:rsid w:val="136B38C7"/>
    <w:rsid w:val="137D2B9A"/>
    <w:rsid w:val="138C1EE4"/>
    <w:rsid w:val="138E4FB6"/>
    <w:rsid w:val="1396394B"/>
    <w:rsid w:val="13963C5C"/>
    <w:rsid w:val="13987F9F"/>
    <w:rsid w:val="13A0180C"/>
    <w:rsid w:val="13A02F68"/>
    <w:rsid w:val="13A20852"/>
    <w:rsid w:val="13A2469B"/>
    <w:rsid w:val="13A63E1B"/>
    <w:rsid w:val="13A75E69"/>
    <w:rsid w:val="13A76275"/>
    <w:rsid w:val="13AC7BD7"/>
    <w:rsid w:val="13AE44D6"/>
    <w:rsid w:val="13B912D7"/>
    <w:rsid w:val="13C0543A"/>
    <w:rsid w:val="13CE7899"/>
    <w:rsid w:val="13D50C28"/>
    <w:rsid w:val="13E250F3"/>
    <w:rsid w:val="13E76BAD"/>
    <w:rsid w:val="13EC0405"/>
    <w:rsid w:val="13EC7D20"/>
    <w:rsid w:val="13ED1963"/>
    <w:rsid w:val="13F01A34"/>
    <w:rsid w:val="13FB3017"/>
    <w:rsid w:val="13FF3EF7"/>
    <w:rsid w:val="140136B7"/>
    <w:rsid w:val="1406024C"/>
    <w:rsid w:val="14184FB8"/>
    <w:rsid w:val="14225632"/>
    <w:rsid w:val="14263231"/>
    <w:rsid w:val="142868B8"/>
    <w:rsid w:val="14326041"/>
    <w:rsid w:val="143823D3"/>
    <w:rsid w:val="1453770D"/>
    <w:rsid w:val="145757D1"/>
    <w:rsid w:val="146E60C0"/>
    <w:rsid w:val="14700951"/>
    <w:rsid w:val="147436E4"/>
    <w:rsid w:val="14771CDF"/>
    <w:rsid w:val="14873953"/>
    <w:rsid w:val="148A7C64"/>
    <w:rsid w:val="14922675"/>
    <w:rsid w:val="14977CD7"/>
    <w:rsid w:val="149A1A90"/>
    <w:rsid w:val="14B922F8"/>
    <w:rsid w:val="14BF5434"/>
    <w:rsid w:val="14C95AF3"/>
    <w:rsid w:val="14D52C06"/>
    <w:rsid w:val="14F13697"/>
    <w:rsid w:val="14F46542"/>
    <w:rsid w:val="14F46D7C"/>
    <w:rsid w:val="14F91CB8"/>
    <w:rsid w:val="14F926F4"/>
    <w:rsid w:val="15194B44"/>
    <w:rsid w:val="152C2AC9"/>
    <w:rsid w:val="152E30D5"/>
    <w:rsid w:val="153D4CD7"/>
    <w:rsid w:val="153E27FD"/>
    <w:rsid w:val="154C316C"/>
    <w:rsid w:val="154D73B5"/>
    <w:rsid w:val="154E24EE"/>
    <w:rsid w:val="154F5CF7"/>
    <w:rsid w:val="155B515D"/>
    <w:rsid w:val="156264EB"/>
    <w:rsid w:val="15681252"/>
    <w:rsid w:val="156F29B6"/>
    <w:rsid w:val="15795138"/>
    <w:rsid w:val="157E709D"/>
    <w:rsid w:val="15821BD8"/>
    <w:rsid w:val="159D1589"/>
    <w:rsid w:val="15A660E9"/>
    <w:rsid w:val="15BB3093"/>
    <w:rsid w:val="15BD1974"/>
    <w:rsid w:val="15BE159D"/>
    <w:rsid w:val="15C976A0"/>
    <w:rsid w:val="15CC1BB7"/>
    <w:rsid w:val="15CF7740"/>
    <w:rsid w:val="15D3061D"/>
    <w:rsid w:val="15D55268"/>
    <w:rsid w:val="15DC6CEA"/>
    <w:rsid w:val="15E038B4"/>
    <w:rsid w:val="15FD6214"/>
    <w:rsid w:val="16013F56"/>
    <w:rsid w:val="160550C9"/>
    <w:rsid w:val="16080602"/>
    <w:rsid w:val="160C6457"/>
    <w:rsid w:val="161517B0"/>
    <w:rsid w:val="161B13E4"/>
    <w:rsid w:val="161D2412"/>
    <w:rsid w:val="161F4365"/>
    <w:rsid w:val="16290DB7"/>
    <w:rsid w:val="162A0290"/>
    <w:rsid w:val="162B2960"/>
    <w:rsid w:val="162C3719"/>
    <w:rsid w:val="16307503"/>
    <w:rsid w:val="164E4CC1"/>
    <w:rsid w:val="165B1BBF"/>
    <w:rsid w:val="165C118C"/>
    <w:rsid w:val="1661039A"/>
    <w:rsid w:val="1662463C"/>
    <w:rsid w:val="16653B64"/>
    <w:rsid w:val="166B755F"/>
    <w:rsid w:val="167312E3"/>
    <w:rsid w:val="16770ACF"/>
    <w:rsid w:val="167E55A7"/>
    <w:rsid w:val="167F4E7B"/>
    <w:rsid w:val="16811B3A"/>
    <w:rsid w:val="16843CE3"/>
    <w:rsid w:val="168910C2"/>
    <w:rsid w:val="16A36DBB"/>
    <w:rsid w:val="16AB3EC2"/>
    <w:rsid w:val="16AB4AA4"/>
    <w:rsid w:val="16B17A0A"/>
    <w:rsid w:val="16B624C1"/>
    <w:rsid w:val="16B77166"/>
    <w:rsid w:val="16BF1CB6"/>
    <w:rsid w:val="16C25EDB"/>
    <w:rsid w:val="16C44F84"/>
    <w:rsid w:val="16D056D6"/>
    <w:rsid w:val="16DB0BA3"/>
    <w:rsid w:val="16E80C03"/>
    <w:rsid w:val="16F413C5"/>
    <w:rsid w:val="1702622A"/>
    <w:rsid w:val="170F61FF"/>
    <w:rsid w:val="17123F41"/>
    <w:rsid w:val="171333AE"/>
    <w:rsid w:val="1720665E"/>
    <w:rsid w:val="17215F32"/>
    <w:rsid w:val="17263548"/>
    <w:rsid w:val="172F4AF3"/>
    <w:rsid w:val="17303A20"/>
    <w:rsid w:val="17340B29"/>
    <w:rsid w:val="17364FBD"/>
    <w:rsid w:val="175C56A1"/>
    <w:rsid w:val="175D526E"/>
    <w:rsid w:val="17614824"/>
    <w:rsid w:val="176A5B2B"/>
    <w:rsid w:val="176F6C9D"/>
    <w:rsid w:val="1776627E"/>
    <w:rsid w:val="179000BC"/>
    <w:rsid w:val="17966920"/>
    <w:rsid w:val="17A54DB5"/>
    <w:rsid w:val="17AB593A"/>
    <w:rsid w:val="17B6299C"/>
    <w:rsid w:val="17B703B8"/>
    <w:rsid w:val="17BB1EE3"/>
    <w:rsid w:val="17BF5E77"/>
    <w:rsid w:val="17C27715"/>
    <w:rsid w:val="17C507DA"/>
    <w:rsid w:val="17CA1B6D"/>
    <w:rsid w:val="17D42FA4"/>
    <w:rsid w:val="17D7455A"/>
    <w:rsid w:val="17D9446C"/>
    <w:rsid w:val="17DF2075"/>
    <w:rsid w:val="17E21B65"/>
    <w:rsid w:val="17E23913"/>
    <w:rsid w:val="17E67360"/>
    <w:rsid w:val="17E70F2A"/>
    <w:rsid w:val="180E64B6"/>
    <w:rsid w:val="181F671F"/>
    <w:rsid w:val="1821116A"/>
    <w:rsid w:val="182F7F11"/>
    <w:rsid w:val="18325326"/>
    <w:rsid w:val="183E436E"/>
    <w:rsid w:val="184872B0"/>
    <w:rsid w:val="184D4357"/>
    <w:rsid w:val="1853036D"/>
    <w:rsid w:val="18546AB4"/>
    <w:rsid w:val="18581E27"/>
    <w:rsid w:val="185B1052"/>
    <w:rsid w:val="186277EE"/>
    <w:rsid w:val="18694813"/>
    <w:rsid w:val="186E6F48"/>
    <w:rsid w:val="18707171"/>
    <w:rsid w:val="18775286"/>
    <w:rsid w:val="188624F1"/>
    <w:rsid w:val="18894C1B"/>
    <w:rsid w:val="18894FCC"/>
    <w:rsid w:val="18910E95"/>
    <w:rsid w:val="18956BD8"/>
    <w:rsid w:val="189655E3"/>
    <w:rsid w:val="189F75BB"/>
    <w:rsid w:val="18A84B5D"/>
    <w:rsid w:val="18BA256B"/>
    <w:rsid w:val="18C70119"/>
    <w:rsid w:val="18C80D5B"/>
    <w:rsid w:val="18CB5D46"/>
    <w:rsid w:val="18CB6946"/>
    <w:rsid w:val="18D25736"/>
    <w:rsid w:val="18D95B8F"/>
    <w:rsid w:val="18E35B95"/>
    <w:rsid w:val="18EA70BF"/>
    <w:rsid w:val="18F356AC"/>
    <w:rsid w:val="18F64C0E"/>
    <w:rsid w:val="190974F0"/>
    <w:rsid w:val="190C5C28"/>
    <w:rsid w:val="190F698A"/>
    <w:rsid w:val="191C356E"/>
    <w:rsid w:val="191D3034"/>
    <w:rsid w:val="19235F91"/>
    <w:rsid w:val="19297A6D"/>
    <w:rsid w:val="192B3098"/>
    <w:rsid w:val="193006AE"/>
    <w:rsid w:val="19322678"/>
    <w:rsid w:val="19381D60"/>
    <w:rsid w:val="193A152D"/>
    <w:rsid w:val="193E2C64"/>
    <w:rsid w:val="194149A1"/>
    <w:rsid w:val="194E6928"/>
    <w:rsid w:val="194F7E45"/>
    <w:rsid w:val="19540841"/>
    <w:rsid w:val="19574E22"/>
    <w:rsid w:val="195B1CE4"/>
    <w:rsid w:val="195C3DB8"/>
    <w:rsid w:val="196D36B1"/>
    <w:rsid w:val="19717795"/>
    <w:rsid w:val="197A203D"/>
    <w:rsid w:val="19810F0A"/>
    <w:rsid w:val="198C4B92"/>
    <w:rsid w:val="199318E6"/>
    <w:rsid w:val="199826D4"/>
    <w:rsid w:val="19997559"/>
    <w:rsid w:val="199B021E"/>
    <w:rsid w:val="199C7AF2"/>
    <w:rsid w:val="19A215AC"/>
    <w:rsid w:val="19A370D2"/>
    <w:rsid w:val="19AD7F51"/>
    <w:rsid w:val="19AE3455"/>
    <w:rsid w:val="19B17359"/>
    <w:rsid w:val="19B77732"/>
    <w:rsid w:val="19BE59C7"/>
    <w:rsid w:val="19CE23A1"/>
    <w:rsid w:val="19D57F25"/>
    <w:rsid w:val="19D63004"/>
    <w:rsid w:val="19D84FCE"/>
    <w:rsid w:val="19DE6968"/>
    <w:rsid w:val="19E57796"/>
    <w:rsid w:val="19ED3296"/>
    <w:rsid w:val="19F710A8"/>
    <w:rsid w:val="1A0868F7"/>
    <w:rsid w:val="1A0E6C42"/>
    <w:rsid w:val="1A0F62AA"/>
    <w:rsid w:val="1A147FD0"/>
    <w:rsid w:val="1A1C3150"/>
    <w:rsid w:val="1A226249"/>
    <w:rsid w:val="1A313208"/>
    <w:rsid w:val="1A383CBF"/>
    <w:rsid w:val="1A3E4845"/>
    <w:rsid w:val="1A40112B"/>
    <w:rsid w:val="1A424778"/>
    <w:rsid w:val="1A46462D"/>
    <w:rsid w:val="1A4877FD"/>
    <w:rsid w:val="1A4A30AE"/>
    <w:rsid w:val="1A501E35"/>
    <w:rsid w:val="1A53728D"/>
    <w:rsid w:val="1A544545"/>
    <w:rsid w:val="1A5605E9"/>
    <w:rsid w:val="1A5A3C35"/>
    <w:rsid w:val="1A6631F3"/>
    <w:rsid w:val="1A67567B"/>
    <w:rsid w:val="1A713CD1"/>
    <w:rsid w:val="1A7866CD"/>
    <w:rsid w:val="1A7D69F2"/>
    <w:rsid w:val="1A7F369B"/>
    <w:rsid w:val="1A807414"/>
    <w:rsid w:val="1A825919"/>
    <w:rsid w:val="1A860CF5"/>
    <w:rsid w:val="1A9544D2"/>
    <w:rsid w:val="1A9A7B62"/>
    <w:rsid w:val="1A9D1D74"/>
    <w:rsid w:val="1A9E52F4"/>
    <w:rsid w:val="1AC612CA"/>
    <w:rsid w:val="1AC6751C"/>
    <w:rsid w:val="1AD414AE"/>
    <w:rsid w:val="1AD5386E"/>
    <w:rsid w:val="1AD833E8"/>
    <w:rsid w:val="1AF98D5E"/>
    <w:rsid w:val="1B0818E3"/>
    <w:rsid w:val="1B133F78"/>
    <w:rsid w:val="1B182D43"/>
    <w:rsid w:val="1B1C538E"/>
    <w:rsid w:val="1B1E36D5"/>
    <w:rsid w:val="1B1F09DB"/>
    <w:rsid w:val="1B2B737F"/>
    <w:rsid w:val="1B300E3A"/>
    <w:rsid w:val="1B3268DA"/>
    <w:rsid w:val="1B357DC5"/>
    <w:rsid w:val="1B5211F5"/>
    <w:rsid w:val="1B526A1F"/>
    <w:rsid w:val="1B6144C4"/>
    <w:rsid w:val="1B6603B7"/>
    <w:rsid w:val="1B683AD9"/>
    <w:rsid w:val="1B706AEA"/>
    <w:rsid w:val="1B735DC4"/>
    <w:rsid w:val="1B7B0307"/>
    <w:rsid w:val="1B824FFF"/>
    <w:rsid w:val="1B8D003A"/>
    <w:rsid w:val="1B974A15"/>
    <w:rsid w:val="1B9C5407"/>
    <w:rsid w:val="1BA5551F"/>
    <w:rsid w:val="1BAB4A4E"/>
    <w:rsid w:val="1BC33A5C"/>
    <w:rsid w:val="1BC54189"/>
    <w:rsid w:val="1BCE5D79"/>
    <w:rsid w:val="1BD042DB"/>
    <w:rsid w:val="1BD143CB"/>
    <w:rsid w:val="1BD16179"/>
    <w:rsid w:val="1BD82632"/>
    <w:rsid w:val="1BD84DB1"/>
    <w:rsid w:val="1BDD4B1E"/>
    <w:rsid w:val="1BDF0FE6"/>
    <w:rsid w:val="1BE55780"/>
    <w:rsid w:val="1BF63249"/>
    <w:rsid w:val="1BF7570B"/>
    <w:rsid w:val="1BFB1712"/>
    <w:rsid w:val="1C02580E"/>
    <w:rsid w:val="1C093B64"/>
    <w:rsid w:val="1C1B5E3D"/>
    <w:rsid w:val="1C212CA9"/>
    <w:rsid w:val="1C2900C3"/>
    <w:rsid w:val="1C307A4E"/>
    <w:rsid w:val="1C33473D"/>
    <w:rsid w:val="1C3473F0"/>
    <w:rsid w:val="1C381D54"/>
    <w:rsid w:val="1C3E1334"/>
    <w:rsid w:val="1C565665"/>
    <w:rsid w:val="1C65779A"/>
    <w:rsid w:val="1C687BA8"/>
    <w:rsid w:val="1C76287C"/>
    <w:rsid w:val="1C7B7E93"/>
    <w:rsid w:val="1C8A35E0"/>
    <w:rsid w:val="1C8E0D62"/>
    <w:rsid w:val="1C8E6E29"/>
    <w:rsid w:val="1C984EE8"/>
    <w:rsid w:val="1CAE3BE5"/>
    <w:rsid w:val="1CB735C0"/>
    <w:rsid w:val="1CC01479"/>
    <w:rsid w:val="1CC45CDD"/>
    <w:rsid w:val="1CC47A8B"/>
    <w:rsid w:val="1CC61A56"/>
    <w:rsid w:val="1CC655B2"/>
    <w:rsid w:val="1CC95524"/>
    <w:rsid w:val="1CD2043C"/>
    <w:rsid w:val="1CD423AD"/>
    <w:rsid w:val="1CD757C7"/>
    <w:rsid w:val="1CF21D0A"/>
    <w:rsid w:val="1D011855"/>
    <w:rsid w:val="1D020796"/>
    <w:rsid w:val="1D026904"/>
    <w:rsid w:val="1D043566"/>
    <w:rsid w:val="1D0A7E77"/>
    <w:rsid w:val="1D102CD1"/>
    <w:rsid w:val="1D187DD7"/>
    <w:rsid w:val="1D286FDF"/>
    <w:rsid w:val="1D2E6D78"/>
    <w:rsid w:val="1D32457C"/>
    <w:rsid w:val="1D434E54"/>
    <w:rsid w:val="1D562D94"/>
    <w:rsid w:val="1D5A219E"/>
    <w:rsid w:val="1D6D0123"/>
    <w:rsid w:val="1D6E244A"/>
    <w:rsid w:val="1D7414B2"/>
    <w:rsid w:val="1D882867"/>
    <w:rsid w:val="1D8E07DD"/>
    <w:rsid w:val="1D8F1E47"/>
    <w:rsid w:val="1DA14588"/>
    <w:rsid w:val="1DA40521"/>
    <w:rsid w:val="1DA446DA"/>
    <w:rsid w:val="1DA70CEC"/>
    <w:rsid w:val="1DB95116"/>
    <w:rsid w:val="1DC11A4B"/>
    <w:rsid w:val="1DC1221D"/>
    <w:rsid w:val="1DCB6BF8"/>
    <w:rsid w:val="1DCD0BC2"/>
    <w:rsid w:val="1DD43CFE"/>
    <w:rsid w:val="1DD526A6"/>
    <w:rsid w:val="1DD91315"/>
    <w:rsid w:val="1DE15C42"/>
    <w:rsid w:val="1DE4451C"/>
    <w:rsid w:val="1DF24184"/>
    <w:rsid w:val="1DF47EFC"/>
    <w:rsid w:val="1DF83E91"/>
    <w:rsid w:val="1DFC3543"/>
    <w:rsid w:val="1DFC5003"/>
    <w:rsid w:val="1E044E91"/>
    <w:rsid w:val="1E081BFA"/>
    <w:rsid w:val="1E0A0360"/>
    <w:rsid w:val="1E0A6C60"/>
    <w:rsid w:val="1E0C4E23"/>
    <w:rsid w:val="1E0D0FBE"/>
    <w:rsid w:val="1E124E95"/>
    <w:rsid w:val="1E137B2B"/>
    <w:rsid w:val="1E1D07FB"/>
    <w:rsid w:val="1E2B1F2A"/>
    <w:rsid w:val="1E2D340E"/>
    <w:rsid w:val="1E3700CD"/>
    <w:rsid w:val="1E37603B"/>
    <w:rsid w:val="1E3B33CD"/>
    <w:rsid w:val="1E3D7AF5"/>
    <w:rsid w:val="1E450758"/>
    <w:rsid w:val="1E58492F"/>
    <w:rsid w:val="1E5A7E55"/>
    <w:rsid w:val="1E8A1204"/>
    <w:rsid w:val="1E8F21D5"/>
    <w:rsid w:val="1E9062B3"/>
    <w:rsid w:val="1EAA20B1"/>
    <w:rsid w:val="1EB012C3"/>
    <w:rsid w:val="1EB24BCB"/>
    <w:rsid w:val="1EBA1146"/>
    <w:rsid w:val="1EC93137"/>
    <w:rsid w:val="1ECC56FF"/>
    <w:rsid w:val="1ECD236C"/>
    <w:rsid w:val="1ED938B7"/>
    <w:rsid w:val="1EDA5344"/>
    <w:rsid w:val="1EE6018D"/>
    <w:rsid w:val="1EE77A61"/>
    <w:rsid w:val="1EF0089B"/>
    <w:rsid w:val="1EF377AD"/>
    <w:rsid w:val="1EFB350D"/>
    <w:rsid w:val="1EFC4B73"/>
    <w:rsid w:val="1EFE6C42"/>
    <w:rsid w:val="1F010B23"/>
    <w:rsid w:val="1F037124"/>
    <w:rsid w:val="1F071EB1"/>
    <w:rsid w:val="1F0C5399"/>
    <w:rsid w:val="1F1069F7"/>
    <w:rsid w:val="1F175742"/>
    <w:rsid w:val="1F227FC8"/>
    <w:rsid w:val="1F2472DD"/>
    <w:rsid w:val="1F253AE3"/>
    <w:rsid w:val="1F2549A5"/>
    <w:rsid w:val="1F274302"/>
    <w:rsid w:val="1F2D7B6A"/>
    <w:rsid w:val="1F2F1D5C"/>
    <w:rsid w:val="1F33719D"/>
    <w:rsid w:val="1F363A63"/>
    <w:rsid w:val="1F3661B0"/>
    <w:rsid w:val="1F3F6FB6"/>
    <w:rsid w:val="1F417171"/>
    <w:rsid w:val="1F494278"/>
    <w:rsid w:val="1F4D1FBA"/>
    <w:rsid w:val="1F4E3531"/>
    <w:rsid w:val="1F5A46D7"/>
    <w:rsid w:val="1F695B71"/>
    <w:rsid w:val="1F795D8B"/>
    <w:rsid w:val="1F811C64"/>
    <w:rsid w:val="1F8F25D3"/>
    <w:rsid w:val="1F910F0C"/>
    <w:rsid w:val="1F925500"/>
    <w:rsid w:val="1FA15A7B"/>
    <w:rsid w:val="1FA616CA"/>
    <w:rsid w:val="1FB00909"/>
    <w:rsid w:val="1FB81225"/>
    <w:rsid w:val="1FBC1840"/>
    <w:rsid w:val="1FBF3557"/>
    <w:rsid w:val="1FC36E8D"/>
    <w:rsid w:val="1FCB66F5"/>
    <w:rsid w:val="1FD715E6"/>
    <w:rsid w:val="1FE47B38"/>
    <w:rsid w:val="1FEC1443"/>
    <w:rsid w:val="1FEF6384"/>
    <w:rsid w:val="1FF00B97"/>
    <w:rsid w:val="2006536B"/>
    <w:rsid w:val="20081A9B"/>
    <w:rsid w:val="200F0747"/>
    <w:rsid w:val="20100A72"/>
    <w:rsid w:val="201B3E66"/>
    <w:rsid w:val="20320ECE"/>
    <w:rsid w:val="20326731"/>
    <w:rsid w:val="203867EA"/>
    <w:rsid w:val="203C17F2"/>
    <w:rsid w:val="20452476"/>
    <w:rsid w:val="204F1D62"/>
    <w:rsid w:val="205127A8"/>
    <w:rsid w:val="205253AE"/>
    <w:rsid w:val="20533B33"/>
    <w:rsid w:val="205630F0"/>
    <w:rsid w:val="205E3D53"/>
    <w:rsid w:val="20631369"/>
    <w:rsid w:val="206B48C0"/>
    <w:rsid w:val="207D4220"/>
    <w:rsid w:val="20803D20"/>
    <w:rsid w:val="20823EE5"/>
    <w:rsid w:val="20845AE5"/>
    <w:rsid w:val="20913F51"/>
    <w:rsid w:val="20996554"/>
    <w:rsid w:val="20A83CF5"/>
    <w:rsid w:val="20C03B7B"/>
    <w:rsid w:val="20DE6C42"/>
    <w:rsid w:val="20E04458"/>
    <w:rsid w:val="20E26836"/>
    <w:rsid w:val="20E34258"/>
    <w:rsid w:val="20E67992"/>
    <w:rsid w:val="20EB1A8B"/>
    <w:rsid w:val="20F50F9C"/>
    <w:rsid w:val="20F841A8"/>
    <w:rsid w:val="20FA3A7C"/>
    <w:rsid w:val="2100305C"/>
    <w:rsid w:val="210C6647"/>
    <w:rsid w:val="211358F4"/>
    <w:rsid w:val="21182154"/>
    <w:rsid w:val="211846B7"/>
    <w:rsid w:val="211D3C0E"/>
    <w:rsid w:val="213276BA"/>
    <w:rsid w:val="21375911"/>
    <w:rsid w:val="214116AB"/>
    <w:rsid w:val="21442F49"/>
    <w:rsid w:val="214818FB"/>
    <w:rsid w:val="21483D92"/>
    <w:rsid w:val="214C62A1"/>
    <w:rsid w:val="214E09AF"/>
    <w:rsid w:val="21562C7C"/>
    <w:rsid w:val="2158623E"/>
    <w:rsid w:val="215C7169"/>
    <w:rsid w:val="215D04AF"/>
    <w:rsid w:val="21646607"/>
    <w:rsid w:val="216B02BD"/>
    <w:rsid w:val="216C7BE6"/>
    <w:rsid w:val="21701F90"/>
    <w:rsid w:val="21725D08"/>
    <w:rsid w:val="217A21C5"/>
    <w:rsid w:val="217A696B"/>
    <w:rsid w:val="217F21D3"/>
    <w:rsid w:val="21893C3E"/>
    <w:rsid w:val="21894E00"/>
    <w:rsid w:val="218C4997"/>
    <w:rsid w:val="219958B3"/>
    <w:rsid w:val="219A525F"/>
    <w:rsid w:val="21B57690"/>
    <w:rsid w:val="21C126E9"/>
    <w:rsid w:val="21C978F2"/>
    <w:rsid w:val="21CA5B44"/>
    <w:rsid w:val="21D50045"/>
    <w:rsid w:val="21DC3A48"/>
    <w:rsid w:val="21DD377B"/>
    <w:rsid w:val="21DF08F0"/>
    <w:rsid w:val="21E12E8E"/>
    <w:rsid w:val="21E50687"/>
    <w:rsid w:val="21E63921"/>
    <w:rsid w:val="21EB1616"/>
    <w:rsid w:val="21F410C5"/>
    <w:rsid w:val="21F50B43"/>
    <w:rsid w:val="21F703DC"/>
    <w:rsid w:val="21F763DE"/>
    <w:rsid w:val="22091088"/>
    <w:rsid w:val="220B7F0B"/>
    <w:rsid w:val="221943D6"/>
    <w:rsid w:val="221D5548"/>
    <w:rsid w:val="22281AAB"/>
    <w:rsid w:val="2243485C"/>
    <w:rsid w:val="2245341D"/>
    <w:rsid w:val="224D0C3F"/>
    <w:rsid w:val="224F7DF7"/>
    <w:rsid w:val="22550DF8"/>
    <w:rsid w:val="22574EFE"/>
    <w:rsid w:val="22576CAC"/>
    <w:rsid w:val="22583A72"/>
    <w:rsid w:val="225D365B"/>
    <w:rsid w:val="226107F1"/>
    <w:rsid w:val="22623FCE"/>
    <w:rsid w:val="226B20A3"/>
    <w:rsid w:val="22717D6E"/>
    <w:rsid w:val="22772AF6"/>
    <w:rsid w:val="22793453"/>
    <w:rsid w:val="22883309"/>
    <w:rsid w:val="22894163"/>
    <w:rsid w:val="228C745A"/>
    <w:rsid w:val="228D6B72"/>
    <w:rsid w:val="228F28EA"/>
    <w:rsid w:val="2292100E"/>
    <w:rsid w:val="229323DA"/>
    <w:rsid w:val="229E2B2D"/>
    <w:rsid w:val="229E48DB"/>
    <w:rsid w:val="22A002A0"/>
    <w:rsid w:val="22AA2FBC"/>
    <w:rsid w:val="22AD7B0F"/>
    <w:rsid w:val="22B97967"/>
    <w:rsid w:val="22C07DB6"/>
    <w:rsid w:val="22C271EA"/>
    <w:rsid w:val="22CA1D5E"/>
    <w:rsid w:val="22CB7178"/>
    <w:rsid w:val="22CC58EC"/>
    <w:rsid w:val="22CD2E1E"/>
    <w:rsid w:val="22CE13BD"/>
    <w:rsid w:val="22D1722D"/>
    <w:rsid w:val="22D93B65"/>
    <w:rsid w:val="22DB46F1"/>
    <w:rsid w:val="22EA5D72"/>
    <w:rsid w:val="22F0737C"/>
    <w:rsid w:val="22F325C7"/>
    <w:rsid w:val="22F346A5"/>
    <w:rsid w:val="22FF181D"/>
    <w:rsid w:val="2306260B"/>
    <w:rsid w:val="23093D4C"/>
    <w:rsid w:val="230A077D"/>
    <w:rsid w:val="230A1F70"/>
    <w:rsid w:val="230A2347"/>
    <w:rsid w:val="232E5C5F"/>
    <w:rsid w:val="23300B30"/>
    <w:rsid w:val="233174FD"/>
    <w:rsid w:val="233B037C"/>
    <w:rsid w:val="233E763F"/>
    <w:rsid w:val="234356EA"/>
    <w:rsid w:val="23492A98"/>
    <w:rsid w:val="23630415"/>
    <w:rsid w:val="23671171"/>
    <w:rsid w:val="236977DC"/>
    <w:rsid w:val="236A521B"/>
    <w:rsid w:val="23733FB9"/>
    <w:rsid w:val="237815D0"/>
    <w:rsid w:val="23837EDA"/>
    <w:rsid w:val="23865BB6"/>
    <w:rsid w:val="239F31EC"/>
    <w:rsid w:val="23A83C63"/>
    <w:rsid w:val="23B13434"/>
    <w:rsid w:val="23B54931"/>
    <w:rsid w:val="23B80062"/>
    <w:rsid w:val="23D06D16"/>
    <w:rsid w:val="23D6400F"/>
    <w:rsid w:val="23DC390D"/>
    <w:rsid w:val="23DE58D7"/>
    <w:rsid w:val="23E343D2"/>
    <w:rsid w:val="23ED1676"/>
    <w:rsid w:val="23F549CE"/>
    <w:rsid w:val="240703E2"/>
    <w:rsid w:val="2409047A"/>
    <w:rsid w:val="240A21AE"/>
    <w:rsid w:val="240A75AE"/>
    <w:rsid w:val="24175041"/>
    <w:rsid w:val="241906BD"/>
    <w:rsid w:val="241C1F5B"/>
    <w:rsid w:val="241E5CD3"/>
    <w:rsid w:val="2421424C"/>
    <w:rsid w:val="242E4DFE"/>
    <w:rsid w:val="243B4281"/>
    <w:rsid w:val="245931AF"/>
    <w:rsid w:val="245E4322"/>
    <w:rsid w:val="246062EC"/>
    <w:rsid w:val="246B6A3F"/>
    <w:rsid w:val="246F4781"/>
    <w:rsid w:val="247A16A3"/>
    <w:rsid w:val="247E6772"/>
    <w:rsid w:val="24893384"/>
    <w:rsid w:val="248C1B3F"/>
    <w:rsid w:val="24957B8F"/>
    <w:rsid w:val="24B54F2A"/>
    <w:rsid w:val="24B86132"/>
    <w:rsid w:val="24CF6FCD"/>
    <w:rsid w:val="251E3EAC"/>
    <w:rsid w:val="251E574A"/>
    <w:rsid w:val="25207B55"/>
    <w:rsid w:val="25251329"/>
    <w:rsid w:val="25257535"/>
    <w:rsid w:val="25341526"/>
    <w:rsid w:val="253634F0"/>
    <w:rsid w:val="25441769"/>
    <w:rsid w:val="25490451"/>
    <w:rsid w:val="255120D8"/>
    <w:rsid w:val="257A4289"/>
    <w:rsid w:val="258D0209"/>
    <w:rsid w:val="2599171D"/>
    <w:rsid w:val="259C37F0"/>
    <w:rsid w:val="259E4DBE"/>
    <w:rsid w:val="259F1096"/>
    <w:rsid w:val="259F65EE"/>
    <w:rsid w:val="25A16BBC"/>
    <w:rsid w:val="25A93CC2"/>
    <w:rsid w:val="25AB47DA"/>
    <w:rsid w:val="25AF576B"/>
    <w:rsid w:val="25B032A3"/>
    <w:rsid w:val="25C340B6"/>
    <w:rsid w:val="25C81C38"/>
    <w:rsid w:val="25CC118D"/>
    <w:rsid w:val="25D36F91"/>
    <w:rsid w:val="25D80104"/>
    <w:rsid w:val="25DC5E46"/>
    <w:rsid w:val="25E215AF"/>
    <w:rsid w:val="25E52FB7"/>
    <w:rsid w:val="25ED1E01"/>
    <w:rsid w:val="25EF4065"/>
    <w:rsid w:val="25FC3DF2"/>
    <w:rsid w:val="25FD5DBC"/>
    <w:rsid w:val="25FF1B34"/>
    <w:rsid w:val="2602467A"/>
    <w:rsid w:val="26086756"/>
    <w:rsid w:val="26094573"/>
    <w:rsid w:val="260A5775"/>
    <w:rsid w:val="26171D00"/>
    <w:rsid w:val="261C4494"/>
    <w:rsid w:val="262305DA"/>
    <w:rsid w:val="26270902"/>
    <w:rsid w:val="265C2728"/>
    <w:rsid w:val="265E685B"/>
    <w:rsid w:val="2662011A"/>
    <w:rsid w:val="26661B93"/>
    <w:rsid w:val="266E5526"/>
    <w:rsid w:val="2675525E"/>
    <w:rsid w:val="267E0CAB"/>
    <w:rsid w:val="26804A23"/>
    <w:rsid w:val="268624F2"/>
    <w:rsid w:val="26884680"/>
    <w:rsid w:val="268B161A"/>
    <w:rsid w:val="26902B04"/>
    <w:rsid w:val="269229A8"/>
    <w:rsid w:val="269404CF"/>
    <w:rsid w:val="2697382D"/>
    <w:rsid w:val="269B7AAF"/>
    <w:rsid w:val="26A5448A"/>
    <w:rsid w:val="26A56238"/>
    <w:rsid w:val="26A66422"/>
    <w:rsid w:val="26A8795E"/>
    <w:rsid w:val="26AE7B27"/>
    <w:rsid w:val="26AF1AE7"/>
    <w:rsid w:val="26B93247"/>
    <w:rsid w:val="26C126B3"/>
    <w:rsid w:val="26C32B62"/>
    <w:rsid w:val="26C50688"/>
    <w:rsid w:val="26EA6341"/>
    <w:rsid w:val="27005865"/>
    <w:rsid w:val="270A5DE1"/>
    <w:rsid w:val="27183E43"/>
    <w:rsid w:val="27191146"/>
    <w:rsid w:val="271B2B00"/>
    <w:rsid w:val="271F093D"/>
    <w:rsid w:val="2728508B"/>
    <w:rsid w:val="27371379"/>
    <w:rsid w:val="274354E9"/>
    <w:rsid w:val="27457A1B"/>
    <w:rsid w:val="274664F8"/>
    <w:rsid w:val="274813DE"/>
    <w:rsid w:val="274F2647"/>
    <w:rsid w:val="27533EE6"/>
    <w:rsid w:val="275571BE"/>
    <w:rsid w:val="275B61A7"/>
    <w:rsid w:val="275E216C"/>
    <w:rsid w:val="276C4FA7"/>
    <w:rsid w:val="277C1193"/>
    <w:rsid w:val="279F712B"/>
    <w:rsid w:val="27A40BE5"/>
    <w:rsid w:val="27AD26A2"/>
    <w:rsid w:val="27B23302"/>
    <w:rsid w:val="27BC4EFE"/>
    <w:rsid w:val="27BE76BE"/>
    <w:rsid w:val="27D668C5"/>
    <w:rsid w:val="27D864BB"/>
    <w:rsid w:val="27DA59F1"/>
    <w:rsid w:val="27DF5644"/>
    <w:rsid w:val="27E61A90"/>
    <w:rsid w:val="27E965F8"/>
    <w:rsid w:val="27FC457D"/>
    <w:rsid w:val="280B054C"/>
    <w:rsid w:val="28123DA1"/>
    <w:rsid w:val="281F2A9C"/>
    <w:rsid w:val="28245882"/>
    <w:rsid w:val="284657F9"/>
    <w:rsid w:val="28553C8E"/>
    <w:rsid w:val="28584C54"/>
    <w:rsid w:val="285E67A7"/>
    <w:rsid w:val="286036CB"/>
    <w:rsid w:val="28665E9B"/>
    <w:rsid w:val="28702875"/>
    <w:rsid w:val="28793E20"/>
    <w:rsid w:val="28810F26"/>
    <w:rsid w:val="28813A70"/>
    <w:rsid w:val="28814709"/>
    <w:rsid w:val="288325A9"/>
    <w:rsid w:val="28836A4D"/>
    <w:rsid w:val="28844573"/>
    <w:rsid w:val="288527C5"/>
    <w:rsid w:val="28864E1E"/>
    <w:rsid w:val="28893937"/>
    <w:rsid w:val="288A6C12"/>
    <w:rsid w:val="288B3B53"/>
    <w:rsid w:val="28904CC6"/>
    <w:rsid w:val="28906DD9"/>
    <w:rsid w:val="28977E99"/>
    <w:rsid w:val="28A40771"/>
    <w:rsid w:val="28A96DE5"/>
    <w:rsid w:val="28B20FBB"/>
    <w:rsid w:val="28B60BD0"/>
    <w:rsid w:val="28B65D31"/>
    <w:rsid w:val="28CD19BB"/>
    <w:rsid w:val="28DC08BE"/>
    <w:rsid w:val="28DC3A67"/>
    <w:rsid w:val="28DE6FE3"/>
    <w:rsid w:val="28EA2628"/>
    <w:rsid w:val="28ED0E6B"/>
    <w:rsid w:val="28F11C08"/>
    <w:rsid w:val="28FA4952"/>
    <w:rsid w:val="28FA5092"/>
    <w:rsid w:val="28FC05AD"/>
    <w:rsid w:val="290851A4"/>
    <w:rsid w:val="2908648D"/>
    <w:rsid w:val="29097217"/>
    <w:rsid w:val="290B391C"/>
    <w:rsid w:val="290B7953"/>
    <w:rsid w:val="290F208E"/>
    <w:rsid w:val="29104BEB"/>
    <w:rsid w:val="29117C6C"/>
    <w:rsid w:val="29176C61"/>
    <w:rsid w:val="29177195"/>
    <w:rsid w:val="29183919"/>
    <w:rsid w:val="291B4ED7"/>
    <w:rsid w:val="291B6C39"/>
    <w:rsid w:val="29281190"/>
    <w:rsid w:val="2928682E"/>
    <w:rsid w:val="292E01A8"/>
    <w:rsid w:val="29345FFE"/>
    <w:rsid w:val="2936586D"/>
    <w:rsid w:val="293E50CC"/>
    <w:rsid w:val="294C29F0"/>
    <w:rsid w:val="294F2DD3"/>
    <w:rsid w:val="29512A97"/>
    <w:rsid w:val="29542261"/>
    <w:rsid w:val="295A44EE"/>
    <w:rsid w:val="2966065A"/>
    <w:rsid w:val="29734590"/>
    <w:rsid w:val="297C64FE"/>
    <w:rsid w:val="297E1D27"/>
    <w:rsid w:val="29883BEF"/>
    <w:rsid w:val="299109D5"/>
    <w:rsid w:val="299C639C"/>
    <w:rsid w:val="29A44ECD"/>
    <w:rsid w:val="29A50C45"/>
    <w:rsid w:val="29A71155"/>
    <w:rsid w:val="29B36EBE"/>
    <w:rsid w:val="29B87439"/>
    <w:rsid w:val="29C27101"/>
    <w:rsid w:val="29C412EC"/>
    <w:rsid w:val="29C70504"/>
    <w:rsid w:val="29CF181E"/>
    <w:rsid w:val="29E9329B"/>
    <w:rsid w:val="29FB1E8F"/>
    <w:rsid w:val="2A062BA1"/>
    <w:rsid w:val="2A117F34"/>
    <w:rsid w:val="2A135BAE"/>
    <w:rsid w:val="2A16155F"/>
    <w:rsid w:val="2A1A518F"/>
    <w:rsid w:val="2A1C39EA"/>
    <w:rsid w:val="2A1D4C7F"/>
    <w:rsid w:val="2A1E57C1"/>
    <w:rsid w:val="2A26319A"/>
    <w:rsid w:val="2A2953D2"/>
    <w:rsid w:val="2A30050E"/>
    <w:rsid w:val="2A314286"/>
    <w:rsid w:val="2A446D64"/>
    <w:rsid w:val="2A4551F7"/>
    <w:rsid w:val="2A5A558B"/>
    <w:rsid w:val="2A614B6C"/>
    <w:rsid w:val="2A663F30"/>
    <w:rsid w:val="2A73664D"/>
    <w:rsid w:val="2A7457C6"/>
    <w:rsid w:val="2A783D3B"/>
    <w:rsid w:val="2A7C024D"/>
    <w:rsid w:val="2A845CC0"/>
    <w:rsid w:val="2A894383"/>
    <w:rsid w:val="2A8D3BB3"/>
    <w:rsid w:val="2A956E3E"/>
    <w:rsid w:val="2A9F7D16"/>
    <w:rsid w:val="2AB10B30"/>
    <w:rsid w:val="2ABB66F1"/>
    <w:rsid w:val="2ABE364B"/>
    <w:rsid w:val="2AC46EA9"/>
    <w:rsid w:val="2AC5334C"/>
    <w:rsid w:val="2ACA27E2"/>
    <w:rsid w:val="2ACA3F3D"/>
    <w:rsid w:val="2ACB547D"/>
    <w:rsid w:val="2ACD65FF"/>
    <w:rsid w:val="2AD43590"/>
    <w:rsid w:val="2AD92007"/>
    <w:rsid w:val="2ADA31AB"/>
    <w:rsid w:val="2ADD60F4"/>
    <w:rsid w:val="2AE412F9"/>
    <w:rsid w:val="2AE44C9B"/>
    <w:rsid w:val="2AF07C9E"/>
    <w:rsid w:val="2AF165E2"/>
    <w:rsid w:val="2AFC2AE6"/>
    <w:rsid w:val="2B0534CA"/>
    <w:rsid w:val="2B05499A"/>
    <w:rsid w:val="2B0E663D"/>
    <w:rsid w:val="2B114234"/>
    <w:rsid w:val="2B125E66"/>
    <w:rsid w:val="2B272A19"/>
    <w:rsid w:val="2B277B63"/>
    <w:rsid w:val="2B2B1B0B"/>
    <w:rsid w:val="2B3B53BD"/>
    <w:rsid w:val="2B3C2EE3"/>
    <w:rsid w:val="2B4029D3"/>
    <w:rsid w:val="2B514BE0"/>
    <w:rsid w:val="2B556658"/>
    <w:rsid w:val="2B585F6F"/>
    <w:rsid w:val="2B593A95"/>
    <w:rsid w:val="2B5E15ED"/>
    <w:rsid w:val="2B683CD8"/>
    <w:rsid w:val="2B731815"/>
    <w:rsid w:val="2B807273"/>
    <w:rsid w:val="2B9608D4"/>
    <w:rsid w:val="2B9B5E5B"/>
    <w:rsid w:val="2BB511B5"/>
    <w:rsid w:val="2BBC3D43"/>
    <w:rsid w:val="2BC1476D"/>
    <w:rsid w:val="2BC2163A"/>
    <w:rsid w:val="2BC801D3"/>
    <w:rsid w:val="2BD650E5"/>
    <w:rsid w:val="2BDA2E28"/>
    <w:rsid w:val="2BE76212"/>
    <w:rsid w:val="2BE80004"/>
    <w:rsid w:val="2BE93424"/>
    <w:rsid w:val="2BF33EE9"/>
    <w:rsid w:val="2BF44DCD"/>
    <w:rsid w:val="2BFE3009"/>
    <w:rsid w:val="2BFE5FCC"/>
    <w:rsid w:val="2BFF2BD4"/>
    <w:rsid w:val="2BFF63EA"/>
    <w:rsid w:val="2C0043CF"/>
    <w:rsid w:val="2C0408BB"/>
    <w:rsid w:val="2C0B1233"/>
    <w:rsid w:val="2C0E487F"/>
    <w:rsid w:val="2C153E60"/>
    <w:rsid w:val="2C1D7D0B"/>
    <w:rsid w:val="2C2275E6"/>
    <w:rsid w:val="2C26622B"/>
    <w:rsid w:val="2C300B10"/>
    <w:rsid w:val="2C3167C0"/>
    <w:rsid w:val="2C395F1A"/>
    <w:rsid w:val="2C4F2483"/>
    <w:rsid w:val="2C4F3292"/>
    <w:rsid w:val="2C5460E7"/>
    <w:rsid w:val="2C7F295F"/>
    <w:rsid w:val="2C8E6106"/>
    <w:rsid w:val="2C911516"/>
    <w:rsid w:val="2C9A71AB"/>
    <w:rsid w:val="2CA5739C"/>
    <w:rsid w:val="2CAD1F68"/>
    <w:rsid w:val="2CB17563"/>
    <w:rsid w:val="2CB25B52"/>
    <w:rsid w:val="2CB85CE4"/>
    <w:rsid w:val="2CBD3F75"/>
    <w:rsid w:val="2CBD5E05"/>
    <w:rsid w:val="2CDF24D2"/>
    <w:rsid w:val="2CE10CB2"/>
    <w:rsid w:val="2CEA5DBE"/>
    <w:rsid w:val="2D016192"/>
    <w:rsid w:val="2D045C82"/>
    <w:rsid w:val="2D084CF5"/>
    <w:rsid w:val="2D1B54A6"/>
    <w:rsid w:val="2D1D1A23"/>
    <w:rsid w:val="2D1E4F96"/>
    <w:rsid w:val="2D2276FE"/>
    <w:rsid w:val="2D2B6A69"/>
    <w:rsid w:val="2D47571E"/>
    <w:rsid w:val="2D4A6466"/>
    <w:rsid w:val="2D4C06F3"/>
    <w:rsid w:val="2D4F15F3"/>
    <w:rsid w:val="2D591BF5"/>
    <w:rsid w:val="2D6249AD"/>
    <w:rsid w:val="2D6A01DB"/>
    <w:rsid w:val="2D7948D5"/>
    <w:rsid w:val="2D7B4196"/>
    <w:rsid w:val="2D86130C"/>
    <w:rsid w:val="2D866360"/>
    <w:rsid w:val="2D8D3ECA"/>
    <w:rsid w:val="2D9E1C33"/>
    <w:rsid w:val="2DAC227D"/>
    <w:rsid w:val="2DAE4E24"/>
    <w:rsid w:val="2DBF0527"/>
    <w:rsid w:val="2DC2463D"/>
    <w:rsid w:val="2DCB702F"/>
    <w:rsid w:val="2DD1699D"/>
    <w:rsid w:val="2DD352CC"/>
    <w:rsid w:val="2DD47E9A"/>
    <w:rsid w:val="2DD613CD"/>
    <w:rsid w:val="2DD744DA"/>
    <w:rsid w:val="2DE0224B"/>
    <w:rsid w:val="2DE55E6C"/>
    <w:rsid w:val="2DE955A4"/>
    <w:rsid w:val="2DF56965"/>
    <w:rsid w:val="2DFC2A03"/>
    <w:rsid w:val="2DFE3C2F"/>
    <w:rsid w:val="2E012BCF"/>
    <w:rsid w:val="2E110657"/>
    <w:rsid w:val="2E111D51"/>
    <w:rsid w:val="2E1C71EB"/>
    <w:rsid w:val="2E2312BE"/>
    <w:rsid w:val="2E2C44B2"/>
    <w:rsid w:val="2E2C723F"/>
    <w:rsid w:val="2E33377B"/>
    <w:rsid w:val="2E474078"/>
    <w:rsid w:val="2E525FE5"/>
    <w:rsid w:val="2E545836"/>
    <w:rsid w:val="2E583C2E"/>
    <w:rsid w:val="2E5944AB"/>
    <w:rsid w:val="2E61338C"/>
    <w:rsid w:val="2E6C623A"/>
    <w:rsid w:val="2E700A6A"/>
    <w:rsid w:val="2E7035CF"/>
    <w:rsid w:val="2E771335"/>
    <w:rsid w:val="2E7A26A0"/>
    <w:rsid w:val="2E7F7CB6"/>
    <w:rsid w:val="2E871EC5"/>
    <w:rsid w:val="2E894691"/>
    <w:rsid w:val="2E8B0630"/>
    <w:rsid w:val="2E8C5F2F"/>
    <w:rsid w:val="2E8E614B"/>
    <w:rsid w:val="2E9977FA"/>
    <w:rsid w:val="2E9A62AA"/>
    <w:rsid w:val="2EAF223A"/>
    <w:rsid w:val="2EB06528"/>
    <w:rsid w:val="2EB517F8"/>
    <w:rsid w:val="2EC34E19"/>
    <w:rsid w:val="2ECB38A2"/>
    <w:rsid w:val="2ED27DE6"/>
    <w:rsid w:val="2EDD7A4B"/>
    <w:rsid w:val="2EDF56F0"/>
    <w:rsid w:val="2EE31D51"/>
    <w:rsid w:val="2EE57D1A"/>
    <w:rsid w:val="2EEA15D4"/>
    <w:rsid w:val="2EEC18F3"/>
    <w:rsid w:val="2EED5986"/>
    <w:rsid w:val="2EF7430F"/>
    <w:rsid w:val="2F0823C6"/>
    <w:rsid w:val="2F1607DA"/>
    <w:rsid w:val="2F176141"/>
    <w:rsid w:val="2F191EB9"/>
    <w:rsid w:val="2F1C3757"/>
    <w:rsid w:val="2F2820FC"/>
    <w:rsid w:val="2F29603F"/>
    <w:rsid w:val="2F2C0CD3"/>
    <w:rsid w:val="2F2F5A4D"/>
    <w:rsid w:val="2F3E4DD4"/>
    <w:rsid w:val="2F4E276F"/>
    <w:rsid w:val="2F535AA0"/>
    <w:rsid w:val="2F560A17"/>
    <w:rsid w:val="2F5729E1"/>
    <w:rsid w:val="2F5975EF"/>
    <w:rsid w:val="2F5E5B1E"/>
    <w:rsid w:val="2F641CAA"/>
    <w:rsid w:val="2F7075FF"/>
    <w:rsid w:val="2F75482D"/>
    <w:rsid w:val="2F78575E"/>
    <w:rsid w:val="2F7A3C0F"/>
    <w:rsid w:val="2F903341"/>
    <w:rsid w:val="2F917CA1"/>
    <w:rsid w:val="2F9C03F4"/>
    <w:rsid w:val="2FA143FE"/>
    <w:rsid w:val="2FA15A0A"/>
    <w:rsid w:val="2FB219C5"/>
    <w:rsid w:val="2FB61F4F"/>
    <w:rsid w:val="2FB75EEF"/>
    <w:rsid w:val="2FBB56B7"/>
    <w:rsid w:val="2FC254E7"/>
    <w:rsid w:val="2FC340A5"/>
    <w:rsid w:val="2FCA2CE8"/>
    <w:rsid w:val="2FCD2BFC"/>
    <w:rsid w:val="2FD45DE0"/>
    <w:rsid w:val="2FDE0E16"/>
    <w:rsid w:val="2FE221D5"/>
    <w:rsid w:val="2FE50131"/>
    <w:rsid w:val="2FE516C4"/>
    <w:rsid w:val="2FEB3A53"/>
    <w:rsid w:val="2FF344B8"/>
    <w:rsid w:val="30070A56"/>
    <w:rsid w:val="300C557A"/>
    <w:rsid w:val="30155912"/>
    <w:rsid w:val="301E705B"/>
    <w:rsid w:val="302234FB"/>
    <w:rsid w:val="3025488D"/>
    <w:rsid w:val="3025663B"/>
    <w:rsid w:val="302723B3"/>
    <w:rsid w:val="302C1778"/>
    <w:rsid w:val="302C6D8E"/>
    <w:rsid w:val="302E3742"/>
    <w:rsid w:val="303643A5"/>
    <w:rsid w:val="303C73AF"/>
    <w:rsid w:val="30496F97"/>
    <w:rsid w:val="304F405B"/>
    <w:rsid w:val="305C37E9"/>
    <w:rsid w:val="305F1B4D"/>
    <w:rsid w:val="30656A38"/>
    <w:rsid w:val="30761C82"/>
    <w:rsid w:val="307673AD"/>
    <w:rsid w:val="30796363"/>
    <w:rsid w:val="307A33FC"/>
    <w:rsid w:val="307A6987"/>
    <w:rsid w:val="307F3CA5"/>
    <w:rsid w:val="30832681"/>
    <w:rsid w:val="3084306C"/>
    <w:rsid w:val="30843362"/>
    <w:rsid w:val="30847806"/>
    <w:rsid w:val="30896BCA"/>
    <w:rsid w:val="308C0EC3"/>
    <w:rsid w:val="30903E00"/>
    <w:rsid w:val="30905E15"/>
    <w:rsid w:val="30937A49"/>
    <w:rsid w:val="30977539"/>
    <w:rsid w:val="309A3536"/>
    <w:rsid w:val="30A14B55"/>
    <w:rsid w:val="30A9101A"/>
    <w:rsid w:val="30AC6AF7"/>
    <w:rsid w:val="30B40706"/>
    <w:rsid w:val="30C1718D"/>
    <w:rsid w:val="30C27820"/>
    <w:rsid w:val="30C931D7"/>
    <w:rsid w:val="30CB1D19"/>
    <w:rsid w:val="30CC121C"/>
    <w:rsid w:val="30CE0A81"/>
    <w:rsid w:val="30CF7596"/>
    <w:rsid w:val="30E3277E"/>
    <w:rsid w:val="30F37FC7"/>
    <w:rsid w:val="31002B14"/>
    <w:rsid w:val="31091A28"/>
    <w:rsid w:val="31093212"/>
    <w:rsid w:val="310B3A83"/>
    <w:rsid w:val="310C16B5"/>
    <w:rsid w:val="3114395D"/>
    <w:rsid w:val="311B1CCD"/>
    <w:rsid w:val="311F22C5"/>
    <w:rsid w:val="31210792"/>
    <w:rsid w:val="31287325"/>
    <w:rsid w:val="31295CB7"/>
    <w:rsid w:val="31411253"/>
    <w:rsid w:val="315205C2"/>
    <w:rsid w:val="31551F9A"/>
    <w:rsid w:val="315679FF"/>
    <w:rsid w:val="31597D3A"/>
    <w:rsid w:val="315E1E05"/>
    <w:rsid w:val="315F16D9"/>
    <w:rsid w:val="316136A3"/>
    <w:rsid w:val="316A69FC"/>
    <w:rsid w:val="316D029A"/>
    <w:rsid w:val="3177059C"/>
    <w:rsid w:val="31785B70"/>
    <w:rsid w:val="317C04DD"/>
    <w:rsid w:val="318300A7"/>
    <w:rsid w:val="31833FFB"/>
    <w:rsid w:val="31834BF7"/>
    <w:rsid w:val="318A462B"/>
    <w:rsid w:val="318B0720"/>
    <w:rsid w:val="31902471"/>
    <w:rsid w:val="31A234BD"/>
    <w:rsid w:val="31A574A2"/>
    <w:rsid w:val="31A75130"/>
    <w:rsid w:val="31C11AEE"/>
    <w:rsid w:val="31C801BA"/>
    <w:rsid w:val="31CA749A"/>
    <w:rsid w:val="31CF1D43"/>
    <w:rsid w:val="31D22092"/>
    <w:rsid w:val="31D616B2"/>
    <w:rsid w:val="31D84B34"/>
    <w:rsid w:val="31E645B2"/>
    <w:rsid w:val="31EF0A0A"/>
    <w:rsid w:val="31F60C40"/>
    <w:rsid w:val="31F67A05"/>
    <w:rsid w:val="31F77939"/>
    <w:rsid w:val="31FC33CC"/>
    <w:rsid w:val="3209282E"/>
    <w:rsid w:val="320C7AB3"/>
    <w:rsid w:val="320D55D9"/>
    <w:rsid w:val="320F1351"/>
    <w:rsid w:val="3213664F"/>
    <w:rsid w:val="321463A1"/>
    <w:rsid w:val="32197A18"/>
    <w:rsid w:val="321F68AE"/>
    <w:rsid w:val="322428EE"/>
    <w:rsid w:val="32252923"/>
    <w:rsid w:val="32265BE1"/>
    <w:rsid w:val="32371862"/>
    <w:rsid w:val="323B36A0"/>
    <w:rsid w:val="323D1A1A"/>
    <w:rsid w:val="324059AE"/>
    <w:rsid w:val="3247469D"/>
    <w:rsid w:val="324F1DCD"/>
    <w:rsid w:val="324F3518"/>
    <w:rsid w:val="32580822"/>
    <w:rsid w:val="3260395B"/>
    <w:rsid w:val="3260706D"/>
    <w:rsid w:val="32650F71"/>
    <w:rsid w:val="326D343F"/>
    <w:rsid w:val="32771C40"/>
    <w:rsid w:val="328A54F4"/>
    <w:rsid w:val="329C3342"/>
    <w:rsid w:val="329F36E9"/>
    <w:rsid w:val="32A149F1"/>
    <w:rsid w:val="32A27413"/>
    <w:rsid w:val="32A86A30"/>
    <w:rsid w:val="32B83EE1"/>
    <w:rsid w:val="32B9647B"/>
    <w:rsid w:val="32BA306B"/>
    <w:rsid w:val="32C338D5"/>
    <w:rsid w:val="32C54B10"/>
    <w:rsid w:val="32CD5C63"/>
    <w:rsid w:val="32D00AE0"/>
    <w:rsid w:val="32D02F3A"/>
    <w:rsid w:val="32DB132C"/>
    <w:rsid w:val="32DD7D02"/>
    <w:rsid w:val="32E650A8"/>
    <w:rsid w:val="33015626"/>
    <w:rsid w:val="33016C78"/>
    <w:rsid w:val="33067E0F"/>
    <w:rsid w:val="33134959"/>
    <w:rsid w:val="331A2A43"/>
    <w:rsid w:val="331A7FAD"/>
    <w:rsid w:val="331B4CA6"/>
    <w:rsid w:val="332901F1"/>
    <w:rsid w:val="332B5D17"/>
    <w:rsid w:val="33363F25"/>
    <w:rsid w:val="33384729"/>
    <w:rsid w:val="333A0650"/>
    <w:rsid w:val="333C43C8"/>
    <w:rsid w:val="334943FF"/>
    <w:rsid w:val="334E34B9"/>
    <w:rsid w:val="335214F5"/>
    <w:rsid w:val="33540C46"/>
    <w:rsid w:val="335B7731"/>
    <w:rsid w:val="33613E2E"/>
    <w:rsid w:val="3369683F"/>
    <w:rsid w:val="33723946"/>
    <w:rsid w:val="33811DDB"/>
    <w:rsid w:val="33863687"/>
    <w:rsid w:val="338C34A7"/>
    <w:rsid w:val="338E2E80"/>
    <w:rsid w:val="33945FB2"/>
    <w:rsid w:val="339B5E39"/>
    <w:rsid w:val="33A6194A"/>
    <w:rsid w:val="33BC1065"/>
    <w:rsid w:val="33C543BD"/>
    <w:rsid w:val="33D309A5"/>
    <w:rsid w:val="33D30B5A"/>
    <w:rsid w:val="33DE2D76"/>
    <w:rsid w:val="33EA7980"/>
    <w:rsid w:val="33EF3227"/>
    <w:rsid w:val="33F00D0E"/>
    <w:rsid w:val="33F16F60"/>
    <w:rsid w:val="33FC0942"/>
    <w:rsid w:val="33FC76B3"/>
    <w:rsid w:val="341E7629"/>
    <w:rsid w:val="34271F8D"/>
    <w:rsid w:val="34274E6D"/>
    <w:rsid w:val="3454481F"/>
    <w:rsid w:val="34545741"/>
    <w:rsid w:val="345A6F11"/>
    <w:rsid w:val="34605E94"/>
    <w:rsid w:val="34685EE2"/>
    <w:rsid w:val="346D06AE"/>
    <w:rsid w:val="346E58C7"/>
    <w:rsid w:val="34713BFD"/>
    <w:rsid w:val="34757B91"/>
    <w:rsid w:val="347C2E47"/>
    <w:rsid w:val="347D70A2"/>
    <w:rsid w:val="34815AEF"/>
    <w:rsid w:val="34831B82"/>
    <w:rsid w:val="348576A9"/>
    <w:rsid w:val="348A46D9"/>
    <w:rsid w:val="348B4B08"/>
    <w:rsid w:val="348D16A6"/>
    <w:rsid w:val="348D1EBF"/>
    <w:rsid w:val="348F0527"/>
    <w:rsid w:val="34914FD6"/>
    <w:rsid w:val="34921414"/>
    <w:rsid w:val="349B3370"/>
    <w:rsid w:val="349D2C44"/>
    <w:rsid w:val="34AC0958"/>
    <w:rsid w:val="34B00F04"/>
    <w:rsid w:val="34B1049E"/>
    <w:rsid w:val="34B12D1D"/>
    <w:rsid w:val="34B2130B"/>
    <w:rsid w:val="34B65AB4"/>
    <w:rsid w:val="34B850AF"/>
    <w:rsid w:val="34C3009F"/>
    <w:rsid w:val="34CF5CE9"/>
    <w:rsid w:val="34DC0D3E"/>
    <w:rsid w:val="34F03F67"/>
    <w:rsid w:val="34F211E2"/>
    <w:rsid w:val="34F2593D"/>
    <w:rsid w:val="34FA0097"/>
    <w:rsid w:val="34FB0599"/>
    <w:rsid w:val="34FD1935"/>
    <w:rsid w:val="350667E1"/>
    <w:rsid w:val="35074561"/>
    <w:rsid w:val="35084ABD"/>
    <w:rsid w:val="350D2052"/>
    <w:rsid w:val="35202D66"/>
    <w:rsid w:val="35321DFC"/>
    <w:rsid w:val="353A207E"/>
    <w:rsid w:val="35470868"/>
    <w:rsid w:val="355A0B35"/>
    <w:rsid w:val="35635C3C"/>
    <w:rsid w:val="35643762"/>
    <w:rsid w:val="3578720D"/>
    <w:rsid w:val="358856A2"/>
    <w:rsid w:val="358B0CEF"/>
    <w:rsid w:val="358D2CB9"/>
    <w:rsid w:val="358E4F55"/>
    <w:rsid w:val="35935DF5"/>
    <w:rsid w:val="35A06141"/>
    <w:rsid w:val="35A30804"/>
    <w:rsid w:val="35A324DC"/>
    <w:rsid w:val="35AC55E4"/>
    <w:rsid w:val="35B9585C"/>
    <w:rsid w:val="35D10F6A"/>
    <w:rsid w:val="35DD4DEC"/>
    <w:rsid w:val="35EF74CF"/>
    <w:rsid w:val="35F20D6E"/>
    <w:rsid w:val="35F76384"/>
    <w:rsid w:val="35F877A2"/>
    <w:rsid w:val="35F965A0"/>
    <w:rsid w:val="35FC1BEC"/>
    <w:rsid w:val="35FC410A"/>
    <w:rsid w:val="361107DE"/>
    <w:rsid w:val="36110D9D"/>
    <w:rsid w:val="36156A75"/>
    <w:rsid w:val="36162CAE"/>
    <w:rsid w:val="36252EF1"/>
    <w:rsid w:val="362556CC"/>
    <w:rsid w:val="362A758D"/>
    <w:rsid w:val="36355E99"/>
    <w:rsid w:val="363A2918"/>
    <w:rsid w:val="363E5F01"/>
    <w:rsid w:val="364211AF"/>
    <w:rsid w:val="365017FC"/>
    <w:rsid w:val="36535B14"/>
    <w:rsid w:val="36581519"/>
    <w:rsid w:val="36633A19"/>
    <w:rsid w:val="36634A04"/>
    <w:rsid w:val="366E6752"/>
    <w:rsid w:val="36706DD9"/>
    <w:rsid w:val="36730100"/>
    <w:rsid w:val="367C5D69"/>
    <w:rsid w:val="36854EB0"/>
    <w:rsid w:val="36AA1648"/>
    <w:rsid w:val="36AE738B"/>
    <w:rsid w:val="36B13C9C"/>
    <w:rsid w:val="36B77FD3"/>
    <w:rsid w:val="36BA5D2F"/>
    <w:rsid w:val="36C7044C"/>
    <w:rsid w:val="36D861B6"/>
    <w:rsid w:val="36E917D0"/>
    <w:rsid w:val="36E95E7F"/>
    <w:rsid w:val="36F05BBF"/>
    <w:rsid w:val="36FB7B3A"/>
    <w:rsid w:val="370B1D10"/>
    <w:rsid w:val="370C358F"/>
    <w:rsid w:val="37121C33"/>
    <w:rsid w:val="372A62DE"/>
    <w:rsid w:val="372A7AE1"/>
    <w:rsid w:val="373E3148"/>
    <w:rsid w:val="373E49CA"/>
    <w:rsid w:val="374E2513"/>
    <w:rsid w:val="37733B34"/>
    <w:rsid w:val="3775612C"/>
    <w:rsid w:val="377A31AA"/>
    <w:rsid w:val="377D0B0B"/>
    <w:rsid w:val="377D3CD9"/>
    <w:rsid w:val="37893954"/>
    <w:rsid w:val="378D51F2"/>
    <w:rsid w:val="378F7FF5"/>
    <w:rsid w:val="37926AAB"/>
    <w:rsid w:val="37A10814"/>
    <w:rsid w:val="37A60062"/>
    <w:rsid w:val="37AC3038"/>
    <w:rsid w:val="37B00EE0"/>
    <w:rsid w:val="37B22EAA"/>
    <w:rsid w:val="37B4596B"/>
    <w:rsid w:val="37B7401D"/>
    <w:rsid w:val="37BA0DDD"/>
    <w:rsid w:val="37CF580A"/>
    <w:rsid w:val="37D310E2"/>
    <w:rsid w:val="37F555DB"/>
    <w:rsid w:val="37F700B5"/>
    <w:rsid w:val="3809239F"/>
    <w:rsid w:val="38194E02"/>
    <w:rsid w:val="38195E9E"/>
    <w:rsid w:val="381C6576"/>
    <w:rsid w:val="381E22EE"/>
    <w:rsid w:val="38325D99"/>
    <w:rsid w:val="38543F62"/>
    <w:rsid w:val="385604BF"/>
    <w:rsid w:val="386174F2"/>
    <w:rsid w:val="38636FD4"/>
    <w:rsid w:val="38651CCB"/>
    <w:rsid w:val="386677F1"/>
    <w:rsid w:val="386E7C75"/>
    <w:rsid w:val="386F12A9"/>
    <w:rsid w:val="387B720A"/>
    <w:rsid w:val="387C7014"/>
    <w:rsid w:val="387E6E23"/>
    <w:rsid w:val="38863984"/>
    <w:rsid w:val="38906FDB"/>
    <w:rsid w:val="38956011"/>
    <w:rsid w:val="38997BC6"/>
    <w:rsid w:val="389C4F56"/>
    <w:rsid w:val="38AC5735"/>
    <w:rsid w:val="38B16CBE"/>
    <w:rsid w:val="38B83C43"/>
    <w:rsid w:val="38B95B73"/>
    <w:rsid w:val="38BC7C2A"/>
    <w:rsid w:val="38BD382D"/>
    <w:rsid w:val="38CC0052"/>
    <w:rsid w:val="38CC58A6"/>
    <w:rsid w:val="38D60858"/>
    <w:rsid w:val="38D96215"/>
    <w:rsid w:val="38DC3E5C"/>
    <w:rsid w:val="38DE382B"/>
    <w:rsid w:val="38DF52DF"/>
    <w:rsid w:val="38E00BD0"/>
    <w:rsid w:val="38E250CA"/>
    <w:rsid w:val="38E635D7"/>
    <w:rsid w:val="38E968C8"/>
    <w:rsid w:val="38EB1BA0"/>
    <w:rsid w:val="38EC5F48"/>
    <w:rsid w:val="38EF048C"/>
    <w:rsid w:val="38F93AAA"/>
    <w:rsid w:val="38FA397D"/>
    <w:rsid w:val="38FB1A1D"/>
    <w:rsid w:val="38FB43DD"/>
    <w:rsid w:val="39094D4C"/>
    <w:rsid w:val="390A63CE"/>
    <w:rsid w:val="390B0AC4"/>
    <w:rsid w:val="390D2369"/>
    <w:rsid w:val="390E5EBF"/>
    <w:rsid w:val="391159AF"/>
    <w:rsid w:val="3918431D"/>
    <w:rsid w:val="391D5313"/>
    <w:rsid w:val="392C0D5C"/>
    <w:rsid w:val="393379D8"/>
    <w:rsid w:val="3934169D"/>
    <w:rsid w:val="393559CF"/>
    <w:rsid w:val="393618B9"/>
    <w:rsid w:val="39445D84"/>
    <w:rsid w:val="394B27E7"/>
    <w:rsid w:val="394B57D9"/>
    <w:rsid w:val="39535FC7"/>
    <w:rsid w:val="39573AE7"/>
    <w:rsid w:val="39665DA8"/>
    <w:rsid w:val="396C6008"/>
    <w:rsid w:val="397E5D20"/>
    <w:rsid w:val="398E6FFF"/>
    <w:rsid w:val="3991089E"/>
    <w:rsid w:val="39932868"/>
    <w:rsid w:val="3998445A"/>
    <w:rsid w:val="399A7FF8"/>
    <w:rsid w:val="39A01DED"/>
    <w:rsid w:val="39AC41F7"/>
    <w:rsid w:val="39B12CEE"/>
    <w:rsid w:val="39C921EB"/>
    <w:rsid w:val="39D23390"/>
    <w:rsid w:val="39DC7D6B"/>
    <w:rsid w:val="39E041D0"/>
    <w:rsid w:val="39E82BB3"/>
    <w:rsid w:val="39EB6200"/>
    <w:rsid w:val="39EE50E4"/>
    <w:rsid w:val="39EE7A9E"/>
    <w:rsid w:val="39F96B6F"/>
    <w:rsid w:val="39FA4695"/>
    <w:rsid w:val="39FF1CAB"/>
    <w:rsid w:val="3A014CE3"/>
    <w:rsid w:val="3A032FAD"/>
    <w:rsid w:val="3A032FBE"/>
    <w:rsid w:val="3A044B4A"/>
    <w:rsid w:val="3A1C0AAF"/>
    <w:rsid w:val="3A1E073A"/>
    <w:rsid w:val="3A281202"/>
    <w:rsid w:val="3A292CBA"/>
    <w:rsid w:val="3A3B11A3"/>
    <w:rsid w:val="3A3F27C6"/>
    <w:rsid w:val="3A4C3765"/>
    <w:rsid w:val="3A564FC6"/>
    <w:rsid w:val="3A571AE7"/>
    <w:rsid w:val="3A5B46D2"/>
    <w:rsid w:val="3A5D4ACF"/>
    <w:rsid w:val="3A63223A"/>
    <w:rsid w:val="3A7601BF"/>
    <w:rsid w:val="3A7C154E"/>
    <w:rsid w:val="3A863206"/>
    <w:rsid w:val="3A976FE1"/>
    <w:rsid w:val="3AA0348E"/>
    <w:rsid w:val="3AA46A69"/>
    <w:rsid w:val="3AA50AA5"/>
    <w:rsid w:val="3ABF2B3F"/>
    <w:rsid w:val="3AC0143A"/>
    <w:rsid w:val="3AC055AC"/>
    <w:rsid w:val="3AC32CD9"/>
    <w:rsid w:val="3AC86541"/>
    <w:rsid w:val="3ACC7DDF"/>
    <w:rsid w:val="3ACE5F0A"/>
    <w:rsid w:val="3AD259C0"/>
    <w:rsid w:val="3AD67C60"/>
    <w:rsid w:val="3AE63F43"/>
    <w:rsid w:val="3AE72E6B"/>
    <w:rsid w:val="3AE8273F"/>
    <w:rsid w:val="3AF410E4"/>
    <w:rsid w:val="3AF4521A"/>
    <w:rsid w:val="3AF53CDC"/>
    <w:rsid w:val="3AFF1D5B"/>
    <w:rsid w:val="3B023801"/>
    <w:rsid w:val="3B190B4B"/>
    <w:rsid w:val="3B1B0D67"/>
    <w:rsid w:val="3B255741"/>
    <w:rsid w:val="3B281D48"/>
    <w:rsid w:val="3B2B3475"/>
    <w:rsid w:val="3B2C4D22"/>
    <w:rsid w:val="3B2F0CBC"/>
    <w:rsid w:val="3B3B4F65"/>
    <w:rsid w:val="3B3E6A2A"/>
    <w:rsid w:val="3B425668"/>
    <w:rsid w:val="3B425EC8"/>
    <w:rsid w:val="3B47509B"/>
    <w:rsid w:val="3B491430"/>
    <w:rsid w:val="3B4B54D3"/>
    <w:rsid w:val="3B4E14F1"/>
    <w:rsid w:val="3B6169C8"/>
    <w:rsid w:val="3B65782E"/>
    <w:rsid w:val="3B691AD2"/>
    <w:rsid w:val="3B6E1F3B"/>
    <w:rsid w:val="3B7566C9"/>
    <w:rsid w:val="3B7A1519"/>
    <w:rsid w:val="3B7B16E4"/>
    <w:rsid w:val="3B7D61A1"/>
    <w:rsid w:val="3B801576"/>
    <w:rsid w:val="3B867856"/>
    <w:rsid w:val="3B917E4B"/>
    <w:rsid w:val="3B932030"/>
    <w:rsid w:val="3B964177"/>
    <w:rsid w:val="3B9D79CE"/>
    <w:rsid w:val="3BAA5C47"/>
    <w:rsid w:val="3BAC751F"/>
    <w:rsid w:val="3BAC7C11"/>
    <w:rsid w:val="3BB16FD5"/>
    <w:rsid w:val="3BB31D50"/>
    <w:rsid w:val="3BBD1E80"/>
    <w:rsid w:val="3BC26088"/>
    <w:rsid w:val="3BC35686"/>
    <w:rsid w:val="3BC45762"/>
    <w:rsid w:val="3BC4656E"/>
    <w:rsid w:val="3BC81D3F"/>
    <w:rsid w:val="3BD17677"/>
    <w:rsid w:val="3BE949C1"/>
    <w:rsid w:val="3BFA35D6"/>
    <w:rsid w:val="3BFA7AB6"/>
    <w:rsid w:val="3BFC326C"/>
    <w:rsid w:val="3BFF5F92"/>
    <w:rsid w:val="3C027045"/>
    <w:rsid w:val="3C074E47"/>
    <w:rsid w:val="3C0A3EB0"/>
    <w:rsid w:val="3C0C7C67"/>
    <w:rsid w:val="3C101EF8"/>
    <w:rsid w:val="3C1D77A6"/>
    <w:rsid w:val="3C1E0D2E"/>
    <w:rsid w:val="3C1E28BD"/>
    <w:rsid w:val="3C21415B"/>
    <w:rsid w:val="3C2459F9"/>
    <w:rsid w:val="3C267350"/>
    <w:rsid w:val="3C2970C0"/>
    <w:rsid w:val="3C2A054D"/>
    <w:rsid w:val="3C2D2B00"/>
    <w:rsid w:val="3C3309B3"/>
    <w:rsid w:val="3C3A521C"/>
    <w:rsid w:val="3C4D7A08"/>
    <w:rsid w:val="3C5742AA"/>
    <w:rsid w:val="3C6109FB"/>
    <w:rsid w:val="3C61454C"/>
    <w:rsid w:val="3C655722"/>
    <w:rsid w:val="3C683EE3"/>
    <w:rsid w:val="3C6E4EC6"/>
    <w:rsid w:val="3C700C3E"/>
    <w:rsid w:val="3C776471"/>
    <w:rsid w:val="3C796F2A"/>
    <w:rsid w:val="3C7C75E3"/>
    <w:rsid w:val="3C813793"/>
    <w:rsid w:val="3C836BC3"/>
    <w:rsid w:val="3C850B8E"/>
    <w:rsid w:val="3C8A61A4"/>
    <w:rsid w:val="3C947BBC"/>
    <w:rsid w:val="3CA371C7"/>
    <w:rsid w:val="3CA37266"/>
    <w:rsid w:val="3CB05E75"/>
    <w:rsid w:val="3CB12DE7"/>
    <w:rsid w:val="3CBA010B"/>
    <w:rsid w:val="3CBB2C8E"/>
    <w:rsid w:val="3CC2593E"/>
    <w:rsid w:val="3CC52D38"/>
    <w:rsid w:val="3CCA034E"/>
    <w:rsid w:val="3CCB6C07"/>
    <w:rsid w:val="3CCB7F4E"/>
    <w:rsid w:val="3CD61426"/>
    <w:rsid w:val="3CD92C87"/>
    <w:rsid w:val="3CD967E3"/>
    <w:rsid w:val="3CDA3B31"/>
    <w:rsid w:val="3CEB7B5E"/>
    <w:rsid w:val="3D0639F9"/>
    <w:rsid w:val="3D145A6E"/>
    <w:rsid w:val="3D163594"/>
    <w:rsid w:val="3D1912D6"/>
    <w:rsid w:val="3D2A7F67"/>
    <w:rsid w:val="3D2F28A7"/>
    <w:rsid w:val="3D314871"/>
    <w:rsid w:val="3D347EBE"/>
    <w:rsid w:val="3D39543E"/>
    <w:rsid w:val="3D3B749E"/>
    <w:rsid w:val="3D3E2DB3"/>
    <w:rsid w:val="3D3E5A10"/>
    <w:rsid w:val="3D474095"/>
    <w:rsid w:val="3D513836"/>
    <w:rsid w:val="3D536596"/>
    <w:rsid w:val="3D567A00"/>
    <w:rsid w:val="3D5B544A"/>
    <w:rsid w:val="3D6267D9"/>
    <w:rsid w:val="3D653CBE"/>
    <w:rsid w:val="3D682A74"/>
    <w:rsid w:val="3D722E36"/>
    <w:rsid w:val="3D7637A9"/>
    <w:rsid w:val="3D89020A"/>
    <w:rsid w:val="3D891FB8"/>
    <w:rsid w:val="3D8C1CD5"/>
    <w:rsid w:val="3D8E3A72"/>
    <w:rsid w:val="3D934BE4"/>
    <w:rsid w:val="3D9B2806"/>
    <w:rsid w:val="3D9B78AE"/>
    <w:rsid w:val="3DAA0180"/>
    <w:rsid w:val="3DB62539"/>
    <w:rsid w:val="3DC01751"/>
    <w:rsid w:val="3DC96B3D"/>
    <w:rsid w:val="3DCC4DBC"/>
    <w:rsid w:val="3DD75419"/>
    <w:rsid w:val="3DD82F3F"/>
    <w:rsid w:val="3DE23776"/>
    <w:rsid w:val="3DE6565C"/>
    <w:rsid w:val="3DE73182"/>
    <w:rsid w:val="3DEC2546"/>
    <w:rsid w:val="3DF96E5F"/>
    <w:rsid w:val="3DFB0AD8"/>
    <w:rsid w:val="3DFF1936"/>
    <w:rsid w:val="3E034A27"/>
    <w:rsid w:val="3E0A4BEA"/>
    <w:rsid w:val="3E173448"/>
    <w:rsid w:val="3E1E24A7"/>
    <w:rsid w:val="3E261C65"/>
    <w:rsid w:val="3E360E0A"/>
    <w:rsid w:val="3E3F5A34"/>
    <w:rsid w:val="3E41680D"/>
    <w:rsid w:val="3E5B7667"/>
    <w:rsid w:val="3E67031B"/>
    <w:rsid w:val="3E6842C3"/>
    <w:rsid w:val="3E7D607E"/>
    <w:rsid w:val="3E7F5EF4"/>
    <w:rsid w:val="3E8063C6"/>
    <w:rsid w:val="3E815B29"/>
    <w:rsid w:val="3EA363F3"/>
    <w:rsid w:val="3EA941E9"/>
    <w:rsid w:val="3EB70DA6"/>
    <w:rsid w:val="3EBA4D58"/>
    <w:rsid w:val="3ED01E68"/>
    <w:rsid w:val="3EE84134"/>
    <w:rsid w:val="3EEA2F2A"/>
    <w:rsid w:val="3EEBCEAB"/>
    <w:rsid w:val="3EF51FB7"/>
    <w:rsid w:val="3EF81D7F"/>
    <w:rsid w:val="3EF9316D"/>
    <w:rsid w:val="3EFF417C"/>
    <w:rsid w:val="3F022634"/>
    <w:rsid w:val="3F10787C"/>
    <w:rsid w:val="3F182351"/>
    <w:rsid w:val="3F19380F"/>
    <w:rsid w:val="3F1D153A"/>
    <w:rsid w:val="3F1E2816"/>
    <w:rsid w:val="3F1F5E15"/>
    <w:rsid w:val="3F216A3D"/>
    <w:rsid w:val="3F271AF4"/>
    <w:rsid w:val="3F2A7740"/>
    <w:rsid w:val="3F2C75ED"/>
    <w:rsid w:val="3F375647"/>
    <w:rsid w:val="3F3A5AC4"/>
    <w:rsid w:val="3F4D34B9"/>
    <w:rsid w:val="3F565284"/>
    <w:rsid w:val="3F5E1222"/>
    <w:rsid w:val="3F6031EC"/>
    <w:rsid w:val="3F6E5909"/>
    <w:rsid w:val="3F6F36BF"/>
    <w:rsid w:val="3F7039DA"/>
    <w:rsid w:val="3F7942AE"/>
    <w:rsid w:val="3F7B6278"/>
    <w:rsid w:val="3F7D78FA"/>
    <w:rsid w:val="3F7E565F"/>
    <w:rsid w:val="3F895BC8"/>
    <w:rsid w:val="3F897224"/>
    <w:rsid w:val="3F8A50B7"/>
    <w:rsid w:val="3F9115F7"/>
    <w:rsid w:val="3F9133A5"/>
    <w:rsid w:val="3F93536F"/>
    <w:rsid w:val="3F95194B"/>
    <w:rsid w:val="3F9D1C83"/>
    <w:rsid w:val="3F9E4EE5"/>
    <w:rsid w:val="3FA00CF9"/>
    <w:rsid w:val="3FA10125"/>
    <w:rsid w:val="3FA75BFF"/>
    <w:rsid w:val="3FB47094"/>
    <w:rsid w:val="3FB75E5D"/>
    <w:rsid w:val="3FBDFC80"/>
    <w:rsid w:val="3FBF9BF6"/>
    <w:rsid w:val="3FCC6B96"/>
    <w:rsid w:val="3FD15E98"/>
    <w:rsid w:val="3FD47305"/>
    <w:rsid w:val="3FD634AE"/>
    <w:rsid w:val="3FDA2F9E"/>
    <w:rsid w:val="3FFA3C05"/>
    <w:rsid w:val="3FFF6DC6"/>
    <w:rsid w:val="400224F5"/>
    <w:rsid w:val="4004626D"/>
    <w:rsid w:val="40063D93"/>
    <w:rsid w:val="400E61DD"/>
    <w:rsid w:val="400F065C"/>
    <w:rsid w:val="40190E44"/>
    <w:rsid w:val="402406BD"/>
    <w:rsid w:val="402830B7"/>
    <w:rsid w:val="403135CB"/>
    <w:rsid w:val="40430F4B"/>
    <w:rsid w:val="40521D9E"/>
    <w:rsid w:val="405431EE"/>
    <w:rsid w:val="40567EFE"/>
    <w:rsid w:val="40610EF6"/>
    <w:rsid w:val="406311E6"/>
    <w:rsid w:val="406C2965"/>
    <w:rsid w:val="407056B1"/>
    <w:rsid w:val="40741FCD"/>
    <w:rsid w:val="407C1648"/>
    <w:rsid w:val="408134EB"/>
    <w:rsid w:val="40866C82"/>
    <w:rsid w:val="408E09AA"/>
    <w:rsid w:val="408E25AB"/>
    <w:rsid w:val="4095553B"/>
    <w:rsid w:val="409C2F01"/>
    <w:rsid w:val="409C64A6"/>
    <w:rsid w:val="409C790E"/>
    <w:rsid w:val="409F4BC5"/>
    <w:rsid w:val="40A13ABC"/>
    <w:rsid w:val="40A45959"/>
    <w:rsid w:val="40A610D2"/>
    <w:rsid w:val="40A67324"/>
    <w:rsid w:val="40AB324E"/>
    <w:rsid w:val="40B33043"/>
    <w:rsid w:val="40BA4B7E"/>
    <w:rsid w:val="40BD298D"/>
    <w:rsid w:val="40BF1ABB"/>
    <w:rsid w:val="40BF3E5A"/>
    <w:rsid w:val="40CC5942"/>
    <w:rsid w:val="40DC57EF"/>
    <w:rsid w:val="40DC6E17"/>
    <w:rsid w:val="40DD1251"/>
    <w:rsid w:val="40E346DA"/>
    <w:rsid w:val="40F456D6"/>
    <w:rsid w:val="40F81261"/>
    <w:rsid w:val="41002221"/>
    <w:rsid w:val="41065E5B"/>
    <w:rsid w:val="410A340F"/>
    <w:rsid w:val="411B41BC"/>
    <w:rsid w:val="411C14B7"/>
    <w:rsid w:val="411E2466"/>
    <w:rsid w:val="412724D7"/>
    <w:rsid w:val="412D6FA1"/>
    <w:rsid w:val="4131076D"/>
    <w:rsid w:val="413F42AE"/>
    <w:rsid w:val="414323CD"/>
    <w:rsid w:val="414508EB"/>
    <w:rsid w:val="414518A0"/>
    <w:rsid w:val="414645BC"/>
    <w:rsid w:val="414C4C55"/>
    <w:rsid w:val="41546D80"/>
    <w:rsid w:val="41682EF1"/>
    <w:rsid w:val="4174421A"/>
    <w:rsid w:val="417E5BAB"/>
    <w:rsid w:val="418154C6"/>
    <w:rsid w:val="418807D8"/>
    <w:rsid w:val="418A1A8F"/>
    <w:rsid w:val="418D639C"/>
    <w:rsid w:val="419538E9"/>
    <w:rsid w:val="41962BCF"/>
    <w:rsid w:val="41997FDC"/>
    <w:rsid w:val="419D4283"/>
    <w:rsid w:val="41A435D3"/>
    <w:rsid w:val="41A963EA"/>
    <w:rsid w:val="41B25855"/>
    <w:rsid w:val="41C061C4"/>
    <w:rsid w:val="41CA7043"/>
    <w:rsid w:val="41CE2E2C"/>
    <w:rsid w:val="41D91EB3"/>
    <w:rsid w:val="41DB2FFE"/>
    <w:rsid w:val="41E2613A"/>
    <w:rsid w:val="41E53EC9"/>
    <w:rsid w:val="41E62EDB"/>
    <w:rsid w:val="41F06AA9"/>
    <w:rsid w:val="41F738AE"/>
    <w:rsid w:val="42093E6F"/>
    <w:rsid w:val="42100EF9"/>
    <w:rsid w:val="42126F51"/>
    <w:rsid w:val="422624CB"/>
    <w:rsid w:val="423001D3"/>
    <w:rsid w:val="42336609"/>
    <w:rsid w:val="424356BE"/>
    <w:rsid w:val="42515A9D"/>
    <w:rsid w:val="425828A0"/>
    <w:rsid w:val="425F5043"/>
    <w:rsid w:val="426C08D0"/>
    <w:rsid w:val="42734FE4"/>
    <w:rsid w:val="42784E38"/>
    <w:rsid w:val="4279363D"/>
    <w:rsid w:val="427A2817"/>
    <w:rsid w:val="427A692C"/>
    <w:rsid w:val="4283791D"/>
    <w:rsid w:val="428427E6"/>
    <w:rsid w:val="428A7A75"/>
    <w:rsid w:val="428C42F8"/>
    <w:rsid w:val="429562DA"/>
    <w:rsid w:val="429B73D4"/>
    <w:rsid w:val="429C26CE"/>
    <w:rsid w:val="429D0A67"/>
    <w:rsid w:val="42A258CA"/>
    <w:rsid w:val="42A26080"/>
    <w:rsid w:val="42A96C58"/>
    <w:rsid w:val="42AE24C0"/>
    <w:rsid w:val="42AE667B"/>
    <w:rsid w:val="42B67CE3"/>
    <w:rsid w:val="42B957FA"/>
    <w:rsid w:val="42C720DF"/>
    <w:rsid w:val="42D27F5D"/>
    <w:rsid w:val="42D877CE"/>
    <w:rsid w:val="42DE6F13"/>
    <w:rsid w:val="42DF2B39"/>
    <w:rsid w:val="42E163F2"/>
    <w:rsid w:val="42E6709F"/>
    <w:rsid w:val="42F223AD"/>
    <w:rsid w:val="42F425C9"/>
    <w:rsid w:val="430A1DED"/>
    <w:rsid w:val="430A5BFE"/>
    <w:rsid w:val="43175F46"/>
    <w:rsid w:val="432361CC"/>
    <w:rsid w:val="432437C0"/>
    <w:rsid w:val="432501D5"/>
    <w:rsid w:val="43324E9F"/>
    <w:rsid w:val="433429C6"/>
    <w:rsid w:val="433C187A"/>
    <w:rsid w:val="433E0203"/>
    <w:rsid w:val="43456981"/>
    <w:rsid w:val="43470C5B"/>
    <w:rsid w:val="43476B9D"/>
    <w:rsid w:val="434B7577"/>
    <w:rsid w:val="4350166D"/>
    <w:rsid w:val="43560B8E"/>
    <w:rsid w:val="435B07FA"/>
    <w:rsid w:val="435C016E"/>
    <w:rsid w:val="435C1F1C"/>
    <w:rsid w:val="435C47A3"/>
    <w:rsid w:val="43613363"/>
    <w:rsid w:val="43654DE2"/>
    <w:rsid w:val="436D4E8B"/>
    <w:rsid w:val="43704606"/>
    <w:rsid w:val="437243CA"/>
    <w:rsid w:val="43770B04"/>
    <w:rsid w:val="43786151"/>
    <w:rsid w:val="437C40C5"/>
    <w:rsid w:val="437C4757"/>
    <w:rsid w:val="437E6337"/>
    <w:rsid w:val="4383047F"/>
    <w:rsid w:val="438B147F"/>
    <w:rsid w:val="439044A5"/>
    <w:rsid w:val="439E38B6"/>
    <w:rsid w:val="43B05954"/>
    <w:rsid w:val="43BD3748"/>
    <w:rsid w:val="43BF2BD7"/>
    <w:rsid w:val="43C26223"/>
    <w:rsid w:val="43C9292B"/>
    <w:rsid w:val="43CE724D"/>
    <w:rsid w:val="43DB4FCF"/>
    <w:rsid w:val="43EA39CC"/>
    <w:rsid w:val="43FD36FF"/>
    <w:rsid w:val="44064E36"/>
    <w:rsid w:val="440700DA"/>
    <w:rsid w:val="44094FB1"/>
    <w:rsid w:val="44095C00"/>
    <w:rsid w:val="440974EA"/>
    <w:rsid w:val="4413082D"/>
    <w:rsid w:val="441D751D"/>
    <w:rsid w:val="441E5E65"/>
    <w:rsid w:val="44216809"/>
    <w:rsid w:val="4421792F"/>
    <w:rsid w:val="442273B7"/>
    <w:rsid w:val="44242A3A"/>
    <w:rsid w:val="442567B2"/>
    <w:rsid w:val="44292708"/>
    <w:rsid w:val="442B68C5"/>
    <w:rsid w:val="442C5D93"/>
    <w:rsid w:val="442E5667"/>
    <w:rsid w:val="44330ECF"/>
    <w:rsid w:val="443A225E"/>
    <w:rsid w:val="443B71EF"/>
    <w:rsid w:val="443D3AFC"/>
    <w:rsid w:val="443D58AA"/>
    <w:rsid w:val="444412C1"/>
    <w:rsid w:val="444E7AB7"/>
    <w:rsid w:val="44562E10"/>
    <w:rsid w:val="445B45F5"/>
    <w:rsid w:val="446B68FC"/>
    <w:rsid w:val="4475277F"/>
    <w:rsid w:val="447F5DD9"/>
    <w:rsid w:val="44843C65"/>
    <w:rsid w:val="4487121B"/>
    <w:rsid w:val="448A1F26"/>
    <w:rsid w:val="448C6831"/>
    <w:rsid w:val="4496535B"/>
    <w:rsid w:val="449C4325"/>
    <w:rsid w:val="44A45929"/>
    <w:rsid w:val="44A96FDE"/>
    <w:rsid w:val="44AB498E"/>
    <w:rsid w:val="44B4503C"/>
    <w:rsid w:val="44BC0EC5"/>
    <w:rsid w:val="44BD4C3D"/>
    <w:rsid w:val="44C15625"/>
    <w:rsid w:val="44C63AF1"/>
    <w:rsid w:val="44C96AF3"/>
    <w:rsid w:val="44CA64E6"/>
    <w:rsid w:val="44D22496"/>
    <w:rsid w:val="44D555A8"/>
    <w:rsid w:val="44D66CFF"/>
    <w:rsid w:val="44DA06D0"/>
    <w:rsid w:val="44DC0C08"/>
    <w:rsid w:val="44E14213"/>
    <w:rsid w:val="44E36F17"/>
    <w:rsid w:val="44E60B69"/>
    <w:rsid w:val="44E67CEF"/>
    <w:rsid w:val="44E95A32"/>
    <w:rsid w:val="44EA77B2"/>
    <w:rsid w:val="44EC47B2"/>
    <w:rsid w:val="44ED379F"/>
    <w:rsid w:val="44F87A23"/>
    <w:rsid w:val="44F97C54"/>
    <w:rsid w:val="44FB089D"/>
    <w:rsid w:val="450D1259"/>
    <w:rsid w:val="451505D5"/>
    <w:rsid w:val="4520319B"/>
    <w:rsid w:val="45317296"/>
    <w:rsid w:val="453332FF"/>
    <w:rsid w:val="45357EA7"/>
    <w:rsid w:val="453935EF"/>
    <w:rsid w:val="45442192"/>
    <w:rsid w:val="45442C68"/>
    <w:rsid w:val="454F3AE7"/>
    <w:rsid w:val="455530C7"/>
    <w:rsid w:val="4557599C"/>
    <w:rsid w:val="455F3E20"/>
    <w:rsid w:val="456F14C8"/>
    <w:rsid w:val="45721D8E"/>
    <w:rsid w:val="458D2861"/>
    <w:rsid w:val="45903371"/>
    <w:rsid w:val="459613D0"/>
    <w:rsid w:val="45A10B7D"/>
    <w:rsid w:val="45A1630C"/>
    <w:rsid w:val="45A750DE"/>
    <w:rsid w:val="45C15F63"/>
    <w:rsid w:val="45C37F19"/>
    <w:rsid w:val="45C57A06"/>
    <w:rsid w:val="45D42B14"/>
    <w:rsid w:val="45D746D7"/>
    <w:rsid w:val="45E02FBE"/>
    <w:rsid w:val="45EA1A61"/>
    <w:rsid w:val="45F7628D"/>
    <w:rsid w:val="45FB77CB"/>
    <w:rsid w:val="460A1CBA"/>
    <w:rsid w:val="460A6DCD"/>
    <w:rsid w:val="460A7FF5"/>
    <w:rsid w:val="46115CF7"/>
    <w:rsid w:val="461272D6"/>
    <w:rsid w:val="461E572A"/>
    <w:rsid w:val="462E3558"/>
    <w:rsid w:val="46334724"/>
    <w:rsid w:val="466B25F0"/>
    <w:rsid w:val="46737941"/>
    <w:rsid w:val="46782302"/>
    <w:rsid w:val="46790B08"/>
    <w:rsid w:val="467A1037"/>
    <w:rsid w:val="467B090B"/>
    <w:rsid w:val="467D11D0"/>
    <w:rsid w:val="46812B99"/>
    <w:rsid w:val="46861612"/>
    <w:rsid w:val="468766C5"/>
    <w:rsid w:val="468E2089"/>
    <w:rsid w:val="469723A5"/>
    <w:rsid w:val="469A0577"/>
    <w:rsid w:val="469E0050"/>
    <w:rsid w:val="46A14D47"/>
    <w:rsid w:val="46AB7F57"/>
    <w:rsid w:val="46AF722A"/>
    <w:rsid w:val="46B642A3"/>
    <w:rsid w:val="46B81B2D"/>
    <w:rsid w:val="46C140A0"/>
    <w:rsid w:val="46D52711"/>
    <w:rsid w:val="46E147D5"/>
    <w:rsid w:val="46E23D71"/>
    <w:rsid w:val="46E75FA1"/>
    <w:rsid w:val="46EC323B"/>
    <w:rsid w:val="46EF572E"/>
    <w:rsid w:val="46F07407"/>
    <w:rsid w:val="46F50F4D"/>
    <w:rsid w:val="46FA2178"/>
    <w:rsid w:val="46FC1A4C"/>
    <w:rsid w:val="46FD7572"/>
    <w:rsid w:val="47013C9A"/>
    <w:rsid w:val="470143FE"/>
    <w:rsid w:val="4704228B"/>
    <w:rsid w:val="470C0912"/>
    <w:rsid w:val="471274C2"/>
    <w:rsid w:val="471843AC"/>
    <w:rsid w:val="471E7DCE"/>
    <w:rsid w:val="471F398D"/>
    <w:rsid w:val="472E3BD0"/>
    <w:rsid w:val="47332F94"/>
    <w:rsid w:val="473867FC"/>
    <w:rsid w:val="473E4896"/>
    <w:rsid w:val="473F4860"/>
    <w:rsid w:val="47431429"/>
    <w:rsid w:val="4743767B"/>
    <w:rsid w:val="474D04FA"/>
    <w:rsid w:val="47557583"/>
    <w:rsid w:val="47592A82"/>
    <w:rsid w:val="475B4848"/>
    <w:rsid w:val="475C698F"/>
    <w:rsid w:val="4760647F"/>
    <w:rsid w:val="47656C71"/>
    <w:rsid w:val="476F7A5C"/>
    <w:rsid w:val="4773105A"/>
    <w:rsid w:val="477C1365"/>
    <w:rsid w:val="477D544D"/>
    <w:rsid w:val="477F61D9"/>
    <w:rsid w:val="47856838"/>
    <w:rsid w:val="47867568"/>
    <w:rsid w:val="479559FD"/>
    <w:rsid w:val="479D251B"/>
    <w:rsid w:val="47A3636C"/>
    <w:rsid w:val="47AC7587"/>
    <w:rsid w:val="47CB21D4"/>
    <w:rsid w:val="47D209FF"/>
    <w:rsid w:val="47D533A7"/>
    <w:rsid w:val="47DD14FD"/>
    <w:rsid w:val="47E20625"/>
    <w:rsid w:val="47F46BC7"/>
    <w:rsid w:val="47F92430"/>
    <w:rsid w:val="47FB61A8"/>
    <w:rsid w:val="47FF6295"/>
    <w:rsid w:val="480037BE"/>
    <w:rsid w:val="48084421"/>
    <w:rsid w:val="48091A67"/>
    <w:rsid w:val="480A2AA8"/>
    <w:rsid w:val="481B27B5"/>
    <w:rsid w:val="48256D81"/>
    <w:rsid w:val="482B2CE0"/>
    <w:rsid w:val="482C6442"/>
    <w:rsid w:val="48382F58"/>
    <w:rsid w:val="484216E1"/>
    <w:rsid w:val="484336AB"/>
    <w:rsid w:val="484543F2"/>
    <w:rsid w:val="484703DF"/>
    <w:rsid w:val="4856518C"/>
    <w:rsid w:val="48622294"/>
    <w:rsid w:val="486664B0"/>
    <w:rsid w:val="487A3570"/>
    <w:rsid w:val="487A531F"/>
    <w:rsid w:val="487D2420"/>
    <w:rsid w:val="487E3DE0"/>
    <w:rsid w:val="48825DB2"/>
    <w:rsid w:val="488F069E"/>
    <w:rsid w:val="48914416"/>
    <w:rsid w:val="48965ED0"/>
    <w:rsid w:val="489F2FD7"/>
    <w:rsid w:val="489F6B33"/>
    <w:rsid w:val="48A24875"/>
    <w:rsid w:val="48A709C8"/>
    <w:rsid w:val="48B055A4"/>
    <w:rsid w:val="48C9414A"/>
    <w:rsid w:val="48D12A65"/>
    <w:rsid w:val="48DA07D7"/>
    <w:rsid w:val="48E24C72"/>
    <w:rsid w:val="48E62B64"/>
    <w:rsid w:val="48F42CAF"/>
    <w:rsid w:val="48F66DD6"/>
    <w:rsid w:val="48FD2E5A"/>
    <w:rsid w:val="48FD7CFE"/>
    <w:rsid w:val="48FF502F"/>
    <w:rsid w:val="49006307"/>
    <w:rsid w:val="4908232A"/>
    <w:rsid w:val="490C1CEF"/>
    <w:rsid w:val="490E3CB9"/>
    <w:rsid w:val="49121EDB"/>
    <w:rsid w:val="491312CF"/>
    <w:rsid w:val="491829E2"/>
    <w:rsid w:val="49223C4B"/>
    <w:rsid w:val="49296D45"/>
    <w:rsid w:val="492A36DD"/>
    <w:rsid w:val="492F06DD"/>
    <w:rsid w:val="493059DD"/>
    <w:rsid w:val="49310D0B"/>
    <w:rsid w:val="49311755"/>
    <w:rsid w:val="4934660C"/>
    <w:rsid w:val="493578CF"/>
    <w:rsid w:val="49382AE4"/>
    <w:rsid w:val="493D781A"/>
    <w:rsid w:val="49402D39"/>
    <w:rsid w:val="4941408E"/>
    <w:rsid w:val="49465C88"/>
    <w:rsid w:val="49492F43"/>
    <w:rsid w:val="494B3666"/>
    <w:rsid w:val="495B0FC1"/>
    <w:rsid w:val="495D7D5E"/>
    <w:rsid w:val="49695393"/>
    <w:rsid w:val="49714403"/>
    <w:rsid w:val="49746F0D"/>
    <w:rsid w:val="497E2BEC"/>
    <w:rsid w:val="49801E35"/>
    <w:rsid w:val="498253A2"/>
    <w:rsid w:val="4986134E"/>
    <w:rsid w:val="498E0956"/>
    <w:rsid w:val="499D1F90"/>
    <w:rsid w:val="499E7A09"/>
    <w:rsid w:val="499F7D64"/>
    <w:rsid w:val="49A12D7B"/>
    <w:rsid w:val="49A308A5"/>
    <w:rsid w:val="49A667A3"/>
    <w:rsid w:val="49AB4468"/>
    <w:rsid w:val="49B03933"/>
    <w:rsid w:val="49B44860"/>
    <w:rsid w:val="49B60F0E"/>
    <w:rsid w:val="49B6344B"/>
    <w:rsid w:val="49B804BD"/>
    <w:rsid w:val="49B90205"/>
    <w:rsid w:val="49BA799D"/>
    <w:rsid w:val="49C41E68"/>
    <w:rsid w:val="49CE24FF"/>
    <w:rsid w:val="49DB1DED"/>
    <w:rsid w:val="49E54A1A"/>
    <w:rsid w:val="49E86478"/>
    <w:rsid w:val="49EF3ABE"/>
    <w:rsid w:val="49F875B3"/>
    <w:rsid w:val="49F904C5"/>
    <w:rsid w:val="49F95772"/>
    <w:rsid w:val="49FC2411"/>
    <w:rsid w:val="49FC5336"/>
    <w:rsid w:val="4A02792A"/>
    <w:rsid w:val="4A046EF1"/>
    <w:rsid w:val="4A174DEF"/>
    <w:rsid w:val="4A1D4B49"/>
    <w:rsid w:val="4A28348E"/>
    <w:rsid w:val="4A2D52AD"/>
    <w:rsid w:val="4A2F038B"/>
    <w:rsid w:val="4A34774F"/>
    <w:rsid w:val="4A3B3355"/>
    <w:rsid w:val="4A435BE4"/>
    <w:rsid w:val="4A4C07D3"/>
    <w:rsid w:val="4A5A5944"/>
    <w:rsid w:val="4A5F69CD"/>
    <w:rsid w:val="4A6B1F03"/>
    <w:rsid w:val="4A6E143B"/>
    <w:rsid w:val="4A6F1C31"/>
    <w:rsid w:val="4A7E6D08"/>
    <w:rsid w:val="4A895CED"/>
    <w:rsid w:val="4A8D1FE6"/>
    <w:rsid w:val="4AA217FC"/>
    <w:rsid w:val="4AAF6DD6"/>
    <w:rsid w:val="4AB47E68"/>
    <w:rsid w:val="4ABA702D"/>
    <w:rsid w:val="4AC255A1"/>
    <w:rsid w:val="4AC62A9D"/>
    <w:rsid w:val="4AD0174B"/>
    <w:rsid w:val="4ADF2861"/>
    <w:rsid w:val="4ADF4067"/>
    <w:rsid w:val="4AE274E7"/>
    <w:rsid w:val="4AEA7FAD"/>
    <w:rsid w:val="4AEB2504"/>
    <w:rsid w:val="4AF018C8"/>
    <w:rsid w:val="4AF84C20"/>
    <w:rsid w:val="4AFC2E28"/>
    <w:rsid w:val="4AFC4D2D"/>
    <w:rsid w:val="4B007631"/>
    <w:rsid w:val="4B0372DA"/>
    <w:rsid w:val="4B0C0886"/>
    <w:rsid w:val="4B0C247A"/>
    <w:rsid w:val="4B0E73A1"/>
    <w:rsid w:val="4B0F7229"/>
    <w:rsid w:val="4B1732F9"/>
    <w:rsid w:val="4B231D65"/>
    <w:rsid w:val="4B2618C3"/>
    <w:rsid w:val="4B2B0B52"/>
    <w:rsid w:val="4B35377F"/>
    <w:rsid w:val="4B3A0D95"/>
    <w:rsid w:val="4B42204F"/>
    <w:rsid w:val="4B4514CD"/>
    <w:rsid w:val="4B477CDC"/>
    <w:rsid w:val="4B4820C4"/>
    <w:rsid w:val="4B4D222F"/>
    <w:rsid w:val="4B532410"/>
    <w:rsid w:val="4B5F6A4E"/>
    <w:rsid w:val="4B605D4C"/>
    <w:rsid w:val="4B6978CC"/>
    <w:rsid w:val="4B7730FE"/>
    <w:rsid w:val="4B8675F0"/>
    <w:rsid w:val="4B8D35BB"/>
    <w:rsid w:val="4B937604"/>
    <w:rsid w:val="4B9E419F"/>
    <w:rsid w:val="4B9E5F45"/>
    <w:rsid w:val="4BAC45CA"/>
    <w:rsid w:val="4BB23021"/>
    <w:rsid w:val="4BB53983"/>
    <w:rsid w:val="4BB548C0"/>
    <w:rsid w:val="4BBB65D3"/>
    <w:rsid w:val="4BBF1394"/>
    <w:rsid w:val="4BC468B1"/>
    <w:rsid w:val="4BCB2F0D"/>
    <w:rsid w:val="4BCC6FF2"/>
    <w:rsid w:val="4BD50ABE"/>
    <w:rsid w:val="4BD765E4"/>
    <w:rsid w:val="4BDE4E90"/>
    <w:rsid w:val="4BDF2B9F"/>
    <w:rsid w:val="4BEE600F"/>
    <w:rsid w:val="4BF1634C"/>
    <w:rsid w:val="4BF65014"/>
    <w:rsid w:val="4BFC24EE"/>
    <w:rsid w:val="4BFF5B3B"/>
    <w:rsid w:val="4C080E93"/>
    <w:rsid w:val="4C0A4C0B"/>
    <w:rsid w:val="4C0E3E47"/>
    <w:rsid w:val="4C106903"/>
    <w:rsid w:val="4C1415E6"/>
    <w:rsid w:val="4C146544"/>
    <w:rsid w:val="4C2832E3"/>
    <w:rsid w:val="4C2F22D2"/>
    <w:rsid w:val="4C2F2E49"/>
    <w:rsid w:val="4C3103EA"/>
    <w:rsid w:val="4C3312EC"/>
    <w:rsid w:val="4C3677AE"/>
    <w:rsid w:val="4C404173"/>
    <w:rsid w:val="4C467A9E"/>
    <w:rsid w:val="4C4C77F4"/>
    <w:rsid w:val="4C5574D1"/>
    <w:rsid w:val="4C5B1C44"/>
    <w:rsid w:val="4C6360CA"/>
    <w:rsid w:val="4C6D6562"/>
    <w:rsid w:val="4C7379C1"/>
    <w:rsid w:val="4C85535E"/>
    <w:rsid w:val="4C8D0224"/>
    <w:rsid w:val="4C9246AB"/>
    <w:rsid w:val="4C982558"/>
    <w:rsid w:val="4C994BE1"/>
    <w:rsid w:val="4CA24E44"/>
    <w:rsid w:val="4CA46E0E"/>
    <w:rsid w:val="4CA87F80"/>
    <w:rsid w:val="4CAC181F"/>
    <w:rsid w:val="4CAE37E9"/>
    <w:rsid w:val="4CC1587A"/>
    <w:rsid w:val="4CC530AB"/>
    <w:rsid w:val="4CCB1015"/>
    <w:rsid w:val="4CCD443F"/>
    <w:rsid w:val="4CD6689C"/>
    <w:rsid w:val="4CE51121"/>
    <w:rsid w:val="4CEF5F3F"/>
    <w:rsid w:val="4CF118E0"/>
    <w:rsid w:val="4CF468E0"/>
    <w:rsid w:val="4CF5766A"/>
    <w:rsid w:val="4CF65190"/>
    <w:rsid w:val="4CF73C2E"/>
    <w:rsid w:val="4D007DBC"/>
    <w:rsid w:val="4D07739D"/>
    <w:rsid w:val="4D135D42"/>
    <w:rsid w:val="4D2025A6"/>
    <w:rsid w:val="4D217D2B"/>
    <w:rsid w:val="4D280422"/>
    <w:rsid w:val="4D384909"/>
    <w:rsid w:val="4D3D7270"/>
    <w:rsid w:val="4D53613E"/>
    <w:rsid w:val="4D546E91"/>
    <w:rsid w:val="4D563F36"/>
    <w:rsid w:val="4D5F4486"/>
    <w:rsid w:val="4D73431C"/>
    <w:rsid w:val="4D781387"/>
    <w:rsid w:val="4D783DF7"/>
    <w:rsid w:val="4D7A78E7"/>
    <w:rsid w:val="4D7F07FA"/>
    <w:rsid w:val="4D811DB6"/>
    <w:rsid w:val="4D87403A"/>
    <w:rsid w:val="4D8F5481"/>
    <w:rsid w:val="4D93484F"/>
    <w:rsid w:val="4D950505"/>
    <w:rsid w:val="4D9A37B9"/>
    <w:rsid w:val="4DA1635B"/>
    <w:rsid w:val="4DA22C22"/>
    <w:rsid w:val="4DA60964"/>
    <w:rsid w:val="4DAA281B"/>
    <w:rsid w:val="4DB0533F"/>
    <w:rsid w:val="4DB10719"/>
    <w:rsid w:val="4DB85A95"/>
    <w:rsid w:val="4DC34266"/>
    <w:rsid w:val="4DC4703C"/>
    <w:rsid w:val="4DCF7EBB"/>
    <w:rsid w:val="4DD21759"/>
    <w:rsid w:val="4DE96C85"/>
    <w:rsid w:val="4DF94F37"/>
    <w:rsid w:val="4E045603"/>
    <w:rsid w:val="4E17716C"/>
    <w:rsid w:val="4E191136"/>
    <w:rsid w:val="4E1C44BA"/>
    <w:rsid w:val="4E231EC4"/>
    <w:rsid w:val="4E2323A9"/>
    <w:rsid w:val="4E235ED6"/>
    <w:rsid w:val="4E265601"/>
    <w:rsid w:val="4E270CE8"/>
    <w:rsid w:val="4E2F2707"/>
    <w:rsid w:val="4E30130E"/>
    <w:rsid w:val="4E3A39FD"/>
    <w:rsid w:val="4E455429"/>
    <w:rsid w:val="4E481A72"/>
    <w:rsid w:val="4E4A1488"/>
    <w:rsid w:val="4E4C398D"/>
    <w:rsid w:val="4E507D60"/>
    <w:rsid w:val="4E5B6A28"/>
    <w:rsid w:val="4E61488B"/>
    <w:rsid w:val="4E680A01"/>
    <w:rsid w:val="4E6B645F"/>
    <w:rsid w:val="4E747D1C"/>
    <w:rsid w:val="4E797E26"/>
    <w:rsid w:val="4E7F5FBD"/>
    <w:rsid w:val="4E865DE0"/>
    <w:rsid w:val="4E920EE8"/>
    <w:rsid w:val="4E974E4A"/>
    <w:rsid w:val="4EA63D16"/>
    <w:rsid w:val="4EA83BE7"/>
    <w:rsid w:val="4EB24694"/>
    <w:rsid w:val="4EBE3A8B"/>
    <w:rsid w:val="4EC40584"/>
    <w:rsid w:val="4EC66D8E"/>
    <w:rsid w:val="4ECC163D"/>
    <w:rsid w:val="4ECC43FA"/>
    <w:rsid w:val="4ECD1DD8"/>
    <w:rsid w:val="4EE02A60"/>
    <w:rsid w:val="4EFE318F"/>
    <w:rsid w:val="4F0532A9"/>
    <w:rsid w:val="4F05790C"/>
    <w:rsid w:val="4F0E4A6F"/>
    <w:rsid w:val="4F16010E"/>
    <w:rsid w:val="4F1B0EDE"/>
    <w:rsid w:val="4F1B7FA7"/>
    <w:rsid w:val="4F1E09DB"/>
    <w:rsid w:val="4F355850"/>
    <w:rsid w:val="4F3F4BCC"/>
    <w:rsid w:val="4F4C50C9"/>
    <w:rsid w:val="4F5346D7"/>
    <w:rsid w:val="4F5368C9"/>
    <w:rsid w:val="4F557DF0"/>
    <w:rsid w:val="4F560168"/>
    <w:rsid w:val="4F671583"/>
    <w:rsid w:val="4F6939F7"/>
    <w:rsid w:val="4F702FD7"/>
    <w:rsid w:val="4F730D1A"/>
    <w:rsid w:val="4F7B197C"/>
    <w:rsid w:val="4F7BF90B"/>
    <w:rsid w:val="4F846A83"/>
    <w:rsid w:val="4F89799A"/>
    <w:rsid w:val="4F9220E5"/>
    <w:rsid w:val="4F9B00B5"/>
    <w:rsid w:val="4FA47125"/>
    <w:rsid w:val="4FA9473B"/>
    <w:rsid w:val="4FA97AD8"/>
    <w:rsid w:val="4FAA2F2F"/>
    <w:rsid w:val="4FB1539E"/>
    <w:rsid w:val="4FB56C3C"/>
    <w:rsid w:val="4FBF0176"/>
    <w:rsid w:val="4FDD5E74"/>
    <w:rsid w:val="4FE65048"/>
    <w:rsid w:val="4FEB08B0"/>
    <w:rsid w:val="4FF260E2"/>
    <w:rsid w:val="4FF327A2"/>
    <w:rsid w:val="4FFA0AF3"/>
    <w:rsid w:val="50055358"/>
    <w:rsid w:val="5009128B"/>
    <w:rsid w:val="50096F88"/>
    <w:rsid w:val="500C251B"/>
    <w:rsid w:val="50294B47"/>
    <w:rsid w:val="502B5150"/>
    <w:rsid w:val="502D2C76"/>
    <w:rsid w:val="502F26C2"/>
    <w:rsid w:val="5043693E"/>
    <w:rsid w:val="505C7A00"/>
    <w:rsid w:val="50615016"/>
    <w:rsid w:val="506348EA"/>
    <w:rsid w:val="50741678"/>
    <w:rsid w:val="50760AC1"/>
    <w:rsid w:val="507718E7"/>
    <w:rsid w:val="50811214"/>
    <w:rsid w:val="50854860"/>
    <w:rsid w:val="50902E31"/>
    <w:rsid w:val="50921C73"/>
    <w:rsid w:val="50BD7AF4"/>
    <w:rsid w:val="50C25A76"/>
    <w:rsid w:val="50D43A3A"/>
    <w:rsid w:val="50D54261"/>
    <w:rsid w:val="50D61560"/>
    <w:rsid w:val="50E51AC6"/>
    <w:rsid w:val="50F22C0D"/>
    <w:rsid w:val="50FD2FC0"/>
    <w:rsid w:val="5100038B"/>
    <w:rsid w:val="51054C52"/>
    <w:rsid w:val="510F2A0C"/>
    <w:rsid w:val="51144E39"/>
    <w:rsid w:val="5118702E"/>
    <w:rsid w:val="512344AA"/>
    <w:rsid w:val="5125520C"/>
    <w:rsid w:val="51257DF2"/>
    <w:rsid w:val="512713C0"/>
    <w:rsid w:val="5129383E"/>
    <w:rsid w:val="512A18AC"/>
    <w:rsid w:val="5130080A"/>
    <w:rsid w:val="51312C3A"/>
    <w:rsid w:val="51330760"/>
    <w:rsid w:val="513D3601"/>
    <w:rsid w:val="51453FF0"/>
    <w:rsid w:val="5156444F"/>
    <w:rsid w:val="515D34B4"/>
    <w:rsid w:val="5168194E"/>
    <w:rsid w:val="51701D94"/>
    <w:rsid w:val="517A013D"/>
    <w:rsid w:val="517B2107"/>
    <w:rsid w:val="5181771E"/>
    <w:rsid w:val="5184720E"/>
    <w:rsid w:val="51930755"/>
    <w:rsid w:val="519311FF"/>
    <w:rsid w:val="51960EC3"/>
    <w:rsid w:val="519C33DF"/>
    <w:rsid w:val="51A774B9"/>
    <w:rsid w:val="51A82374"/>
    <w:rsid w:val="51AE7DE7"/>
    <w:rsid w:val="51BB2504"/>
    <w:rsid w:val="51C55131"/>
    <w:rsid w:val="51D57F4D"/>
    <w:rsid w:val="51DD3BC1"/>
    <w:rsid w:val="51E2464B"/>
    <w:rsid w:val="51E86599"/>
    <w:rsid w:val="51ED4DB3"/>
    <w:rsid w:val="51F43CBF"/>
    <w:rsid w:val="51F837D1"/>
    <w:rsid w:val="51FE3331"/>
    <w:rsid w:val="51FF3680"/>
    <w:rsid w:val="52011F47"/>
    <w:rsid w:val="52020133"/>
    <w:rsid w:val="520619D1"/>
    <w:rsid w:val="52190FE2"/>
    <w:rsid w:val="521A1920"/>
    <w:rsid w:val="52265D0E"/>
    <w:rsid w:val="522E449F"/>
    <w:rsid w:val="522F38A0"/>
    <w:rsid w:val="523302EC"/>
    <w:rsid w:val="523A167B"/>
    <w:rsid w:val="523C53F3"/>
    <w:rsid w:val="525553CB"/>
    <w:rsid w:val="5257047F"/>
    <w:rsid w:val="525A0161"/>
    <w:rsid w:val="526F44F1"/>
    <w:rsid w:val="527032EE"/>
    <w:rsid w:val="52717233"/>
    <w:rsid w:val="527C647C"/>
    <w:rsid w:val="527F6A77"/>
    <w:rsid w:val="52931B97"/>
    <w:rsid w:val="52963172"/>
    <w:rsid w:val="52A01BCB"/>
    <w:rsid w:val="52B61649"/>
    <w:rsid w:val="52B910F3"/>
    <w:rsid w:val="52BA35A4"/>
    <w:rsid w:val="52BC0A74"/>
    <w:rsid w:val="52CC1F2C"/>
    <w:rsid w:val="52D56E0C"/>
    <w:rsid w:val="52D81261"/>
    <w:rsid w:val="52D9727E"/>
    <w:rsid w:val="52E07C83"/>
    <w:rsid w:val="52E16484"/>
    <w:rsid w:val="52E71802"/>
    <w:rsid w:val="52E837CD"/>
    <w:rsid w:val="52FD672C"/>
    <w:rsid w:val="5305542D"/>
    <w:rsid w:val="53073C53"/>
    <w:rsid w:val="530E3233"/>
    <w:rsid w:val="531A313D"/>
    <w:rsid w:val="53210238"/>
    <w:rsid w:val="53254822"/>
    <w:rsid w:val="532C0BE3"/>
    <w:rsid w:val="533455A3"/>
    <w:rsid w:val="53392649"/>
    <w:rsid w:val="533C1422"/>
    <w:rsid w:val="53432D0E"/>
    <w:rsid w:val="534B6AD2"/>
    <w:rsid w:val="534F1156"/>
    <w:rsid w:val="534F5434"/>
    <w:rsid w:val="53544C9E"/>
    <w:rsid w:val="536919C8"/>
    <w:rsid w:val="536C2083"/>
    <w:rsid w:val="53710431"/>
    <w:rsid w:val="53740BBC"/>
    <w:rsid w:val="53762B86"/>
    <w:rsid w:val="538232D9"/>
    <w:rsid w:val="53841996"/>
    <w:rsid w:val="538B213A"/>
    <w:rsid w:val="53917531"/>
    <w:rsid w:val="53A54527"/>
    <w:rsid w:val="53AB0A82"/>
    <w:rsid w:val="53B92A73"/>
    <w:rsid w:val="53BFE12D"/>
    <w:rsid w:val="53D14449"/>
    <w:rsid w:val="53DE18DD"/>
    <w:rsid w:val="53E22F74"/>
    <w:rsid w:val="53E50958"/>
    <w:rsid w:val="53E607EA"/>
    <w:rsid w:val="53F87FDF"/>
    <w:rsid w:val="53FC12DE"/>
    <w:rsid w:val="53FF2B7C"/>
    <w:rsid w:val="540C4CB3"/>
    <w:rsid w:val="540C73F1"/>
    <w:rsid w:val="54135C1E"/>
    <w:rsid w:val="54141097"/>
    <w:rsid w:val="541A1764"/>
    <w:rsid w:val="54245B4C"/>
    <w:rsid w:val="542720D3"/>
    <w:rsid w:val="542E520F"/>
    <w:rsid w:val="5433774A"/>
    <w:rsid w:val="54355613"/>
    <w:rsid w:val="543842E0"/>
    <w:rsid w:val="543F2D91"/>
    <w:rsid w:val="54436556"/>
    <w:rsid w:val="544467E1"/>
    <w:rsid w:val="545355A9"/>
    <w:rsid w:val="54565834"/>
    <w:rsid w:val="545B1E43"/>
    <w:rsid w:val="545C1F32"/>
    <w:rsid w:val="546F7411"/>
    <w:rsid w:val="547272EC"/>
    <w:rsid w:val="547D1CF3"/>
    <w:rsid w:val="547F1C23"/>
    <w:rsid w:val="548D462B"/>
    <w:rsid w:val="549C4FDD"/>
    <w:rsid w:val="549E4761"/>
    <w:rsid w:val="54A022DD"/>
    <w:rsid w:val="54A43723"/>
    <w:rsid w:val="54A51975"/>
    <w:rsid w:val="54B35714"/>
    <w:rsid w:val="54B41BB8"/>
    <w:rsid w:val="54B57CCE"/>
    <w:rsid w:val="54B94AEC"/>
    <w:rsid w:val="54BA6EF9"/>
    <w:rsid w:val="54CD048A"/>
    <w:rsid w:val="54D933CD"/>
    <w:rsid w:val="54F64071"/>
    <w:rsid w:val="54F7674D"/>
    <w:rsid w:val="5508638F"/>
    <w:rsid w:val="55145677"/>
    <w:rsid w:val="551B39E5"/>
    <w:rsid w:val="55266AFD"/>
    <w:rsid w:val="5527238A"/>
    <w:rsid w:val="552A6772"/>
    <w:rsid w:val="552C750A"/>
    <w:rsid w:val="552D4CAD"/>
    <w:rsid w:val="553403DB"/>
    <w:rsid w:val="55343B71"/>
    <w:rsid w:val="553B4087"/>
    <w:rsid w:val="55460E4D"/>
    <w:rsid w:val="554E2B7E"/>
    <w:rsid w:val="554E7F0C"/>
    <w:rsid w:val="5551753F"/>
    <w:rsid w:val="555571D9"/>
    <w:rsid w:val="55570132"/>
    <w:rsid w:val="556178EC"/>
    <w:rsid w:val="55674E7D"/>
    <w:rsid w:val="556C322E"/>
    <w:rsid w:val="55704AE4"/>
    <w:rsid w:val="557430F6"/>
    <w:rsid w:val="55846C0B"/>
    <w:rsid w:val="55986DE4"/>
    <w:rsid w:val="55A0576D"/>
    <w:rsid w:val="55AB5B98"/>
    <w:rsid w:val="55B0470B"/>
    <w:rsid w:val="55B63C1A"/>
    <w:rsid w:val="55B77F3B"/>
    <w:rsid w:val="55BC5FBD"/>
    <w:rsid w:val="55C24E3B"/>
    <w:rsid w:val="55D527B1"/>
    <w:rsid w:val="55D94302"/>
    <w:rsid w:val="55E464CD"/>
    <w:rsid w:val="55EE4356"/>
    <w:rsid w:val="56064695"/>
    <w:rsid w:val="561577AE"/>
    <w:rsid w:val="561D2254"/>
    <w:rsid w:val="56242D6E"/>
    <w:rsid w:val="562C39D0"/>
    <w:rsid w:val="5642195A"/>
    <w:rsid w:val="5649348C"/>
    <w:rsid w:val="56515DC5"/>
    <w:rsid w:val="56555BD6"/>
    <w:rsid w:val="565E627F"/>
    <w:rsid w:val="565F1EFD"/>
    <w:rsid w:val="56687E00"/>
    <w:rsid w:val="566B03DF"/>
    <w:rsid w:val="566E141A"/>
    <w:rsid w:val="566E49DC"/>
    <w:rsid w:val="5673166F"/>
    <w:rsid w:val="567B3625"/>
    <w:rsid w:val="567F7FA4"/>
    <w:rsid w:val="5681013C"/>
    <w:rsid w:val="56837A94"/>
    <w:rsid w:val="568A0A89"/>
    <w:rsid w:val="568D333B"/>
    <w:rsid w:val="56904D1F"/>
    <w:rsid w:val="56905D0D"/>
    <w:rsid w:val="5697353F"/>
    <w:rsid w:val="569822E4"/>
    <w:rsid w:val="569C6DA8"/>
    <w:rsid w:val="56B04895"/>
    <w:rsid w:val="56B66C2F"/>
    <w:rsid w:val="56C92B8B"/>
    <w:rsid w:val="56D515E9"/>
    <w:rsid w:val="56DC31DE"/>
    <w:rsid w:val="56DE4F2D"/>
    <w:rsid w:val="56E46B61"/>
    <w:rsid w:val="56EA18C1"/>
    <w:rsid w:val="56EB3D91"/>
    <w:rsid w:val="56EB5639"/>
    <w:rsid w:val="56F02760"/>
    <w:rsid w:val="56F67835"/>
    <w:rsid w:val="5700148F"/>
    <w:rsid w:val="57034731"/>
    <w:rsid w:val="570606C5"/>
    <w:rsid w:val="571C6B19"/>
    <w:rsid w:val="57201009"/>
    <w:rsid w:val="572052E3"/>
    <w:rsid w:val="5721105B"/>
    <w:rsid w:val="57212E09"/>
    <w:rsid w:val="57240A55"/>
    <w:rsid w:val="57277DEC"/>
    <w:rsid w:val="572D5C52"/>
    <w:rsid w:val="573131FD"/>
    <w:rsid w:val="573423A8"/>
    <w:rsid w:val="573827E4"/>
    <w:rsid w:val="573945F7"/>
    <w:rsid w:val="574009B0"/>
    <w:rsid w:val="57407733"/>
    <w:rsid w:val="57460AC2"/>
    <w:rsid w:val="574A2360"/>
    <w:rsid w:val="57504512"/>
    <w:rsid w:val="576323C1"/>
    <w:rsid w:val="57680A38"/>
    <w:rsid w:val="57715B3F"/>
    <w:rsid w:val="577363AB"/>
    <w:rsid w:val="577853BD"/>
    <w:rsid w:val="577D0987"/>
    <w:rsid w:val="578318F4"/>
    <w:rsid w:val="5785783C"/>
    <w:rsid w:val="57861C50"/>
    <w:rsid w:val="57877110"/>
    <w:rsid w:val="5789372D"/>
    <w:rsid w:val="578C77C8"/>
    <w:rsid w:val="579161E1"/>
    <w:rsid w:val="57961F46"/>
    <w:rsid w:val="579E08FE"/>
    <w:rsid w:val="57A027D0"/>
    <w:rsid w:val="57B41ECF"/>
    <w:rsid w:val="57CE3421"/>
    <w:rsid w:val="57E00F16"/>
    <w:rsid w:val="57ED7A35"/>
    <w:rsid w:val="57EF1159"/>
    <w:rsid w:val="57F95598"/>
    <w:rsid w:val="57FC7BAC"/>
    <w:rsid w:val="57FF139C"/>
    <w:rsid w:val="58006EC2"/>
    <w:rsid w:val="58024764"/>
    <w:rsid w:val="58056EF1"/>
    <w:rsid w:val="580624D4"/>
    <w:rsid w:val="58075A05"/>
    <w:rsid w:val="580C36F8"/>
    <w:rsid w:val="5814471C"/>
    <w:rsid w:val="582232DD"/>
    <w:rsid w:val="5827444F"/>
    <w:rsid w:val="582772A7"/>
    <w:rsid w:val="582A4AE8"/>
    <w:rsid w:val="58346B00"/>
    <w:rsid w:val="5838454E"/>
    <w:rsid w:val="58501BF8"/>
    <w:rsid w:val="58530C64"/>
    <w:rsid w:val="585A4825"/>
    <w:rsid w:val="58623517"/>
    <w:rsid w:val="58670D41"/>
    <w:rsid w:val="58775D4B"/>
    <w:rsid w:val="58782EFD"/>
    <w:rsid w:val="588861D4"/>
    <w:rsid w:val="588A4E4C"/>
    <w:rsid w:val="588C0756"/>
    <w:rsid w:val="58AB1D89"/>
    <w:rsid w:val="58B633A9"/>
    <w:rsid w:val="58DB73AF"/>
    <w:rsid w:val="58DC16DE"/>
    <w:rsid w:val="58E65EC9"/>
    <w:rsid w:val="58F00CE5"/>
    <w:rsid w:val="5903310E"/>
    <w:rsid w:val="590B2D16"/>
    <w:rsid w:val="591250FF"/>
    <w:rsid w:val="59205A6E"/>
    <w:rsid w:val="59371AB8"/>
    <w:rsid w:val="59396D57"/>
    <w:rsid w:val="593B4656"/>
    <w:rsid w:val="593C3876"/>
    <w:rsid w:val="593D0D6B"/>
    <w:rsid w:val="593E4146"/>
    <w:rsid w:val="59473BF0"/>
    <w:rsid w:val="59480B21"/>
    <w:rsid w:val="59560BC3"/>
    <w:rsid w:val="59565693"/>
    <w:rsid w:val="595C637A"/>
    <w:rsid w:val="5968741C"/>
    <w:rsid w:val="59821704"/>
    <w:rsid w:val="59862A1F"/>
    <w:rsid w:val="59973856"/>
    <w:rsid w:val="59985FAB"/>
    <w:rsid w:val="59A850AC"/>
    <w:rsid w:val="59AA358A"/>
    <w:rsid w:val="59AED929"/>
    <w:rsid w:val="59B0576E"/>
    <w:rsid w:val="59B166C6"/>
    <w:rsid w:val="59C672A1"/>
    <w:rsid w:val="59D83866"/>
    <w:rsid w:val="59E243BE"/>
    <w:rsid w:val="59E545C2"/>
    <w:rsid w:val="59E60489"/>
    <w:rsid w:val="59E70FFF"/>
    <w:rsid w:val="59EE791A"/>
    <w:rsid w:val="59F45004"/>
    <w:rsid w:val="59FD2812"/>
    <w:rsid w:val="5A1338B2"/>
    <w:rsid w:val="5A16676D"/>
    <w:rsid w:val="5A1B7FE4"/>
    <w:rsid w:val="5A26302E"/>
    <w:rsid w:val="5A2A7C7B"/>
    <w:rsid w:val="5A2C09E1"/>
    <w:rsid w:val="5A340427"/>
    <w:rsid w:val="5A3541BE"/>
    <w:rsid w:val="5A436B41"/>
    <w:rsid w:val="5A4532B2"/>
    <w:rsid w:val="5A48324D"/>
    <w:rsid w:val="5A5643EC"/>
    <w:rsid w:val="5A5D2A51"/>
    <w:rsid w:val="5A625C12"/>
    <w:rsid w:val="5A65572D"/>
    <w:rsid w:val="5A694E7B"/>
    <w:rsid w:val="5A6C3F01"/>
    <w:rsid w:val="5A6D19E9"/>
    <w:rsid w:val="5A6E45B7"/>
    <w:rsid w:val="5A851901"/>
    <w:rsid w:val="5A900971"/>
    <w:rsid w:val="5A951B44"/>
    <w:rsid w:val="5A963B0E"/>
    <w:rsid w:val="5A966240"/>
    <w:rsid w:val="5AAD0FB8"/>
    <w:rsid w:val="5AAD63E9"/>
    <w:rsid w:val="5AAE01E4"/>
    <w:rsid w:val="5AB26B9A"/>
    <w:rsid w:val="5AB864CF"/>
    <w:rsid w:val="5ABC682F"/>
    <w:rsid w:val="5ABEDA26"/>
    <w:rsid w:val="5ABF6998"/>
    <w:rsid w:val="5AC4067B"/>
    <w:rsid w:val="5AC62645"/>
    <w:rsid w:val="5ADE4336"/>
    <w:rsid w:val="5AE66844"/>
    <w:rsid w:val="5AE8436A"/>
    <w:rsid w:val="5AFC26F0"/>
    <w:rsid w:val="5B05357B"/>
    <w:rsid w:val="5B057C3C"/>
    <w:rsid w:val="5B067945"/>
    <w:rsid w:val="5B091590"/>
    <w:rsid w:val="5B1C2265"/>
    <w:rsid w:val="5B1E5956"/>
    <w:rsid w:val="5B2A2BD4"/>
    <w:rsid w:val="5B3D7234"/>
    <w:rsid w:val="5B3E2AB1"/>
    <w:rsid w:val="5B3E2B3D"/>
    <w:rsid w:val="5B3E6680"/>
    <w:rsid w:val="5B435A44"/>
    <w:rsid w:val="5B4930DF"/>
    <w:rsid w:val="5B5A2D8E"/>
    <w:rsid w:val="5B5B72AF"/>
    <w:rsid w:val="5B6968DB"/>
    <w:rsid w:val="5B6B6D49"/>
    <w:rsid w:val="5B6F2CD4"/>
    <w:rsid w:val="5B7E7B1A"/>
    <w:rsid w:val="5B7F1100"/>
    <w:rsid w:val="5B8A2362"/>
    <w:rsid w:val="5B8A2641"/>
    <w:rsid w:val="5B8C64E3"/>
    <w:rsid w:val="5B923FA3"/>
    <w:rsid w:val="5B9412CE"/>
    <w:rsid w:val="5B9E0ECC"/>
    <w:rsid w:val="5B9E2C7A"/>
    <w:rsid w:val="5BA364E3"/>
    <w:rsid w:val="5BB71F8E"/>
    <w:rsid w:val="5BBC75A4"/>
    <w:rsid w:val="5BBD57F6"/>
    <w:rsid w:val="5BC52A79"/>
    <w:rsid w:val="5BC8212A"/>
    <w:rsid w:val="5BCA019E"/>
    <w:rsid w:val="5BCC65AB"/>
    <w:rsid w:val="5BD448EE"/>
    <w:rsid w:val="5BD743DE"/>
    <w:rsid w:val="5BDA6E90"/>
    <w:rsid w:val="5BDB7A2A"/>
    <w:rsid w:val="5BDF513B"/>
    <w:rsid w:val="5BE003B1"/>
    <w:rsid w:val="5BEA2363"/>
    <w:rsid w:val="5BF05C00"/>
    <w:rsid w:val="5BFB7E59"/>
    <w:rsid w:val="5C090A3C"/>
    <w:rsid w:val="5C0E51BB"/>
    <w:rsid w:val="5C1520B2"/>
    <w:rsid w:val="5C267B9F"/>
    <w:rsid w:val="5C2A4E55"/>
    <w:rsid w:val="5C335AB8"/>
    <w:rsid w:val="5C367F58"/>
    <w:rsid w:val="5C4221ED"/>
    <w:rsid w:val="5C433822"/>
    <w:rsid w:val="5C6254AC"/>
    <w:rsid w:val="5C660C6F"/>
    <w:rsid w:val="5C6F24D9"/>
    <w:rsid w:val="5C735EB5"/>
    <w:rsid w:val="5C792B74"/>
    <w:rsid w:val="5C7D31D8"/>
    <w:rsid w:val="5C7F231B"/>
    <w:rsid w:val="5C8A5EF3"/>
    <w:rsid w:val="5C91458D"/>
    <w:rsid w:val="5C937E90"/>
    <w:rsid w:val="5C972A5D"/>
    <w:rsid w:val="5C98591B"/>
    <w:rsid w:val="5C993DA9"/>
    <w:rsid w:val="5C9C18B0"/>
    <w:rsid w:val="5CA059B4"/>
    <w:rsid w:val="5CA41FBD"/>
    <w:rsid w:val="5CA85CD2"/>
    <w:rsid w:val="5CAA564F"/>
    <w:rsid w:val="5CAF1AC2"/>
    <w:rsid w:val="5CC22998"/>
    <w:rsid w:val="5CCC49CC"/>
    <w:rsid w:val="5CED3EB9"/>
    <w:rsid w:val="5CEE4C16"/>
    <w:rsid w:val="5CF0057A"/>
    <w:rsid w:val="5CF214D0"/>
    <w:rsid w:val="5CF3349A"/>
    <w:rsid w:val="5CF36FF6"/>
    <w:rsid w:val="5CF731C2"/>
    <w:rsid w:val="5D0C00B7"/>
    <w:rsid w:val="5D0C51A1"/>
    <w:rsid w:val="5D1009E4"/>
    <w:rsid w:val="5D1C02FB"/>
    <w:rsid w:val="5D1D6FA5"/>
    <w:rsid w:val="5D237E73"/>
    <w:rsid w:val="5D2D0F82"/>
    <w:rsid w:val="5D3715D8"/>
    <w:rsid w:val="5D3970FE"/>
    <w:rsid w:val="5D3A5A32"/>
    <w:rsid w:val="5D3C5E4A"/>
    <w:rsid w:val="5D3E2967"/>
    <w:rsid w:val="5D3F4F67"/>
    <w:rsid w:val="5D445AA3"/>
    <w:rsid w:val="5D46181B"/>
    <w:rsid w:val="5D4C4AFA"/>
    <w:rsid w:val="5D4D19A0"/>
    <w:rsid w:val="5D4E4B94"/>
    <w:rsid w:val="5D50269A"/>
    <w:rsid w:val="5D5339AB"/>
    <w:rsid w:val="5D535CE6"/>
    <w:rsid w:val="5D581B30"/>
    <w:rsid w:val="5D5C2DED"/>
    <w:rsid w:val="5D702069"/>
    <w:rsid w:val="5D7A6168"/>
    <w:rsid w:val="5D812854"/>
    <w:rsid w:val="5D816545"/>
    <w:rsid w:val="5D8329FF"/>
    <w:rsid w:val="5D861C18"/>
    <w:rsid w:val="5D8A795A"/>
    <w:rsid w:val="5D8E554D"/>
    <w:rsid w:val="5D964551"/>
    <w:rsid w:val="5DB744C7"/>
    <w:rsid w:val="5DC0765B"/>
    <w:rsid w:val="5DC36638"/>
    <w:rsid w:val="5DC653D3"/>
    <w:rsid w:val="5DC96927"/>
    <w:rsid w:val="5DCC03B2"/>
    <w:rsid w:val="5DD040EF"/>
    <w:rsid w:val="5DE44718"/>
    <w:rsid w:val="5DE53B1E"/>
    <w:rsid w:val="5DF272AD"/>
    <w:rsid w:val="5E012B6E"/>
    <w:rsid w:val="5E0535AF"/>
    <w:rsid w:val="5E0F61FE"/>
    <w:rsid w:val="5E13169C"/>
    <w:rsid w:val="5E1448E4"/>
    <w:rsid w:val="5E204E38"/>
    <w:rsid w:val="5E231B5D"/>
    <w:rsid w:val="5E2B348B"/>
    <w:rsid w:val="5E2E50AE"/>
    <w:rsid w:val="5E3873B6"/>
    <w:rsid w:val="5E400AA4"/>
    <w:rsid w:val="5E447F25"/>
    <w:rsid w:val="5E451AD3"/>
    <w:rsid w:val="5E4A533B"/>
    <w:rsid w:val="5E4C10B3"/>
    <w:rsid w:val="5E4D094B"/>
    <w:rsid w:val="5E523E81"/>
    <w:rsid w:val="5E567D92"/>
    <w:rsid w:val="5E5A37D0"/>
    <w:rsid w:val="5E5C0816"/>
    <w:rsid w:val="5E6301AB"/>
    <w:rsid w:val="5E683E73"/>
    <w:rsid w:val="5E686551"/>
    <w:rsid w:val="5E790DDF"/>
    <w:rsid w:val="5E7A481C"/>
    <w:rsid w:val="5E7A5C21"/>
    <w:rsid w:val="5E7D301B"/>
    <w:rsid w:val="5E8D2CFB"/>
    <w:rsid w:val="5E9D1A80"/>
    <w:rsid w:val="5EA42C9D"/>
    <w:rsid w:val="5EA4557A"/>
    <w:rsid w:val="5EAB402C"/>
    <w:rsid w:val="5EB033F0"/>
    <w:rsid w:val="5EBF475B"/>
    <w:rsid w:val="5EC549C2"/>
    <w:rsid w:val="5EC85C1B"/>
    <w:rsid w:val="5ECF75EF"/>
    <w:rsid w:val="5ED5446C"/>
    <w:rsid w:val="5EDC4F31"/>
    <w:rsid w:val="5EDF4663"/>
    <w:rsid w:val="5EE4309A"/>
    <w:rsid w:val="5EE652EF"/>
    <w:rsid w:val="5EE80469"/>
    <w:rsid w:val="5EED5CCB"/>
    <w:rsid w:val="5EF41D40"/>
    <w:rsid w:val="5EFC2E4E"/>
    <w:rsid w:val="5F024DA9"/>
    <w:rsid w:val="5F08008D"/>
    <w:rsid w:val="5F172622"/>
    <w:rsid w:val="5F1A4D0E"/>
    <w:rsid w:val="5F1C0A86"/>
    <w:rsid w:val="5F2D2C93"/>
    <w:rsid w:val="5F3202A9"/>
    <w:rsid w:val="5F326509"/>
    <w:rsid w:val="5F3759A0"/>
    <w:rsid w:val="5F392547"/>
    <w:rsid w:val="5F401361"/>
    <w:rsid w:val="5F475EA4"/>
    <w:rsid w:val="5F685A79"/>
    <w:rsid w:val="5F7956B1"/>
    <w:rsid w:val="5F7C597C"/>
    <w:rsid w:val="5F7C7776"/>
    <w:rsid w:val="5F824661"/>
    <w:rsid w:val="5F8632BD"/>
    <w:rsid w:val="5F8B5C0B"/>
    <w:rsid w:val="5F914F15"/>
    <w:rsid w:val="5F923098"/>
    <w:rsid w:val="5F93686E"/>
    <w:rsid w:val="5F97010C"/>
    <w:rsid w:val="5FA2628F"/>
    <w:rsid w:val="5FAF18FA"/>
    <w:rsid w:val="5FB10D84"/>
    <w:rsid w:val="5FC1707F"/>
    <w:rsid w:val="5FDE3F8D"/>
    <w:rsid w:val="5FE4372D"/>
    <w:rsid w:val="5FE5356E"/>
    <w:rsid w:val="5FEA3A3A"/>
    <w:rsid w:val="5FF44260"/>
    <w:rsid w:val="5FF46AB0"/>
    <w:rsid w:val="5FF94923"/>
    <w:rsid w:val="5FFA55C3"/>
    <w:rsid w:val="5FFF6A1A"/>
    <w:rsid w:val="5FFF6AF1"/>
    <w:rsid w:val="60002155"/>
    <w:rsid w:val="600904DE"/>
    <w:rsid w:val="600E6414"/>
    <w:rsid w:val="6014413E"/>
    <w:rsid w:val="601F7341"/>
    <w:rsid w:val="60255472"/>
    <w:rsid w:val="60310561"/>
    <w:rsid w:val="603D4008"/>
    <w:rsid w:val="60453D18"/>
    <w:rsid w:val="604772C9"/>
    <w:rsid w:val="604D27C1"/>
    <w:rsid w:val="604E1113"/>
    <w:rsid w:val="605424A1"/>
    <w:rsid w:val="60664672"/>
    <w:rsid w:val="607246D5"/>
    <w:rsid w:val="60803296"/>
    <w:rsid w:val="6091374F"/>
    <w:rsid w:val="60924BD2"/>
    <w:rsid w:val="60963569"/>
    <w:rsid w:val="609B0CCE"/>
    <w:rsid w:val="60A07495"/>
    <w:rsid w:val="60A71781"/>
    <w:rsid w:val="60AB1FDD"/>
    <w:rsid w:val="60B3541A"/>
    <w:rsid w:val="60B60A66"/>
    <w:rsid w:val="60B90E3C"/>
    <w:rsid w:val="60B96062"/>
    <w:rsid w:val="60CE7237"/>
    <w:rsid w:val="60E43825"/>
    <w:rsid w:val="60EC6236"/>
    <w:rsid w:val="60F55DCC"/>
    <w:rsid w:val="61041715"/>
    <w:rsid w:val="610A2B60"/>
    <w:rsid w:val="610E43FE"/>
    <w:rsid w:val="611F2AAF"/>
    <w:rsid w:val="612E1A85"/>
    <w:rsid w:val="613025C6"/>
    <w:rsid w:val="6142054C"/>
    <w:rsid w:val="6144573B"/>
    <w:rsid w:val="614802E8"/>
    <w:rsid w:val="614B38A4"/>
    <w:rsid w:val="614E6EF1"/>
    <w:rsid w:val="614F2E34"/>
    <w:rsid w:val="61504A17"/>
    <w:rsid w:val="615D0EE2"/>
    <w:rsid w:val="61652C2D"/>
    <w:rsid w:val="61653FDE"/>
    <w:rsid w:val="61677770"/>
    <w:rsid w:val="6174350C"/>
    <w:rsid w:val="617C13D5"/>
    <w:rsid w:val="617F52FC"/>
    <w:rsid w:val="61821497"/>
    <w:rsid w:val="618D7A19"/>
    <w:rsid w:val="619743F4"/>
    <w:rsid w:val="619946F7"/>
    <w:rsid w:val="619B774D"/>
    <w:rsid w:val="61A46B11"/>
    <w:rsid w:val="61A84853"/>
    <w:rsid w:val="61A94127"/>
    <w:rsid w:val="61AD7A44"/>
    <w:rsid w:val="61B0037B"/>
    <w:rsid w:val="61B41F22"/>
    <w:rsid w:val="61B72CE8"/>
    <w:rsid w:val="61BC20AC"/>
    <w:rsid w:val="61BF3FDC"/>
    <w:rsid w:val="61BF6CFB"/>
    <w:rsid w:val="61CD16DE"/>
    <w:rsid w:val="61CD250B"/>
    <w:rsid w:val="61D840E6"/>
    <w:rsid w:val="61E82EA1"/>
    <w:rsid w:val="61EC0E0C"/>
    <w:rsid w:val="61EF4230"/>
    <w:rsid w:val="61F23A87"/>
    <w:rsid w:val="61F658B1"/>
    <w:rsid w:val="61FE4473"/>
    <w:rsid w:val="62005130"/>
    <w:rsid w:val="620A1105"/>
    <w:rsid w:val="620C60F7"/>
    <w:rsid w:val="62150C59"/>
    <w:rsid w:val="621C6F59"/>
    <w:rsid w:val="62210161"/>
    <w:rsid w:val="62214605"/>
    <w:rsid w:val="622540F5"/>
    <w:rsid w:val="62255468"/>
    <w:rsid w:val="62255EA3"/>
    <w:rsid w:val="622C222F"/>
    <w:rsid w:val="6238389F"/>
    <w:rsid w:val="623E51B7"/>
    <w:rsid w:val="62505ED4"/>
    <w:rsid w:val="625C04FC"/>
    <w:rsid w:val="625D705F"/>
    <w:rsid w:val="62672E22"/>
    <w:rsid w:val="626A7D5A"/>
    <w:rsid w:val="6270434C"/>
    <w:rsid w:val="62726C0F"/>
    <w:rsid w:val="62726E69"/>
    <w:rsid w:val="62775FD3"/>
    <w:rsid w:val="62966DA1"/>
    <w:rsid w:val="62A0377C"/>
    <w:rsid w:val="62A5047B"/>
    <w:rsid w:val="62B31701"/>
    <w:rsid w:val="62B65FED"/>
    <w:rsid w:val="62B95D4D"/>
    <w:rsid w:val="62BA7CFF"/>
    <w:rsid w:val="62BB6808"/>
    <w:rsid w:val="62C04BFA"/>
    <w:rsid w:val="62CA07F9"/>
    <w:rsid w:val="62E0001C"/>
    <w:rsid w:val="62E01DCA"/>
    <w:rsid w:val="62E178BB"/>
    <w:rsid w:val="62E67C13"/>
    <w:rsid w:val="62F6339C"/>
    <w:rsid w:val="62FB0257"/>
    <w:rsid w:val="6300421A"/>
    <w:rsid w:val="63017765"/>
    <w:rsid w:val="63027431"/>
    <w:rsid w:val="63051831"/>
    <w:rsid w:val="63052056"/>
    <w:rsid w:val="63224191"/>
    <w:rsid w:val="63234719"/>
    <w:rsid w:val="632443AD"/>
    <w:rsid w:val="6330065C"/>
    <w:rsid w:val="633C2A95"/>
    <w:rsid w:val="63406E7E"/>
    <w:rsid w:val="63473BF7"/>
    <w:rsid w:val="634842A3"/>
    <w:rsid w:val="63536A40"/>
    <w:rsid w:val="635A392B"/>
    <w:rsid w:val="635D166D"/>
    <w:rsid w:val="636D4518"/>
    <w:rsid w:val="637146FA"/>
    <w:rsid w:val="63723C35"/>
    <w:rsid w:val="63750765"/>
    <w:rsid w:val="637536E0"/>
    <w:rsid w:val="63771E69"/>
    <w:rsid w:val="637A221F"/>
    <w:rsid w:val="638E1826"/>
    <w:rsid w:val="63936E3D"/>
    <w:rsid w:val="63952BB5"/>
    <w:rsid w:val="639606C7"/>
    <w:rsid w:val="6396316E"/>
    <w:rsid w:val="63A728E8"/>
    <w:rsid w:val="63A95CCE"/>
    <w:rsid w:val="63AC7EFE"/>
    <w:rsid w:val="63AD3417"/>
    <w:rsid w:val="63B364CF"/>
    <w:rsid w:val="63C416EC"/>
    <w:rsid w:val="63D07143"/>
    <w:rsid w:val="63DA4A6C"/>
    <w:rsid w:val="63DB5E63"/>
    <w:rsid w:val="63E43B3C"/>
    <w:rsid w:val="63E63410"/>
    <w:rsid w:val="63E678B4"/>
    <w:rsid w:val="63F27BBE"/>
    <w:rsid w:val="64056B42"/>
    <w:rsid w:val="64097190"/>
    <w:rsid w:val="640B2DAF"/>
    <w:rsid w:val="6411213F"/>
    <w:rsid w:val="641461CF"/>
    <w:rsid w:val="64173638"/>
    <w:rsid w:val="641C136D"/>
    <w:rsid w:val="64254DB6"/>
    <w:rsid w:val="642A77A1"/>
    <w:rsid w:val="642D7291"/>
    <w:rsid w:val="64416052"/>
    <w:rsid w:val="644707D1"/>
    <w:rsid w:val="64476655"/>
    <w:rsid w:val="64540CC2"/>
    <w:rsid w:val="64574CA2"/>
    <w:rsid w:val="6471620A"/>
    <w:rsid w:val="64805613"/>
    <w:rsid w:val="64836EB1"/>
    <w:rsid w:val="648A0240"/>
    <w:rsid w:val="64910560"/>
    <w:rsid w:val="64AA5237"/>
    <w:rsid w:val="64AF7CA6"/>
    <w:rsid w:val="64BF6C21"/>
    <w:rsid w:val="64C8479F"/>
    <w:rsid w:val="64DD4813"/>
    <w:rsid w:val="64E738E4"/>
    <w:rsid w:val="64E831B8"/>
    <w:rsid w:val="64EA6F30"/>
    <w:rsid w:val="64EE6A20"/>
    <w:rsid w:val="64EE74FF"/>
    <w:rsid w:val="64EF2799"/>
    <w:rsid w:val="64F2322D"/>
    <w:rsid w:val="64F30EAE"/>
    <w:rsid w:val="64FA236A"/>
    <w:rsid w:val="64FB738F"/>
    <w:rsid w:val="64FF2CAB"/>
    <w:rsid w:val="65062E64"/>
    <w:rsid w:val="65086257"/>
    <w:rsid w:val="650D6399"/>
    <w:rsid w:val="651A63B0"/>
    <w:rsid w:val="652803FF"/>
    <w:rsid w:val="652B31FC"/>
    <w:rsid w:val="652C749A"/>
    <w:rsid w:val="652C7549"/>
    <w:rsid w:val="652F2B95"/>
    <w:rsid w:val="6530528B"/>
    <w:rsid w:val="65332685"/>
    <w:rsid w:val="653B2D26"/>
    <w:rsid w:val="653F241A"/>
    <w:rsid w:val="65426D6C"/>
    <w:rsid w:val="65442AE4"/>
    <w:rsid w:val="65446953"/>
    <w:rsid w:val="65570171"/>
    <w:rsid w:val="655A756B"/>
    <w:rsid w:val="655D09D0"/>
    <w:rsid w:val="656071F2"/>
    <w:rsid w:val="65607D06"/>
    <w:rsid w:val="6562740E"/>
    <w:rsid w:val="656A2EC7"/>
    <w:rsid w:val="656C2261"/>
    <w:rsid w:val="657872E1"/>
    <w:rsid w:val="658426A5"/>
    <w:rsid w:val="6586009D"/>
    <w:rsid w:val="658630FD"/>
    <w:rsid w:val="65883257"/>
    <w:rsid w:val="65921AA2"/>
    <w:rsid w:val="65931671"/>
    <w:rsid w:val="659812C9"/>
    <w:rsid w:val="659E3545"/>
    <w:rsid w:val="65A610A9"/>
    <w:rsid w:val="65A6554D"/>
    <w:rsid w:val="65AF0E5A"/>
    <w:rsid w:val="65B455A1"/>
    <w:rsid w:val="65C943CD"/>
    <w:rsid w:val="65CB0EC4"/>
    <w:rsid w:val="65D11E9E"/>
    <w:rsid w:val="65D26342"/>
    <w:rsid w:val="65DF570E"/>
    <w:rsid w:val="65E410A1"/>
    <w:rsid w:val="65F060C8"/>
    <w:rsid w:val="65FA4CE2"/>
    <w:rsid w:val="65FD7CC9"/>
    <w:rsid w:val="660256D0"/>
    <w:rsid w:val="660364FC"/>
    <w:rsid w:val="660D1128"/>
    <w:rsid w:val="662D01A1"/>
    <w:rsid w:val="662D5327"/>
    <w:rsid w:val="66440918"/>
    <w:rsid w:val="6644421A"/>
    <w:rsid w:val="664B1C51"/>
    <w:rsid w:val="665705F5"/>
    <w:rsid w:val="665B6338"/>
    <w:rsid w:val="665C3E5E"/>
    <w:rsid w:val="666176C6"/>
    <w:rsid w:val="66663225"/>
    <w:rsid w:val="66730EC8"/>
    <w:rsid w:val="66742F55"/>
    <w:rsid w:val="6682580D"/>
    <w:rsid w:val="6686712D"/>
    <w:rsid w:val="66A80E51"/>
    <w:rsid w:val="66B372A4"/>
    <w:rsid w:val="66B477F6"/>
    <w:rsid w:val="66B76A2F"/>
    <w:rsid w:val="66C27892"/>
    <w:rsid w:val="66CE7446"/>
    <w:rsid w:val="66D03D57"/>
    <w:rsid w:val="66D27547"/>
    <w:rsid w:val="66D82080"/>
    <w:rsid w:val="66D87988"/>
    <w:rsid w:val="66DB4D83"/>
    <w:rsid w:val="66F33A54"/>
    <w:rsid w:val="66F347C2"/>
    <w:rsid w:val="66F45E44"/>
    <w:rsid w:val="66F6096B"/>
    <w:rsid w:val="670C13E0"/>
    <w:rsid w:val="67170997"/>
    <w:rsid w:val="67177D85"/>
    <w:rsid w:val="671B08B7"/>
    <w:rsid w:val="671B5AC7"/>
    <w:rsid w:val="67230174"/>
    <w:rsid w:val="67336F86"/>
    <w:rsid w:val="673E5311"/>
    <w:rsid w:val="674E19F8"/>
    <w:rsid w:val="674E6A5F"/>
    <w:rsid w:val="67580AC9"/>
    <w:rsid w:val="67584625"/>
    <w:rsid w:val="675B5EC3"/>
    <w:rsid w:val="675E23FB"/>
    <w:rsid w:val="67635EC3"/>
    <w:rsid w:val="67640E22"/>
    <w:rsid w:val="67642334"/>
    <w:rsid w:val="67683ED3"/>
    <w:rsid w:val="676A48B2"/>
    <w:rsid w:val="677B2E32"/>
    <w:rsid w:val="67852FFB"/>
    <w:rsid w:val="67864B0F"/>
    <w:rsid w:val="678A24C7"/>
    <w:rsid w:val="67987117"/>
    <w:rsid w:val="679A69EC"/>
    <w:rsid w:val="67A23AF2"/>
    <w:rsid w:val="67A35385"/>
    <w:rsid w:val="67BB219A"/>
    <w:rsid w:val="67BE4C30"/>
    <w:rsid w:val="67C279C8"/>
    <w:rsid w:val="67C717AB"/>
    <w:rsid w:val="67D2662F"/>
    <w:rsid w:val="67E03FD4"/>
    <w:rsid w:val="67E1461B"/>
    <w:rsid w:val="67E61441"/>
    <w:rsid w:val="67EB2D9D"/>
    <w:rsid w:val="67EF7961"/>
    <w:rsid w:val="67FC1454"/>
    <w:rsid w:val="67FD341E"/>
    <w:rsid w:val="680447AD"/>
    <w:rsid w:val="68132276"/>
    <w:rsid w:val="681C38A5"/>
    <w:rsid w:val="68264723"/>
    <w:rsid w:val="68294213"/>
    <w:rsid w:val="682A65AB"/>
    <w:rsid w:val="684150B9"/>
    <w:rsid w:val="684A4CC8"/>
    <w:rsid w:val="6859698E"/>
    <w:rsid w:val="685B2352"/>
    <w:rsid w:val="685C6397"/>
    <w:rsid w:val="68604FE1"/>
    <w:rsid w:val="68606080"/>
    <w:rsid w:val="686A567B"/>
    <w:rsid w:val="68710D40"/>
    <w:rsid w:val="68784FAF"/>
    <w:rsid w:val="687E455F"/>
    <w:rsid w:val="68814437"/>
    <w:rsid w:val="68921DB9"/>
    <w:rsid w:val="6894168D"/>
    <w:rsid w:val="68953657"/>
    <w:rsid w:val="68A5389A"/>
    <w:rsid w:val="68A613C0"/>
    <w:rsid w:val="68A634BD"/>
    <w:rsid w:val="68A6351C"/>
    <w:rsid w:val="68B166E3"/>
    <w:rsid w:val="68B30AFA"/>
    <w:rsid w:val="68B725B5"/>
    <w:rsid w:val="68B7537B"/>
    <w:rsid w:val="68B827A5"/>
    <w:rsid w:val="68BF30F7"/>
    <w:rsid w:val="68C1269E"/>
    <w:rsid w:val="68C53F3C"/>
    <w:rsid w:val="68D83F4F"/>
    <w:rsid w:val="68E401E0"/>
    <w:rsid w:val="68E50A8F"/>
    <w:rsid w:val="68F550CF"/>
    <w:rsid w:val="68F62348"/>
    <w:rsid w:val="68F71C1C"/>
    <w:rsid w:val="691722BE"/>
    <w:rsid w:val="69195B86"/>
    <w:rsid w:val="691E1E82"/>
    <w:rsid w:val="69231B8D"/>
    <w:rsid w:val="69313380"/>
    <w:rsid w:val="693212A4"/>
    <w:rsid w:val="69387195"/>
    <w:rsid w:val="693C6044"/>
    <w:rsid w:val="694312FD"/>
    <w:rsid w:val="69574D0D"/>
    <w:rsid w:val="695C1421"/>
    <w:rsid w:val="69636B68"/>
    <w:rsid w:val="69803193"/>
    <w:rsid w:val="69805038"/>
    <w:rsid w:val="69886D18"/>
    <w:rsid w:val="698A5C37"/>
    <w:rsid w:val="698A6F34"/>
    <w:rsid w:val="698C5E6C"/>
    <w:rsid w:val="698D7175"/>
    <w:rsid w:val="698E5809"/>
    <w:rsid w:val="69990D15"/>
    <w:rsid w:val="699D3E4F"/>
    <w:rsid w:val="69A472EE"/>
    <w:rsid w:val="69AD6846"/>
    <w:rsid w:val="69B34E79"/>
    <w:rsid w:val="69BA15C7"/>
    <w:rsid w:val="69BA3375"/>
    <w:rsid w:val="69BA7EC3"/>
    <w:rsid w:val="69BF6E80"/>
    <w:rsid w:val="69C44DEE"/>
    <w:rsid w:val="69C45FA2"/>
    <w:rsid w:val="69D23E98"/>
    <w:rsid w:val="69D83CC0"/>
    <w:rsid w:val="69E55F18"/>
    <w:rsid w:val="69EA09DE"/>
    <w:rsid w:val="69EC361B"/>
    <w:rsid w:val="69EC619F"/>
    <w:rsid w:val="69EF7FDC"/>
    <w:rsid w:val="69F50456"/>
    <w:rsid w:val="69F50773"/>
    <w:rsid w:val="69F61ED3"/>
    <w:rsid w:val="69F85C4B"/>
    <w:rsid w:val="69FF6FDA"/>
    <w:rsid w:val="6A0B094C"/>
    <w:rsid w:val="6A10568B"/>
    <w:rsid w:val="6A1707C7"/>
    <w:rsid w:val="6A2151A2"/>
    <w:rsid w:val="6A277C2D"/>
    <w:rsid w:val="6A331379"/>
    <w:rsid w:val="6A334ED5"/>
    <w:rsid w:val="6A335B37"/>
    <w:rsid w:val="6A355AC5"/>
    <w:rsid w:val="6A4D18A0"/>
    <w:rsid w:val="6A57516F"/>
    <w:rsid w:val="6A5F5CCB"/>
    <w:rsid w:val="6A6432E1"/>
    <w:rsid w:val="6A6B28C1"/>
    <w:rsid w:val="6A6F4E58"/>
    <w:rsid w:val="6A6F9357"/>
    <w:rsid w:val="6A7F45BF"/>
    <w:rsid w:val="6A835E5D"/>
    <w:rsid w:val="6A8D7F63"/>
    <w:rsid w:val="6A941E18"/>
    <w:rsid w:val="6A9D6957"/>
    <w:rsid w:val="6AA81420"/>
    <w:rsid w:val="6AA858C3"/>
    <w:rsid w:val="6AA95198"/>
    <w:rsid w:val="6AAD6A36"/>
    <w:rsid w:val="6AB02619"/>
    <w:rsid w:val="6ABD7B87"/>
    <w:rsid w:val="6ABF6769"/>
    <w:rsid w:val="6AC07854"/>
    <w:rsid w:val="6AC452B5"/>
    <w:rsid w:val="6AC464A9"/>
    <w:rsid w:val="6AC71B91"/>
    <w:rsid w:val="6AC76468"/>
    <w:rsid w:val="6ACB3360"/>
    <w:rsid w:val="6AD46F87"/>
    <w:rsid w:val="6AD6641A"/>
    <w:rsid w:val="6AD7673F"/>
    <w:rsid w:val="6AE35CA9"/>
    <w:rsid w:val="6AE54422"/>
    <w:rsid w:val="6AF1726A"/>
    <w:rsid w:val="6AF24D91"/>
    <w:rsid w:val="6AF6662F"/>
    <w:rsid w:val="6AFD60AF"/>
    <w:rsid w:val="6AFD7E4E"/>
    <w:rsid w:val="6AFE3DEE"/>
    <w:rsid w:val="6B0068C8"/>
    <w:rsid w:val="6B15282D"/>
    <w:rsid w:val="6B18016C"/>
    <w:rsid w:val="6B182CAB"/>
    <w:rsid w:val="6B1B2D75"/>
    <w:rsid w:val="6B1F54D1"/>
    <w:rsid w:val="6B20071F"/>
    <w:rsid w:val="6B225676"/>
    <w:rsid w:val="6B23319C"/>
    <w:rsid w:val="6B234F4A"/>
    <w:rsid w:val="6B2A2079"/>
    <w:rsid w:val="6B302EEA"/>
    <w:rsid w:val="6B376C47"/>
    <w:rsid w:val="6B3D03FA"/>
    <w:rsid w:val="6B4355EC"/>
    <w:rsid w:val="6B455E14"/>
    <w:rsid w:val="6B4B1181"/>
    <w:rsid w:val="6B4B32FC"/>
    <w:rsid w:val="6B513865"/>
    <w:rsid w:val="6B5C50EF"/>
    <w:rsid w:val="6B602461"/>
    <w:rsid w:val="6B633598"/>
    <w:rsid w:val="6B657311"/>
    <w:rsid w:val="6B6A3F97"/>
    <w:rsid w:val="6B6B59FE"/>
    <w:rsid w:val="6B7E4876"/>
    <w:rsid w:val="6B811345"/>
    <w:rsid w:val="6B826114"/>
    <w:rsid w:val="6B8770E2"/>
    <w:rsid w:val="6B89425E"/>
    <w:rsid w:val="6B8A60D7"/>
    <w:rsid w:val="6B8C6F93"/>
    <w:rsid w:val="6B990ACD"/>
    <w:rsid w:val="6B9C105F"/>
    <w:rsid w:val="6BB0579D"/>
    <w:rsid w:val="6BB30B03"/>
    <w:rsid w:val="6BB80CA4"/>
    <w:rsid w:val="6BBF2EC5"/>
    <w:rsid w:val="6BC2713F"/>
    <w:rsid w:val="6BCA3618"/>
    <w:rsid w:val="6BCB6B4F"/>
    <w:rsid w:val="6BCF16EA"/>
    <w:rsid w:val="6BCF2225"/>
    <w:rsid w:val="6BD02607"/>
    <w:rsid w:val="6BD17018"/>
    <w:rsid w:val="6BDA7CFF"/>
    <w:rsid w:val="6BDC273D"/>
    <w:rsid w:val="6BE1298B"/>
    <w:rsid w:val="6BE75F78"/>
    <w:rsid w:val="6BF04907"/>
    <w:rsid w:val="6BF16A36"/>
    <w:rsid w:val="6BF40694"/>
    <w:rsid w:val="6BFF5721"/>
    <w:rsid w:val="6C004EC7"/>
    <w:rsid w:val="6C487BFE"/>
    <w:rsid w:val="6C5555D7"/>
    <w:rsid w:val="6C5C4BB7"/>
    <w:rsid w:val="6C691082"/>
    <w:rsid w:val="6C7517D5"/>
    <w:rsid w:val="6C764577"/>
    <w:rsid w:val="6C7812C6"/>
    <w:rsid w:val="6C7F38E2"/>
    <w:rsid w:val="6C956735"/>
    <w:rsid w:val="6C975BF0"/>
    <w:rsid w:val="6CC07BA4"/>
    <w:rsid w:val="6CC10EBE"/>
    <w:rsid w:val="6CC16737"/>
    <w:rsid w:val="6CD6760D"/>
    <w:rsid w:val="6CD76BF3"/>
    <w:rsid w:val="6CE32154"/>
    <w:rsid w:val="6CE4764C"/>
    <w:rsid w:val="6CE67AD3"/>
    <w:rsid w:val="6CED3874"/>
    <w:rsid w:val="6CF23BAC"/>
    <w:rsid w:val="6D097972"/>
    <w:rsid w:val="6D185B70"/>
    <w:rsid w:val="6D231231"/>
    <w:rsid w:val="6D2935CA"/>
    <w:rsid w:val="6D2C27DC"/>
    <w:rsid w:val="6D3523E6"/>
    <w:rsid w:val="6D3E58DE"/>
    <w:rsid w:val="6D401DE3"/>
    <w:rsid w:val="6D417909"/>
    <w:rsid w:val="6D45564C"/>
    <w:rsid w:val="6D4B0376"/>
    <w:rsid w:val="6D4F2CE1"/>
    <w:rsid w:val="6D570805"/>
    <w:rsid w:val="6D5835D1"/>
    <w:rsid w:val="6D5D025E"/>
    <w:rsid w:val="6D5F7BD0"/>
    <w:rsid w:val="6D632B13"/>
    <w:rsid w:val="6D750642"/>
    <w:rsid w:val="6D763A57"/>
    <w:rsid w:val="6D7F1D34"/>
    <w:rsid w:val="6D8C4CB1"/>
    <w:rsid w:val="6D967C55"/>
    <w:rsid w:val="6D97327A"/>
    <w:rsid w:val="6D9EADDF"/>
    <w:rsid w:val="6DA40692"/>
    <w:rsid w:val="6DA53394"/>
    <w:rsid w:val="6DAB525F"/>
    <w:rsid w:val="6DAF51EE"/>
    <w:rsid w:val="6DB8BAD5"/>
    <w:rsid w:val="6DBD5DAC"/>
    <w:rsid w:val="6DDC5F6A"/>
    <w:rsid w:val="6DDD7632"/>
    <w:rsid w:val="6DF350A8"/>
    <w:rsid w:val="6DF52167"/>
    <w:rsid w:val="6DF94C23"/>
    <w:rsid w:val="6E003D2F"/>
    <w:rsid w:val="6E030604"/>
    <w:rsid w:val="6E0818DD"/>
    <w:rsid w:val="6E096679"/>
    <w:rsid w:val="6E0D1501"/>
    <w:rsid w:val="6E192634"/>
    <w:rsid w:val="6E1A3411"/>
    <w:rsid w:val="6E22598D"/>
    <w:rsid w:val="6E2A25F5"/>
    <w:rsid w:val="6E2B6812"/>
    <w:rsid w:val="6E3B6A4F"/>
    <w:rsid w:val="6E3D5707"/>
    <w:rsid w:val="6E4072A5"/>
    <w:rsid w:val="6E4A0A40"/>
    <w:rsid w:val="6E4E0530"/>
    <w:rsid w:val="6E520F8B"/>
    <w:rsid w:val="6E602011"/>
    <w:rsid w:val="6E70494A"/>
    <w:rsid w:val="6E810905"/>
    <w:rsid w:val="6E8201DA"/>
    <w:rsid w:val="6E8415C0"/>
    <w:rsid w:val="6E843F52"/>
    <w:rsid w:val="6E887FC1"/>
    <w:rsid w:val="6E91666F"/>
    <w:rsid w:val="6E927817"/>
    <w:rsid w:val="6E9A4C81"/>
    <w:rsid w:val="6E9B274D"/>
    <w:rsid w:val="6EA42EF0"/>
    <w:rsid w:val="6EAD16FA"/>
    <w:rsid w:val="6EB20ABF"/>
    <w:rsid w:val="6EB32A89"/>
    <w:rsid w:val="6EB56801"/>
    <w:rsid w:val="6EBD5CD8"/>
    <w:rsid w:val="6EBE3907"/>
    <w:rsid w:val="6EBE56B6"/>
    <w:rsid w:val="6ED70525"/>
    <w:rsid w:val="6EDC3D8E"/>
    <w:rsid w:val="6EE3511C"/>
    <w:rsid w:val="6EE73E73"/>
    <w:rsid w:val="6EED22BE"/>
    <w:rsid w:val="6EF015E7"/>
    <w:rsid w:val="6EF530A1"/>
    <w:rsid w:val="6EFA4403"/>
    <w:rsid w:val="6F07345E"/>
    <w:rsid w:val="6F0C38E6"/>
    <w:rsid w:val="6F141779"/>
    <w:rsid w:val="6F142651"/>
    <w:rsid w:val="6F1569AF"/>
    <w:rsid w:val="6F166269"/>
    <w:rsid w:val="6F2B2472"/>
    <w:rsid w:val="6F2D6397"/>
    <w:rsid w:val="6F321C00"/>
    <w:rsid w:val="6F6406E9"/>
    <w:rsid w:val="6F650C04"/>
    <w:rsid w:val="6F6B5112"/>
    <w:rsid w:val="6F6D0E8A"/>
    <w:rsid w:val="6F7A6D33"/>
    <w:rsid w:val="6F7D4C80"/>
    <w:rsid w:val="6F7E218C"/>
    <w:rsid w:val="6F891B0C"/>
    <w:rsid w:val="6F8B3687"/>
    <w:rsid w:val="6F981D28"/>
    <w:rsid w:val="6F9E0F9D"/>
    <w:rsid w:val="6FA22140"/>
    <w:rsid w:val="6FA7614A"/>
    <w:rsid w:val="6FAB6177"/>
    <w:rsid w:val="6FB33702"/>
    <w:rsid w:val="6FB6D50D"/>
    <w:rsid w:val="6FC14D32"/>
    <w:rsid w:val="6FC368ED"/>
    <w:rsid w:val="6FCA12D5"/>
    <w:rsid w:val="6FDD7DBD"/>
    <w:rsid w:val="6FE56C72"/>
    <w:rsid w:val="6FE60753"/>
    <w:rsid w:val="6FE742DF"/>
    <w:rsid w:val="6FFEB4F5"/>
    <w:rsid w:val="7001275A"/>
    <w:rsid w:val="700D583A"/>
    <w:rsid w:val="7016507D"/>
    <w:rsid w:val="701C7B11"/>
    <w:rsid w:val="70282405"/>
    <w:rsid w:val="703244E4"/>
    <w:rsid w:val="7035300B"/>
    <w:rsid w:val="70495C48"/>
    <w:rsid w:val="704E5B5D"/>
    <w:rsid w:val="70593DDE"/>
    <w:rsid w:val="705A50E3"/>
    <w:rsid w:val="705F4C76"/>
    <w:rsid w:val="706E34F0"/>
    <w:rsid w:val="706E4EB9"/>
    <w:rsid w:val="70730722"/>
    <w:rsid w:val="70734297"/>
    <w:rsid w:val="707513EF"/>
    <w:rsid w:val="70765B1C"/>
    <w:rsid w:val="707A7B96"/>
    <w:rsid w:val="7087270D"/>
    <w:rsid w:val="708F0EB6"/>
    <w:rsid w:val="708F1C17"/>
    <w:rsid w:val="70932B72"/>
    <w:rsid w:val="70981F36"/>
    <w:rsid w:val="709A58ED"/>
    <w:rsid w:val="70A02B99"/>
    <w:rsid w:val="70A944DF"/>
    <w:rsid w:val="70AE0FF7"/>
    <w:rsid w:val="70B2375B"/>
    <w:rsid w:val="70B328CC"/>
    <w:rsid w:val="70B55D22"/>
    <w:rsid w:val="70B707BE"/>
    <w:rsid w:val="70C37692"/>
    <w:rsid w:val="70E46F2A"/>
    <w:rsid w:val="70E742BE"/>
    <w:rsid w:val="70E943A6"/>
    <w:rsid w:val="70EA3F44"/>
    <w:rsid w:val="70EE3C7B"/>
    <w:rsid w:val="70FE3D0E"/>
    <w:rsid w:val="70FF1FB5"/>
    <w:rsid w:val="71012EC7"/>
    <w:rsid w:val="71072108"/>
    <w:rsid w:val="71094BE2"/>
    <w:rsid w:val="710C022E"/>
    <w:rsid w:val="711F61B4"/>
    <w:rsid w:val="71233EF6"/>
    <w:rsid w:val="712D4496"/>
    <w:rsid w:val="712E54BC"/>
    <w:rsid w:val="71325EE7"/>
    <w:rsid w:val="71332AA2"/>
    <w:rsid w:val="713906D7"/>
    <w:rsid w:val="713C7877"/>
    <w:rsid w:val="713CDA89"/>
    <w:rsid w:val="714329E1"/>
    <w:rsid w:val="71447D68"/>
    <w:rsid w:val="714510B8"/>
    <w:rsid w:val="71494462"/>
    <w:rsid w:val="716342F2"/>
    <w:rsid w:val="71665B90"/>
    <w:rsid w:val="716A02AC"/>
    <w:rsid w:val="71704C61"/>
    <w:rsid w:val="717E136C"/>
    <w:rsid w:val="71862C3F"/>
    <w:rsid w:val="71870FD3"/>
    <w:rsid w:val="718B3849"/>
    <w:rsid w:val="71926986"/>
    <w:rsid w:val="71956476"/>
    <w:rsid w:val="71960412"/>
    <w:rsid w:val="71973F9C"/>
    <w:rsid w:val="71990A81"/>
    <w:rsid w:val="719E1C80"/>
    <w:rsid w:val="71A212BE"/>
    <w:rsid w:val="71A628FF"/>
    <w:rsid w:val="71B122B9"/>
    <w:rsid w:val="71B2527A"/>
    <w:rsid w:val="71B32923"/>
    <w:rsid w:val="71BE5E29"/>
    <w:rsid w:val="71C03B31"/>
    <w:rsid w:val="71D4762D"/>
    <w:rsid w:val="71D90A58"/>
    <w:rsid w:val="71E13469"/>
    <w:rsid w:val="71E62BB6"/>
    <w:rsid w:val="71E8328E"/>
    <w:rsid w:val="71EC6FEF"/>
    <w:rsid w:val="71F519FE"/>
    <w:rsid w:val="71F87130"/>
    <w:rsid w:val="71FC5723"/>
    <w:rsid w:val="71FD4747"/>
    <w:rsid w:val="72071122"/>
    <w:rsid w:val="721F290F"/>
    <w:rsid w:val="72203F91"/>
    <w:rsid w:val="72227D09"/>
    <w:rsid w:val="722F03E4"/>
    <w:rsid w:val="7238577F"/>
    <w:rsid w:val="72451C4A"/>
    <w:rsid w:val="72453B73"/>
    <w:rsid w:val="724600E8"/>
    <w:rsid w:val="724E5C23"/>
    <w:rsid w:val="72510FB8"/>
    <w:rsid w:val="725232C2"/>
    <w:rsid w:val="725400DF"/>
    <w:rsid w:val="72565C05"/>
    <w:rsid w:val="7258372B"/>
    <w:rsid w:val="72583FC5"/>
    <w:rsid w:val="725943B7"/>
    <w:rsid w:val="726447C6"/>
    <w:rsid w:val="726C71D7"/>
    <w:rsid w:val="726F75AB"/>
    <w:rsid w:val="728C7B94"/>
    <w:rsid w:val="72916C3D"/>
    <w:rsid w:val="729D1A86"/>
    <w:rsid w:val="72A008BC"/>
    <w:rsid w:val="72A050D2"/>
    <w:rsid w:val="72A14F9D"/>
    <w:rsid w:val="72A357E8"/>
    <w:rsid w:val="72A76EFF"/>
    <w:rsid w:val="72A921D9"/>
    <w:rsid w:val="72AB5F51"/>
    <w:rsid w:val="72B166CF"/>
    <w:rsid w:val="72BA0857"/>
    <w:rsid w:val="72BA43E6"/>
    <w:rsid w:val="72C2329A"/>
    <w:rsid w:val="72CE4243"/>
    <w:rsid w:val="72D24413"/>
    <w:rsid w:val="72E90827"/>
    <w:rsid w:val="72F336D6"/>
    <w:rsid w:val="72F35B4A"/>
    <w:rsid w:val="72F47912"/>
    <w:rsid w:val="72FB105B"/>
    <w:rsid w:val="730D09BA"/>
    <w:rsid w:val="730F406D"/>
    <w:rsid w:val="731068D5"/>
    <w:rsid w:val="73156AD2"/>
    <w:rsid w:val="731629DD"/>
    <w:rsid w:val="731A30D6"/>
    <w:rsid w:val="7322594F"/>
    <w:rsid w:val="73264B39"/>
    <w:rsid w:val="732E4873"/>
    <w:rsid w:val="73353292"/>
    <w:rsid w:val="7337299A"/>
    <w:rsid w:val="733C4DFB"/>
    <w:rsid w:val="73415919"/>
    <w:rsid w:val="734F0FD2"/>
    <w:rsid w:val="73530396"/>
    <w:rsid w:val="73547888"/>
    <w:rsid w:val="735E37BE"/>
    <w:rsid w:val="736B748E"/>
    <w:rsid w:val="73740A39"/>
    <w:rsid w:val="7374357B"/>
    <w:rsid w:val="73774819"/>
    <w:rsid w:val="737B05C6"/>
    <w:rsid w:val="737C169B"/>
    <w:rsid w:val="73892FCE"/>
    <w:rsid w:val="738F7C61"/>
    <w:rsid w:val="73916535"/>
    <w:rsid w:val="73920450"/>
    <w:rsid w:val="73A62DCA"/>
    <w:rsid w:val="73A66718"/>
    <w:rsid w:val="73AB1B34"/>
    <w:rsid w:val="73B2030A"/>
    <w:rsid w:val="73B662BA"/>
    <w:rsid w:val="73C44DF0"/>
    <w:rsid w:val="73CB617F"/>
    <w:rsid w:val="73CC2623"/>
    <w:rsid w:val="73D00083"/>
    <w:rsid w:val="73D239B1"/>
    <w:rsid w:val="73DA4BFF"/>
    <w:rsid w:val="73DE5EB2"/>
    <w:rsid w:val="73E61789"/>
    <w:rsid w:val="73F33269"/>
    <w:rsid w:val="73FB5333"/>
    <w:rsid w:val="74086EB5"/>
    <w:rsid w:val="74123DAE"/>
    <w:rsid w:val="741527AA"/>
    <w:rsid w:val="7428537F"/>
    <w:rsid w:val="742B77FD"/>
    <w:rsid w:val="742F2BB2"/>
    <w:rsid w:val="743401C8"/>
    <w:rsid w:val="744B016B"/>
    <w:rsid w:val="744F39DE"/>
    <w:rsid w:val="745B42EE"/>
    <w:rsid w:val="745C2414"/>
    <w:rsid w:val="7460720F"/>
    <w:rsid w:val="746B2301"/>
    <w:rsid w:val="746F7452"/>
    <w:rsid w:val="747C1FF1"/>
    <w:rsid w:val="747F7695"/>
    <w:rsid w:val="748B1E4C"/>
    <w:rsid w:val="748C3B60"/>
    <w:rsid w:val="748E1122"/>
    <w:rsid w:val="74921B4E"/>
    <w:rsid w:val="74A02644"/>
    <w:rsid w:val="74A440A5"/>
    <w:rsid w:val="74A7193D"/>
    <w:rsid w:val="74A94712"/>
    <w:rsid w:val="74AF72A0"/>
    <w:rsid w:val="74B310ED"/>
    <w:rsid w:val="74B4482B"/>
    <w:rsid w:val="74B51309"/>
    <w:rsid w:val="74B530B7"/>
    <w:rsid w:val="74B609F1"/>
    <w:rsid w:val="74B667A2"/>
    <w:rsid w:val="74C57072"/>
    <w:rsid w:val="74D63FB1"/>
    <w:rsid w:val="74DB6895"/>
    <w:rsid w:val="74DC6530"/>
    <w:rsid w:val="74E53270"/>
    <w:rsid w:val="74EB6AD9"/>
    <w:rsid w:val="74F067D2"/>
    <w:rsid w:val="75082123"/>
    <w:rsid w:val="75134281"/>
    <w:rsid w:val="751653F3"/>
    <w:rsid w:val="75171D00"/>
    <w:rsid w:val="75175B20"/>
    <w:rsid w:val="751C3136"/>
    <w:rsid w:val="751E7BDB"/>
    <w:rsid w:val="75332791"/>
    <w:rsid w:val="753A180E"/>
    <w:rsid w:val="753D433F"/>
    <w:rsid w:val="75436C4C"/>
    <w:rsid w:val="754513F9"/>
    <w:rsid w:val="754C51FF"/>
    <w:rsid w:val="755F0638"/>
    <w:rsid w:val="75610BAE"/>
    <w:rsid w:val="75640639"/>
    <w:rsid w:val="7564688B"/>
    <w:rsid w:val="75727F48"/>
    <w:rsid w:val="757A7E5C"/>
    <w:rsid w:val="757E792B"/>
    <w:rsid w:val="75892461"/>
    <w:rsid w:val="759E3B4B"/>
    <w:rsid w:val="75A1363B"/>
    <w:rsid w:val="75A20320"/>
    <w:rsid w:val="75A41B02"/>
    <w:rsid w:val="75A5137D"/>
    <w:rsid w:val="75A62ECA"/>
    <w:rsid w:val="75D1107C"/>
    <w:rsid w:val="75E77165"/>
    <w:rsid w:val="75EC30C0"/>
    <w:rsid w:val="75ED4AD2"/>
    <w:rsid w:val="75EE59E0"/>
    <w:rsid w:val="75F96FD3"/>
    <w:rsid w:val="75FD0222"/>
    <w:rsid w:val="760360A4"/>
    <w:rsid w:val="76085468"/>
    <w:rsid w:val="760B4F58"/>
    <w:rsid w:val="761445B6"/>
    <w:rsid w:val="76201C02"/>
    <w:rsid w:val="76203748"/>
    <w:rsid w:val="76215A7B"/>
    <w:rsid w:val="7625601A"/>
    <w:rsid w:val="762C5820"/>
    <w:rsid w:val="76364CFF"/>
    <w:rsid w:val="76396F44"/>
    <w:rsid w:val="764A2792"/>
    <w:rsid w:val="764A5A81"/>
    <w:rsid w:val="765311AA"/>
    <w:rsid w:val="76554432"/>
    <w:rsid w:val="765661D4"/>
    <w:rsid w:val="766736F0"/>
    <w:rsid w:val="766A7ED1"/>
    <w:rsid w:val="766C541A"/>
    <w:rsid w:val="7680271B"/>
    <w:rsid w:val="768A639E"/>
    <w:rsid w:val="768F16E6"/>
    <w:rsid w:val="7691545E"/>
    <w:rsid w:val="769E2278"/>
    <w:rsid w:val="76A41635"/>
    <w:rsid w:val="76AA4771"/>
    <w:rsid w:val="76AE4262"/>
    <w:rsid w:val="76B7623E"/>
    <w:rsid w:val="76BA05D5"/>
    <w:rsid w:val="76CD0A00"/>
    <w:rsid w:val="76DA59FC"/>
    <w:rsid w:val="76EB7264"/>
    <w:rsid w:val="76EE4E49"/>
    <w:rsid w:val="76F23FB2"/>
    <w:rsid w:val="76F85A8F"/>
    <w:rsid w:val="77035204"/>
    <w:rsid w:val="77063465"/>
    <w:rsid w:val="77101FB4"/>
    <w:rsid w:val="771204C8"/>
    <w:rsid w:val="77155E66"/>
    <w:rsid w:val="77161E07"/>
    <w:rsid w:val="771D6B9E"/>
    <w:rsid w:val="771D769B"/>
    <w:rsid w:val="772269FE"/>
    <w:rsid w:val="77242776"/>
    <w:rsid w:val="772E53A2"/>
    <w:rsid w:val="7736A09E"/>
    <w:rsid w:val="773B4CB7"/>
    <w:rsid w:val="773F4EBA"/>
    <w:rsid w:val="7741666C"/>
    <w:rsid w:val="77512E3F"/>
    <w:rsid w:val="77521091"/>
    <w:rsid w:val="775832D0"/>
    <w:rsid w:val="77660698"/>
    <w:rsid w:val="776B5CAF"/>
    <w:rsid w:val="778C451F"/>
    <w:rsid w:val="779571D0"/>
    <w:rsid w:val="77968519"/>
    <w:rsid w:val="779E7A28"/>
    <w:rsid w:val="779F1DFC"/>
    <w:rsid w:val="77A67F76"/>
    <w:rsid w:val="77A776C6"/>
    <w:rsid w:val="77B51620"/>
    <w:rsid w:val="77B91110"/>
    <w:rsid w:val="77BE5534"/>
    <w:rsid w:val="77BF249E"/>
    <w:rsid w:val="77BF5FFA"/>
    <w:rsid w:val="77C0607A"/>
    <w:rsid w:val="77C6382D"/>
    <w:rsid w:val="77C70696"/>
    <w:rsid w:val="77CD6E7D"/>
    <w:rsid w:val="77D9530E"/>
    <w:rsid w:val="77E74B0A"/>
    <w:rsid w:val="77EBA019"/>
    <w:rsid w:val="77ED700C"/>
    <w:rsid w:val="77FC2DAB"/>
    <w:rsid w:val="77FE05AA"/>
    <w:rsid w:val="77FE11B8"/>
    <w:rsid w:val="77FE2097"/>
    <w:rsid w:val="780600CD"/>
    <w:rsid w:val="78127685"/>
    <w:rsid w:val="78132251"/>
    <w:rsid w:val="78142BDA"/>
    <w:rsid w:val="781721DA"/>
    <w:rsid w:val="78221022"/>
    <w:rsid w:val="78232A2D"/>
    <w:rsid w:val="783469E8"/>
    <w:rsid w:val="78395DAD"/>
    <w:rsid w:val="783B1B25"/>
    <w:rsid w:val="783C5CF3"/>
    <w:rsid w:val="78451B36"/>
    <w:rsid w:val="7847671C"/>
    <w:rsid w:val="78477441"/>
    <w:rsid w:val="78483ADB"/>
    <w:rsid w:val="784A6D88"/>
    <w:rsid w:val="784D7AAA"/>
    <w:rsid w:val="78534D35"/>
    <w:rsid w:val="78543BAB"/>
    <w:rsid w:val="785726D7"/>
    <w:rsid w:val="78591FAB"/>
    <w:rsid w:val="785C267B"/>
    <w:rsid w:val="7863228B"/>
    <w:rsid w:val="78697682"/>
    <w:rsid w:val="786B7F9B"/>
    <w:rsid w:val="78762BC0"/>
    <w:rsid w:val="78774B27"/>
    <w:rsid w:val="787A6CB8"/>
    <w:rsid w:val="788039DC"/>
    <w:rsid w:val="78811822"/>
    <w:rsid w:val="788A2AAC"/>
    <w:rsid w:val="788C4F59"/>
    <w:rsid w:val="788F730C"/>
    <w:rsid w:val="7897481C"/>
    <w:rsid w:val="789833E9"/>
    <w:rsid w:val="789E5938"/>
    <w:rsid w:val="78A23447"/>
    <w:rsid w:val="78A243A3"/>
    <w:rsid w:val="78A376CA"/>
    <w:rsid w:val="78AF42C1"/>
    <w:rsid w:val="78B52D58"/>
    <w:rsid w:val="78BB1252"/>
    <w:rsid w:val="78CE50F2"/>
    <w:rsid w:val="78E24696"/>
    <w:rsid w:val="78E4100C"/>
    <w:rsid w:val="78EA354B"/>
    <w:rsid w:val="78ED1061"/>
    <w:rsid w:val="78F47318"/>
    <w:rsid w:val="78FC593C"/>
    <w:rsid w:val="78FD327E"/>
    <w:rsid w:val="78FF6F31"/>
    <w:rsid w:val="78FF6FF6"/>
    <w:rsid w:val="79022643"/>
    <w:rsid w:val="791213DA"/>
    <w:rsid w:val="791A38D8"/>
    <w:rsid w:val="792F0F5E"/>
    <w:rsid w:val="794A5111"/>
    <w:rsid w:val="7951722A"/>
    <w:rsid w:val="79532FE0"/>
    <w:rsid w:val="79544C2A"/>
    <w:rsid w:val="795A247F"/>
    <w:rsid w:val="795D5DD7"/>
    <w:rsid w:val="79641194"/>
    <w:rsid w:val="79682261"/>
    <w:rsid w:val="79695006"/>
    <w:rsid w:val="797352EE"/>
    <w:rsid w:val="79764400"/>
    <w:rsid w:val="79803B9B"/>
    <w:rsid w:val="79936006"/>
    <w:rsid w:val="79984D55"/>
    <w:rsid w:val="799D05BD"/>
    <w:rsid w:val="79A90FEB"/>
    <w:rsid w:val="79AD6A52"/>
    <w:rsid w:val="79B160B4"/>
    <w:rsid w:val="79C1729C"/>
    <w:rsid w:val="79C30024"/>
    <w:rsid w:val="79E6015D"/>
    <w:rsid w:val="79E7CDB7"/>
    <w:rsid w:val="79F37FC4"/>
    <w:rsid w:val="79F91CC2"/>
    <w:rsid w:val="79FA77BE"/>
    <w:rsid w:val="79FD24C6"/>
    <w:rsid w:val="79FD2E0A"/>
    <w:rsid w:val="7A044199"/>
    <w:rsid w:val="7A1351CA"/>
    <w:rsid w:val="7A140880"/>
    <w:rsid w:val="7A166948"/>
    <w:rsid w:val="7A1A1CD6"/>
    <w:rsid w:val="7A1F2F7E"/>
    <w:rsid w:val="7A2D7B93"/>
    <w:rsid w:val="7A2F56B9"/>
    <w:rsid w:val="7A340F22"/>
    <w:rsid w:val="7A37631C"/>
    <w:rsid w:val="7A411927"/>
    <w:rsid w:val="7A416774"/>
    <w:rsid w:val="7A47723D"/>
    <w:rsid w:val="7A4B7DD7"/>
    <w:rsid w:val="7A4E3666"/>
    <w:rsid w:val="7A4F2E65"/>
    <w:rsid w:val="7A5B64AE"/>
    <w:rsid w:val="7A5E5F9F"/>
    <w:rsid w:val="7A621C68"/>
    <w:rsid w:val="7A665A7A"/>
    <w:rsid w:val="7A797CFC"/>
    <w:rsid w:val="7A80166B"/>
    <w:rsid w:val="7A810926"/>
    <w:rsid w:val="7A910122"/>
    <w:rsid w:val="7A9C2623"/>
    <w:rsid w:val="7AA41D6D"/>
    <w:rsid w:val="7AB12572"/>
    <w:rsid w:val="7AB931D5"/>
    <w:rsid w:val="7ACC2F08"/>
    <w:rsid w:val="7ACF47A6"/>
    <w:rsid w:val="7AD149C3"/>
    <w:rsid w:val="7AD53BBF"/>
    <w:rsid w:val="7AD95625"/>
    <w:rsid w:val="7AE71AF0"/>
    <w:rsid w:val="7AF144E1"/>
    <w:rsid w:val="7AFE5D56"/>
    <w:rsid w:val="7B0A078E"/>
    <w:rsid w:val="7B0E7B94"/>
    <w:rsid w:val="7B0F057F"/>
    <w:rsid w:val="7B0F3A72"/>
    <w:rsid w:val="7B1A0118"/>
    <w:rsid w:val="7B272834"/>
    <w:rsid w:val="7B2F59D6"/>
    <w:rsid w:val="7B3665D4"/>
    <w:rsid w:val="7B38059E"/>
    <w:rsid w:val="7B382E96"/>
    <w:rsid w:val="7B3B22BD"/>
    <w:rsid w:val="7B3C1F59"/>
    <w:rsid w:val="7B3D0369"/>
    <w:rsid w:val="7B42603F"/>
    <w:rsid w:val="7B43081E"/>
    <w:rsid w:val="7B4C27D2"/>
    <w:rsid w:val="7B4F7695"/>
    <w:rsid w:val="7B533629"/>
    <w:rsid w:val="7B5443BC"/>
    <w:rsid w:val="7B5F43D9"/>
    <w:rsid w:val="7B5F609E"/>
    <w:rsid w:val="7B700883"/>
    <w:rsid w:val="7B7010B5"/>
    <w:rsid w:val="7B713AB0"/>
    <w:rsid w:val="7B75534E"/>
    <w:rsid w:val="7B7D1079"/>
    <w:rsid w:val="7B8B7F0A"/>
    <w:rsid w:val="7B8E0029"/>
    <w:rsid w:val="7B8E114F"/>
    <w:rsid w:val="7B902188"/>
    <w:rsid w:val="7B933A26"/>
    <w:rsid w:val="7BA06143"/>
    <w:rsid w:val="7BA245FB"/>
    <w:rsid w:val="7BA619AB"/>
    <w:rsid w:val="7BAB467E"/>
    <w:rsid w:val="7BAE260E"/>
    <w:rsid w:val="7BB06EA1"/>
    <w:rsid w:val="7BB3B1EC"/>
    <w:rsid w:val="7BBA7205"/>
    <w:rsid w:val="7BBD0AA3"/>
    <w:rsid w:val="7BC81F33"/>
    <w:rsid w:val="7BCC76A8"/>
    <w:rsid w:val="7BD06A28"/>
    <w:rsid w:val="7BD229EC"/>
    <w:rsid w:val="7BD81D81"/>
    <w:rsid w:val="7BE11BCC"/>
    <w:rsid w:val="7BE20509"/>
    <w:rsid w:val="7BE2675B"/>
    <w:rsid w:val="7BE477A1"/>
    <w:rsid w:val="7BF5648F"/>
    <w:rsid w:val="7BF70459"/>
    <w:rsid w:val="7BF87D2D"/>
    <w:rsid w:val="7BFD0EBA"/>
    <w:rsid w:val="7C077F70"/>
    <w:rsid w:val="7C0C3ED0"/>
    <w:rsid w:val="7C1E5A4B"/>
    <w:rsid w:val="7C250561"/>
    <w:rsid w:val="7C257112"/>
    <w:rsid w:val="7C43572E"/>
    <w:rsid w:val="7C4729A7"/>
    <w:rsid w:val="7C4A1CAF"/>
    <w:rsid w:val="7C4F2043"/>
    <w:rsid w:val="7C4F3DF1"/>
    <w:rsid w:val="7C5A0F00"/>
    <w:rsid w:val="7C5B3EF0"/>
    <w:rsid w:val="7C5F6E8C"/>
    <w:rsid w:val="7C6F7FEF"/>
    <w:rsid w:val="7C800340"/>
    <w:rsid w:val="7C8C75BF"/>
    <w:rsid w:val="7C9061B7"/>
    <w:rsid w:val="7C9424ED"/>
    <w:rsid w:val="7C9712F4"/>
    <w:rsid w:val="7C9B6FCC"/>
    <w:rsid w:val="7C9E08D4"/>
    <w:rsid w:val="7CA23863"/>
    <w:rsid w:val="7CA53BF6"/>
    <w:rsid w:val="7CAB59E8"/>
    <w:rsid w:val="7CB02F3A"/>
    <w:rsid w:val="7CB65064"/>
    <w:rsid w:val="7CB71996"/>
    <w:rsid w:val="7CC0224D"/>
    <w:rsid w:val="7CCD2092"/>
    <w:rsid w:val="7CD442F6"/>
    <w:rsid w:val="7CDB38D7"/>
    <w:rsid w:val="7CE507FC"/>
    <w:rsid w:val="7CEA3B1A"/>
    <w:rsid w:val="7CED7166"/>
    <w:rsid w:val="7CF03860"/>
    <w:rsid w:val="7CF06D37"/>
    <w:rsid w:val="7CF07379"/>
    <w:rsid w:val="7CF256C0"/>
    <w:rsid w:val="7CF34091"/>
    <w:rsid w:val="7CFB1883"/>
    <w:rsid w:val="7D052701"/>
    <w:rsid w:val="7D0952AD"/>
    <w:rsid w:val="7D0A1B7B"/>
    <w:rsid w:val="7D0A7926"/>
    <w:rsid w:val="7D0C38B8"/>
    <w:rsid w:val="7D0D15B6"/>
    <w:rsid w:val="7D11082A"/>
    <w:rsid w:val="7D1E3982"/>
    <w:rsid w:val="7D1F632E"/>
    <w:rsid w:val="7D2708CA"/>
    <w:rsid w:val="7D2D24AF"/>
    <w:rsid w:val="7D2E7EAA"/>
    <w:rsid w:val="7D4476CE"/>
    <w:rsid w:val="7D4A7884"/>
    <w:rsid w:val="7D554484"/>
    <w:rsid w:val="7D5B241E"/>
    <w:rsid w:val="7D6903CE"/>
    <w:rsid w:val="7D6A07B6"/>
    <w:rsid w:val="7D6B7479"/>
    <w:rsid w:val="7D6C38BC"/>
    <w:rsid w:val="7D7631F1"/>
    <w:rsid w:val="7D7DF147"/>
    <w:rsid w:val="7D7E4262"/>
    <w:rsid w:val="7D7E6E7A"/>
    <w:rsid w:val="7D7F5CC8"/>
    <w:rsid w:val="7D8C543E"/>
    <w:rsid w:val="7D8F674F"/>
    <w:rsid w:val="7D8F75D9"/>
    <w:rsid w:val="7D976893"/>
    <w:rsid w:val="7D9D1940"/>
    <w:rsid w:val="7DAF0256"/>
    <w:rsid w:val="7DB55ED6"/>
    <w:rsid w:val="7DC27838"/>
    <w:rsid w:val="7DC33A88"/>
    <w:rsid w:val="7DCF4ABD"/>
    <w:rsid w:val="7DD53E58"/>
    <w:rsid w:val="7DD92198"/>
    <w:rsid w:val="7DDC2CCF"/>
    <w:rsid w:val="7DDD71DA"/>
    <w:rsid w:val="7DDEFFFC"/>
    <w:rsid w:val="7DEF973E"/>
    <w:rsid w:val="7DF32EA2"/>
    <w:rsid w:val="7DF7EE03"/>
    <w:rsid w:val="7DFB9352"/>
    <w:rsid w:val="7DFC3B04"/>
    <w:rsid w:val="7E0D633E"/>
    <w:rsid w:val="7E122E40"/>
    <w:rsid w:val="7E2374AA"/>
    <w:rsid w:val="7E4159BB"/>
    <w:rsid w:val="7E466B29"/>
    <w:rsid w:val="7E4A54BE"/>
    <w:rsid w:val="7E5F22E5"/>
    <w:rsid w:val="7E5F9F04"/>
    <w:rsid w:val="7E76C19D"/>
    <w:rsid w:val="7E7702D4"/>
    <w:rsid w:val="7E9006F1"/>
    <w:rsid w:val="7E901A34"/>
    <w:rsid w:val="7E90249F"/>
    <w:rsid w:val="7E971A7F"/>
    <w:rsid w:val="7E9E2A7B"/>
    <w:rsid w:val="7E9F1C14"/>
    <w:rsid w:val="7EA128FE"/>
    <w:rsid w:val="7EA35F57"/>
    <w:rsid w:val="7EA77249"/>
    <w:rsid w:val="7EAF6DC9"/>
    <w:rsid w:val="7EBA751C"/>
    <w:rsid w:val="7EBE5411"/>
    <w:rsid w:val="7EC31904"/>
    <w:rsid w:val="7EC55299"/>
    <w:rsid w:val="7ECC28E9"/>
    <w:rsid w:val="7ECDD23F"/>
    <w:rsid w:val="7ED71E7C"/>
    <w:rsid w:val="7EDC64A3"/>
    <w:rsid w:val="7EE12D9A"/>
    <w:rsid w:val="7EE2719E"/>
    <w:rsid w:val="7EEF6E9E"/>
    <w:rsid w:val="7EF15B54"/>
    <w:rsid w:val="7EF944E8"/>
    <w:rsid w:val="7EFE9AC9"/>
    <w:rsid w:val="7F007624"/>
    <w:rsid w:val="7F013DC2"/>
    <w:rsid w:val="7F08472B"/>
    <w:rsid w:val="7F1527E0"/>
    <w:rsid w:val="7F1D6A5A"/>
    <w:rsid w:val="7F2D4191"/>
    <w:rsid w:val="7F345520"/>
    <w:rsid w:val="7F3B316F"/>
    <w:rsid w:val="7F3C6183"/>
    <w:rsid w:val="7F3F2CA6"/>
    <w:rsid w:val="7F595B74"/>
    <w:rsid w:val="7F5A53F2"/>
    <w:rsid w:val="7F642801"/>
    <w:rsid w:val="7F6B574A"/>
    <w:rsid w:val="7F7AA1EF"/>
    <w:rsid w:val="7F7F0724"/>
    <w:rsid w:val="7F805BDA"/>
    <w:rsid w:val="7F9B25B4"/>
    <w:rsid w:val="7F9F508F"/>
    <w:rsid w:val="7FA239AD"/>
    <w:rsid w:val="7FA30D65"/>
    <w:rsid w:val="7FA3511F"/>
    <w:rsid w:val="7FAC6712"/>
    <w:rsid w:val="7FAC72CD"/>
    <w:rsid w:val="7FB53EE4"/>
    <w:rsid w:val="7FB7D682"/>
    <w:rsid w:val="7FBB179D"/>
    <w:rsid w:val="7FBB8C42"/>
    <w:rsid w:val="7FC248DA"/>
    <w:rsid w:val="7FCA378E"/>
    <w:rsid w:val="7FD14B1D"/>
    <w:rsid w:val="7FD2081F"/>
    <w:rsid w:val="7FD728F7"/>
    <w:rsid w:val="7FD840FD"/>
    <w:rsid w:val="7FDD5EB3"/>
    <w:rsid w:val="7FE14BF2"/>
    <w:rsid w:val="7FEFD7A6"/>
    <w:rsid w:val="7FF163FE"/>
    <w:rsid w:val="7FF24575"/>
    <w:rsid w:val="7FF52F01"/>
    <w:rsid w:val="7FFBEB08"/>
    <w:rsid w:val="7FFE59D1"/>
    <w:rsid w:val="87D3692F"/>
    <w:rsid w:val="96DBE6F6"/>
    <w:rsid w:val="9D793A9F"/>
    <w:rsid w:val="BE799607"/>
    <w:rsid w:val="BE7B1246"/>
    <w:rsid w:val="BEF7A0F2"/>
    <w:rsid w:val="BFF56B08"/>
    <w:rsid w:val="C7DDA15C"/>
    <w:rsid w:val="C9F5C281"/>
    <w:rsid w:val="D3BDDF3A"/>
    <w:rsid w:val="D7E79A1F"/>
    <w:rsid w:val="D7FF4534"/>
    <w:rsid w:val="DC77EA93"/>
    <w:rsid w:val="DFF400E4"/>
    <w:rsid w:val="E3BF6B93"/>
    <w:rsid w:val="E713E288"/>
    <w:rsid w:val="EA5F64B0"/>
    <w:rsid w:val="EBBFE8DC"/>
    <w:rsid w:val="EFFCBE36"/>
    <w:rsid w:val="F38E3D56"/>
    <w:rsid w:val="F3FD2824"/>
    <w:rsid w:val="F3FF11F9"/>
    <w:rsid w:val="F5E778DF"/>
    <w:rsid w:val="F7BE98E7"/>
    <w:rsid w:val="F9387A3C"/>
    <w:rsid w:val="FAADE1CD"/>
    <w:rsid w:val="FABC8226"/>
    <w:rsid w:val="FBFF968E"/>
    <w:rsid w:val="FD3EF2FC"/>
    <w:rsid w:val="FD9707D3"/>
    <w:rsid w:val="FEF0E416"/>
    <w:rsid w:val="FFA7DF02"/>
    <w:rsid w:val="FFAEF9FA"/>
    <w:rsid w:val="FFDB9B35"/>
    <w:rsid w:val="FFEE7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4"/>
    <w:next w:val="1"/>
    <w:unhideWhenUsed/>
    <w:qFormat/>
    <w:uiPriority w:val="9"/>
    <w:pPr>
      <w:outlineLvl w:val="1"/>
    </w:pPr>
    <w:rPr>
      <w:rFonts w:eastAsia="楷体_GB2312"/>
    </w:rPr>
  </w:style>
  <w:style w:type="paragraph" w:styleId="4">
    <w:name w:val="heading 3"/>
    <w:basedOn w:val="1"/>
    <w:next w:val="1"/>
    <w:unhideWhenUsed/>
    <w:qFormat/>
    <w:uiPriority w:val="9"/>
    <w:pPr>
      <w:ind w:firstLine="643"/>
      <w:outlineLvl w:val="2"/>
    </w:pPr>
    <w:rPr>
      <w:b/>
      <w:bCs/>
      <w:szCs w:val="32"/>
    </w:rPr>
  </w:style>
  <w:style w:type="paragraph" w:styleId="5">
    <w:name w:val="heading 4"/>
    <w:basedOn w:val="1"/>
    <w:next w:val="1"/>
    <w:unhideWhenUsed/>
    <w:qFormat/>
    <w:uiPriority w:val="9"/>
    <w:pPr>
      <w:ind w:firstLine="0" w:firstLineChars="0"/>
      <w:jc w:val="center"/>
      <w:outlineLvl w:val="3"/>
    </w:pPr>
    <w:rPr>
      <w:rFonts w:ascii="黑体" w:hAnsi="黑体" w:eastAsia="黑体" w:cstheme="majorBidi"/>
      <w:bCs/>
      <w:sz w:val="28"/>
      <w:szCs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caption"/>
    <w:basedOn w:val="1"/>
    <w:next w:val="1"/>
    <w:semiHidden/>
    <w:unhideWhenUsed/>
    <w:qFormat/>
    <w:uiPriority w:val="0"/>
    <w:rPr>
      <w:rFonts w:ascii="Arial" w:hAnsi="Arial" w:eastAsia="黑体"/>
      <w:sz w:val="20"/>
    </w:rPr>
  </w:style>
  <w:style w:type="paragraph" w:styleId="7">
    <w:name w:val="annotation text"/>
    <w:basedOn w:val="1"/>
    <w:qFormat/>
    <w:uiPriority w:val="0"/>
    <w:pPr>
      <w:jc w:val="left"/>
    </w:pPr>
  </w:style>
  <w:style w:type="paragraph" w:styleId="8">
    <w:name w:val="Body Text"/>
    <w:basedOn w:val="1"/>
    <w:next w:val="1"/>
    <w:unhideWhenUsed/>
    <w:qFormat/>
    <w:uiPriority w:val="99"/>
    <w:pPr>
      <w:spacing w:after="120"/>
    </w:pPr>
  </w:style>
  <w:style w:type="paragraph" w:styleId="9">
    <w:name w:val="Body Text Indent"/>
    <w:basedOn w:val="1"/>
    <w:unhideWhenUsed/>
    <w:qFormat/>
    <w:uiPriority w:val="99"/>
    <w:pPr>
      <w:spacing w:after="120"/>
      <w:ind w:left="420" w:leftChars="200"/>
    </w:pPr>
  </w:style>
  <w:style w:type="paragraph" w:styleId="10">
    <w:name w:val="toc 3"/>
    <w:basedOn w:val="1"/>
    <w:next w:val="1"/>
    <w:qFormat/>
    <w:uiPriority w:val="0"/>
    <w:pPr>
      <w:ind w:left="840" w:leftChars="400"/>
    </w:pPr>
  </w:style>
  <w:style w:type="paragraph" w:styleId="11">
    <w:name w:val="Plain Text"/>
    <w:basedOn w:val="1"/>
    <w:qFormat/>
    <w:uiPriority w:val="0"/>
    <w:pPr>
      <w:spacing w:line="520" w:lineRule="exact"/>
      <w:ind w:firstLine="856" w:firstLineChars="200"/>
    </w:pPr>
    <w:rPr>
      <w:rFonts w:ascii="仿宋_GB2312" w:hAnsi="仿宋_GB2312" w:eastAsia="仿宋_GB2312"/>
      <w:color w:val="000000"/>
      <w:spacing w:val="-6"/>
      <w:sz w:val="32"/>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ind w:left="420" w:leftChars="200"/>
    </w:pPr>
  </w:style>
  <w:style w:type="paragraph" w:styleId="17">
    <w:name w:val="Body Text 2"/>
    <w:basedOn w:val="1"/>
    <w:qFormat/>
    <w:uiPriority w:val="0"/>
    <w:pPr>
      <w:snapToGrid w:val="0"/>
      <w:spacing w:line="360" w:lineRule="auto"/>
    </w:pPr>
    <w:rPr>
      <w:sz w:val="28"/>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Title"/>
    <w:basedOn w:val="1"/>
    <w:next w:val="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Body Text First Indent"/>
    <w:basedOn w:val="8"/>
    <w:qFormat/>
    <w:uiPriority w:val="99"/>
    <w:pPr>
      <w:spacing w:line="400" w:lineRule="atLeast"/>
      <w:ind w:firstLine="562"/>
    </w:pPr>
    <w:rPr>
      <w:rFonts w:ascii="Calibri" w:hAnsi="Calibri" w:eastAsia="宋体" w:cs="Times New Roman"/>
      <w:sz w:val="24"/>
      <w:szCs w:val="24"/>
    </w:rPr>
  </w:style>
  <w:style w:type="paragraph" w:styleId="21">
    <w:name w:val="Body Text First Indent 2"/>
    <w:basedOn w:val="9"/>
    <w:qFormat/>
    <w:uiPriority w:val="0"/>
    <w:pPr>
      <w:adjustRightInd w:val="0"/>
      <w:snapToGrid w:val="0"/>
      <w:ind w:right="240" w:firstLine="420"/>
    </w:pPr>
    <w:rPr>
      <w:rFonts w:ascii="仿宋_GB2312"/>
      <w:lang w:val="zh-CN"/>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basedOn w:val="24"/>
    <w:qFormat/>
    <w:uiPriority w:val="0"/>
    <w:rPr>
      <w:color w:val="0000FF"/>
      <w:u w:val="single"/>
    </w:rPr>
  </w:style>
  <w:style w:type="character" w:styleId="27">
    <w:name w:val="footnote reference"/>
    <w:basedOn w:val="24"/>
    <w:qFormat/>
    <w:uiPriority w:val="0"/>
    <w:rPr>
      <w:vertAlign w:val="superscript"/>
    </w:rPr>
  </w:style>
  <w:style w:type="paragraph" w:customStyle="1" w:styleId="28">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 w:type="paragraph" w:customStyle="1" w:styleId="30">
    <w:name w:val="!正文"/>
    <w:basedOn w:val="1"/>
    <w:qFormat/>
    <w:uiPriority w:val="0"/>
    <w:pPr>
      <w:spacing w:line="360" w:lineRule="auto"/>
      <w:ind w:firstLine="200"/>
    </w:pPr>
    <w:rPr>
      <w:rFonts w:ascii="宋体" w:hAnsi="宋体" w:eastAsia="宋体"/>
      <w:sz w:val="24"/>
      <w:szCs w:val="28"/>
      <w:lang w:val="zh-CN"/>
    </w:rPr>
  </w:style>
  <w:style w:type="paragraph" w:customStyle="1" w:styleId="31">
    <w:name w:val="正文内容"/>
    <w:basedOn w:val="1"/>
    <w:qFormat/>
    <w:uiPriority w:val="0"/>
    <w:pPr>
      <w:adjustRightInd w:val="0"/>
      <w:spacing w:line="360" w:lineRule="auto"/>
      <w:ind w:firstLine="200" w:firstLineChars="200"/>
    </w:pPr>
    <w:rPr>
      <w:sz w:val="24"/>
      <w:lang w:val="zh-CN"/>
    </w:rPr>
  </w:style>
  <w:style w:type="paragraph" w:styleId="32">
    <w:name w:val="List Paragraph"/>
    <w:basedOn w:val="1"/>
    <w:unhideWhenUsed/>
    <w:qFormat/>
    <w:uiPriority w:val="99"/>
  </w:style>
  <w:style w:type="character" w:customStyle="1" w:styleId="33">
    <w:name w:val="font81"/>
    <w:basedOn w:val="24"/>
    <w:qFormat/>
    <w:uiPriority w:val="0"/>
    <w:rPr>
      <w:rFonts w:hint="default" w:ascii="Times New Roman" w:hAnsi="Times New Roman" w:cs="Times New Roman"/>
      <w:color w:val="000000"/>
      <w:sz w:val="20"/>
      <w:szCs w:val="20"/>
      <w:u w:val="none"/>
    </w:rPr>
  </w:style>
  <w:style w:type="character" w:customStyle="1" w:styleId="34">
    <w:name w:val="font41"/>
    <w:basedOn w:val="24"/>
    <w:qFormat/>
    <w:uiPriority w:val="0"/>
    <w:rPr>
      <w:rFonts w:hint="default" w:ascii="仿宋_GB2312" w:eastAsia="仿宋_GB2312" w:cs="仿宋_GB2312"/>
      <w:color w:val="000000"/>
      <w:sz w:val="20"/>
      <w:szCs w:val="20"/>
      <w:u w:val="none"/>
    </w:rPr>
  </w:style>
  <w:style w:type="character" w:customStyle="1" w:styleId="35">
    <w:name w:val="font91"/>
    <w:basedOn w:val="2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83776a0f-8882-41fc-b482-e7e73cdfe83f</errorID>
      <errorWord xmlns="http://schemas.wps.cn/vas-ai-hub/contract-review">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用与</item>
      </candidateList>
      <explain xmlns="http://schemas.wps.cn/vas-ai-hub/contract-review"/>
      <paraID xmlns="http://schemas.wps.cn/vas-ai-hub/contract-review">77DB47B6</paraID>
      <start xmlns="http://schemas.wps.cn/vas-ai-hub/contract-review">99</start>
      <end xmlns="http://schemas.wps.cn/vas-ai-hub/contract-review">100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145939be-dc77-44e8-b595-5eb5ac7dc212</errorID>
      <errorWord xmlns="http://schemas.wps.cn/vas-ai-hub/contract-review">互连互通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互联互通</item>
      </candidateList>
      <explain xmlns="http://schemas.wps.cn/vas-ai-hub/contract-review"/>
      <paraID xmlns="http://schemas.wps.cn/vas-ai-hub/contract-review">54389EFD</paraID>
      <start xmlns="http://schemas.wps.cn/vas-ai-hub/contract-review">136</start>
      <end xmlns="http://schemas.wps.cn/vas-ai-hub/contract-review">140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5cd20f87-6d76-48d8-86bb-64e36c3537af</errorID>
      <errorWord xmlns="http://schemas.wps.cn/vas-ai-hub/contract-review">以居民为中心</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以人民为中心</item>
      </candidateList>
      <explain xmlns="http://schemas.wps.cn/vas-ai-hub/contract-review">词汇“以人民为中心”在特定场景下为固定表述形式，请确认此处的“以居民为中心”是否存在不当。</explain>
      <paraID xmlns="http://schemas.wps.cn/vas-ai-hub/contract-review">7530388B</paraID>
      <start xmlns="http://schemas.wps.cn/vas-ai-hub/contract-review">39</start>
      <end xmlns="http://schemas.wps.cn/vas-ai-hub/contract-review">45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bf226ff9-dd14-45fa-8d91-71b696de8bff</errorID>
      <errorWord xmlns="http://schemas.wps.cn/vas-ai-hub/contract-review">全生命安全管理</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全生命周期管理</item>
      </candidateList>
      <explain xmlns="http://schemas.wps.cn/vas-ai-hub/contract-review">词汇“全生命周期管理”在特定场景下为固定表述形式，请确认此处的“全生命安全管理”是否存在不当。</explain>
      <paraID xmlns="http://schemas.wps.cn/vas-ai-hub/contract-review">616D2D28</paraID>
      <start xmlns="http://schemas.wps.cn/vas-ai-hub/contract-review">61</start>
      <end xmlns="http://schemas.wps.cn/vas-ai-hub/contract-review">68</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f6f295-bd16-419f-8b37-01801a6e403b}">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7672</Words>
  <Characters>7839</Characters>
  <Lines>0</Lines>
  <Paragraphs>0</Paragraphs>
  <TotalTime>22</TotalTime>
  <ScaleCrop>false</ScaleCrop>
  <LinksUpToDate>false</LinksUpToDate>
  <CharactersWithSpaces>7863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2025-08-11T06:34:00Z</dcterms:created>
  <dc:creator>zxw</dc:creator>
  <cp:lastModifiedBy>orange</cp:lastModifiedBy>
  <cp:lastPrinted>2026-07-15T17:01:00Z</cp:lastPrinted>
  <dcterms:modified xsi:type="dcterms:W3CDTF">2026-08-19T14:25:36Z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eyJoZGlkIjoiNWY3ZmU2ZTk5NmFiNWY1NTJjODVmZmM5NzRmYTRhZDIiLCJ1c2VySWQiOiIxMjgzNTk3NTc0In0=</vt:lpwstr>
  </property>
  <property fmtid="{D5CDD505-2E9C-101B-9397-08002B2CF9AE}" pid="4" name="ICV">
    <vt:lpwstr>6AE802DD24AF47648B442477D1264E61_13</vt:lpwstr>
  </property>
</Properties>
</file>