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color w:val="auto"/>
          <w:sz w:val="32"/>
          <w:szCs w:val="32"/>
          <w:lang w:val="en-US" w:eastAsia="zh-CN"/>
        </w:rPr>
      </w:pPr>
      <w:bookmarkStart w:id="0" w:name="OLE_LINK8"/>
      <w:r>
        <w:rPr>
          <w:rFonts w:hint="eastAsia" w:ascii="黑体" w:hAnsi="黑体" w:eastAsia="黑体" w:cs="黑体"/>
          <w:color w:val="auto"/>
          <w:sz w:val="32"/>
          <w:szCs w:val="32"/>
          <w:lang w:val="en-US" w:eastAsia="zh-CN"/>
        </w:rPr>
        <w:t>附件2</w:t>
      </w:r>
    </w:p>
    <w:p>
      <w:pPr>
        <w:pStyle w:val="4"/>
        <w:rPr>
          <w:rFonts w:hint="default"/>
          <w:lang w:val="en-US" w:eastAsia="zh-CN"/>
        </w:rPr>
      </w:pPr>
    </w:p>
    <w:p>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0" w:firstLineChars="0"/>
        <w:jc w:val="center"/>
        <w:textAlignment w:val="auto"/>
        <w:outlineLvl w:val="0"/>
        <w:rPr>
          <w:rFonts w:hint="eastAsia" w:ascii="Times New Roman" w:hAnsi="Times New Roman" w:eastAsia="方正小标宋简体" w:cs="Times New Roman"/>
          <w:b w:val="0"/>
          <w:bCs/>
          <w:color w:val="auto"/>
          <w:sz w:val="44"/>
          <w:szCs w:val="44"/>
          <w:highlight w:val="none"/>
          <w:lang w:val="en-US" w:eastAsia="zh-CN"/>
        </w:rPr>
      </w:pPr>
      <w:r>
        <w:rPr>
          <w:rFonts w:hint="eastAsia" w:ascii="Times New Roman" w:hAnsi="Times New Roman" w:eastAsia="方正小标宋简体" w:cs="Times New Roman"/>
          <w:sz w:val="44"/>
          <w:szCs w:val="44"/>
          <w:lang w:val="en-US" w:eastAsia="zh-CN"/>
        </w:rPr>
        <w:t>关于</w:t>
      </w:r>
      <w:r>
        <w:rPr>
          <w:rFonts w:hint="eastAsia" w:ascii="Times New Roman" w:hAnsi="Times New Roman" w:eastAsia="方正小标宋简体" w:cs="Times New Roman"/>
          <w:sz w:val="44"/>
          <w:szCs w:val="44"/>
          <w:lang w:eastAsia="zh-CN"/>
        </w:rPr>
        <w:t>《</w:t>
      </w:r>
      <w:bookmarkEnd w:id="0"/>
      <w:bookmarkStart w:id="1" w:name="OLE_LINK141"/>
      <w:r>
        <w:rPr>
          <w:rFonts w:hint="eastAsia" w:ascii="Times New Roman" w:hAnsi="Times New Roman" w:eastAsia="方正小标宋简体" w:cs="Times New Roman"/>
          <w:b w:val="0"/>
          <w:bCs/>
          <w:color w:val="auto"/>
          <w:sz w:val="44"/>
          <w:szCs w:val="44"/>
          <w:highlight w:val="none"/>
          <w:lang w:val="en-US" w:eastAsia="zh-CN"/>
        </w:rPr>
        <w:t>北京市大兴区“十五五”时期文化</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0" w:firstLineChars="0"/>
        <w:jc w:val="center"/>
        <w:textAlignment w:val="auto"/>
        <w:outlineLvl w:val="0"/>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b w:val="0"/>
          <w:bCs/>
          <w:color w:val="auto"/>
          <w:sz w:val="44"/>
          <w:szCs w:val="44"/>
          <w:highlight w:val="none"/>
          <w:lang w:val="en-US" w:eastAsia="zh-CN"/>
        </w:rPr>
        <w:t>和旅游高质量发展规划</w:t>
      </w:r>
      <w:bookmarkEnd w:id="1"/>
      <w:r>
        <w:rPr>
          <w:rFonts w:hint="eastAsia" w:ascii="Times New Roman" w:hAnsi="Times New Roman" w:eastAsia="方正小标宋简体" w:cs="Times New Roman"/>
          <w:b w:val="0"/>
          <w:bCs/>
          <w:color w:val="auto"/>
          <w:sz w:val="44"/>
          <w:szCs w:val="44"/>
          <w:highlight w:val="none"/>
          <w:lang w:val="en-US" w:eastAsia="zh-CN"/>
        </w:rPr>
        <w:t>（征求意见稿）</w:t>
      </w:r>
      <w:r>
        <w:rPr>
          <w:rFonts w:hint="eastAsia" w:ascii="Times New Roman" w:hAnsi="Times New Roman" w:eastAsia="方正小标宋简体" w:cs="Times New Roman"/>
          <w:sz w:val="44"/>
          <w:szCs w:val="44"/>
          <w:lang w:eastAsia="zh-CN"/>
        </w:rPr>
        <w:t>》的</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firstLine="0" w:firstLineChars="0"/>
        <w:jc w:val="center"/>
        <w:textAlignment w:val="auto"/>
        <w:outlineLvl w:val="0"/>
        <w:rPr>
          <w:rFonts w:ascii="Times New Roman" w:hAnsi="Times New Roman" w:eastAsia="方正小标宋简体"/>
          <w:sz w:val="44"/>
          <w:szCs w:val="44"/>
        </w:rPr>
      </w:pPr>
      <w:r>
        <w:rPr>
          <w:rFonts w:hint="eastAsia" w:ascii="Times New Roman" w:hAnsi="Times New Roman" w:eastAsia="方正小标宋简体"/>
          <w:sz w:val="44"/>
          <w:szCs w:val="44"/>
          <w:lang w:eastAsia="zh-CN"/>
        </w:rPr>
        <w:t>起草</w:t>
      </w:r>
      <w:r>
        <w:rPr>
          <w:rFonts w:hint="eastAsia" w:ascii="Times New Roman" w:hAnsi="Times New Roman" w:eastAsia="方正小标宋简体"/>
          <w:sz w:val="44"/>
          <w:szCs w:val="44"/>
        </w:rPr>
        <w:t>说明</w:t>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sz w:val="32"/>
          <w:szCs w:val="32"/>
          <w:lang w:val="en-US" w:eastAsia="zh-CN"/>
        </w:rPr>
      </w:pPr>
      <w:r>
        <w:rPr>
          <w:rFonts w:hint="eastAsia" w:ascii="黑体" w:hAnsi="黑体" w:eastAsia="黑体"/>
          <w:sz w:val="32"/>
          <w:szCs w:val="32"/>
        </w:rPr>
        <w:t>一、</w:t>
      </w:r>
      <w:r>
        <w:rPr>
          <w:rFonts w:hint="eastAsia" w:ascii="黑体" w:hAnsi="黑体" w:eastAsia="黑体"/>
          <w:sz w:val="32"/>
          <w:szCs w:val="32"/>
          <w:lang w:val="en-US" w:eastAsia="zh-CN"/>
        </w:rPr>
        <w:t>起草背景和目的</w:t>
      </w:r>
    </w:p>
    <w:p>
      <w:pPr>
        <w:keepNext w:val="0"/>
        <w:keepLines w:val="0"/>
        <w:widowControl/>
        <w:suppressLineNumbers w:val="0"/>
        <w:ind w:firstLine="640" w:firstLineChars="200"/>
        <w:jc w:val="left"/>
        <w:rPr>
          <w:rFonts w:ascii="仿宋_GB2312" w:hAnsi="仿宋_GB2312" w:eastAsia="仿宋_GB2312" w:cs="仿宋_GB2312"/>
          <w:kern w:val="2"/>
          <w:sz w:val="32"/>
          <w:szCs w:val="32"/>
          <w:lang w:val="en-US" w:eastAsia="zh-CN"/>
        </w:rPr>
      </w:pPr>
      <w:r>
        <w:rPr>
          <w:rFonts w:ascii="仿宋_GB2312" w:hAnsi="仿宋_GB2312" w:eastAsia="仿宋_GB2312" w:cs="仿宋_GB2312"/>
          <w:kern w:val="2"/>
          <w:sz w:val="32"/>
          <w:szCs w:val="32"/>
          <w:lang w:val="en-US" w:eastAsia="zh-CN"/>
        </w:rPr>
        <w:t>“十五五”时期是我国推进文化强国、旅游强国建设的关键攻坚期，也是大兴文旅提质升级的重要战略机遇期。亟需以文旅深度融合为</w:t>
      </w:r>
      <w:r>
        <w:rPr>
          <w:rFonts w:hint="eastAsia" w:ascii="仿宋_GB2312" w:hAnsi="仿宋_GB2312" w:eastAsia="仿宋_GB2312" w:cs="仿宋_GB2312"/>
          <w:kern w:val="2"/>
          <w:sz w:val="32"/>
          <w:szCs w:val="32"/>
          <w:lang w:val="en-US" w:eastAsia="zh-CN"/>
        </w:rPr>
        <w:t>抓手</w:t>
      </w:r>
      <w:r>
        <w:rPr>
          <w:rFonts w:ascii="仿宋_GB2312" w:hAnsi="仿宋_GB2312" w:eastAsia="仿宋_GB2312" w:cs="仿宋_GB2312"/>
          <w:kern w:val="2"/>
          <w:sz w:val="32"/>
          <w:szCs w:val="32"/>
          <w:lang w:val="en-US" w:eastAsia="zh-CN"/>
        </w:rPr>
        <w:t>，着力破解发展瓶颈、激活发展动能。编制</w:t>
      </w:r>
      <w:r>
        <w:rPr>
          <w:rFonts w:hint="eastAsia" w:ascii="仿宋_GB2312" w:hAnsi="仿宋_GB2312" w:eastAsia="仿宋_GB2312" w:cs="仿宋_GB2312"/>
          <w:kern w:val="2"/>
          <w:sz w:val="32"/>
          <w:szCs w:val="32"/>
          <w:lang w:val="en-US" w:eastAsia="zh-CN"/>
        </w:rPr>
        <w:t>实施</w:t>
      </w:r>
      <w:r>
        <w:rPr>
          <w:rFonts w:ascii="仿宋_GB2312" w:hAnsi="仿宋_GB2312" w:eastAsia="仿宋_GB2312" w:cs="仿宋_GB2312"/>
          <w:kern w:val="2"/>
          <w:sz w:val="32"/>
          <w:szCs w:val="32"/>
          <w:lang w:val="en-US" w:eastAsia="zh-CN"/>
        </w:rPr>
        <w:t>《北京市大兴区“十五五”时期文化和旅游发展规划》（以下简称《规划》）是大兴区主动融入国家文化强国、首都全国文化中心建设大局的战略抉择，旨在以“国门新城”战略定位为引领，加快文旅供给体系创新，深入推进“文旅+百业”跨界融合，塑造“城市大休闲”和“快周转微度假”氛围，力争五年将大兴建设成为文旅品牌形象突出、旅游产业发展强劲的国际文旅交往新枢纽和首都平原休闲度假新名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sz w:val="32"/>
          <w:szCs w:val="32"/>
          <w:lang w:val="en-US" w:eastAsia="zh-CN"/>
        </w:rPr>
      </w:pPr>
      <w:r>
        <w:rPr>
          <w:rFonts w:hint="eastAsia" w:ascii="黑体" w:hAnsi="黑体" w:eastAsia="黑体"/>
          <w:sz w:val="32"/>
          <w:szCs w:val="32"/>
          <w:lang w:val="en-US" w:eastAsia="zh-CN"/>
        </w:rPr>
        <w:t>二、起草过程</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为保障《规划》编制的系统性与科学性，坚持开门问策、集思广益，统筹多方资源、汇聚多方力量协同编制。</w:t>
      </w:r>
      <w:r>
        <w:rPr>
          <w:rFonts w:hint="eastAsia" w:ascii="仿宋_GB2312" w:hAnsi="Times New Roman" w:eastAsia="仿宋_GB2312" w:cs="Times New Roman"/>
          <w:kern w:val="2"/>
          <w:sz w:val="32"/>
          <w:szCs w:val="32"/>
          <w:lang w:val="en-US" w:eastAsia="zh-CN" w:bidi="ar-SA"/>
        </w:rPr>
        <w:t>前期开展了资料收集梳理、起草规划研究框架等准备工作，</w:t>
      </w:r>
      <w:r>
        <w:rPr>
          <w:rFonts w:hint="eastAsia" w:ascii="仿宋_GB2312" w:hAnsi="仿宋_GB2312" w:eastAsia="仿宋_GB2312" w:cs="仿宋_GB2312"/>
          <w:sz w:val="32"/>
          <w:szCs w:val="32"/>
          <w:lang w:val="en-US" w:eastAsia="zh-CN"/>
        </w:rPr>
        <w:t>面向全区各相关单位下发调研清单，组织开展多轮专题座谈，</w:t>
      </w:r>
      <w:r>
        <w:rPr>
          <w:rFonts w:hint="eastAsia" w:ascii="仿宋_GB2312" w:hAnsi="仿宋_GB2312" w:eastAsia="仿宋_GB2312" w:cs="仿宋_GB2312"/>
          <w:color w:val="auto"/>
          <w:kern w:val="0"/>
          <w:sz w:val="32"/>
          <w:szCs w:val="32"/>
          <w:lang w:val="en-US" w:eastAsia="zh-CN" w:bidi="ar"/>
        </w:rPr>
        <w:t>重点了解了各单位在十四五期间取得的成果及十五五时期的计划部署，为规划编制提供第一手素材支撑。</w:t>
      </w:r>
      <w:r>
        <w:rPr>
          <w:rFonts w:hint="eastAsia" w:ascii="仿宋_GB2312" w:hAnsi="仿宋_GB2312" w:eastAsia="仿宋_GB2312" w:cs="仿宋_GB2312"/>
          <w:sz w:val="32"/>
          <w:szCs w:val="32"/>
          <w:lang w:val="en-US" w:eastAsia="zh-CN"/>
        </w:rPr>
        <w:t>在此基础上，对标国家、北京市及大兴区上位规划与战略部署，</w:t>
      </w:r>
      <w:r>
        <w:rPr>
          <w:rFonts w:hint="eastAsia" w:ascii="仿宋_GB2312" w:hAnsi="仿宋_GB2312" w:eastAsia="仿宋_GB2312" w:cs="仿宋_GB2312"/>
          <w:b w:val="0"/>
          <w:bCs w:val="0"/>
          <w:sz w:val="32"/>
          <w:szCs w:val="32"/>
          <w:lang w:val="en-US" w:eastAsia="zh-CN"/>
        </w:rPr>
        <w:t>紧扣前期研究、思路论证与实地调研成果，</w:t>
      </w:r>
      <w:r>
        <w:rPr>
          <w:rFonts w:hint="eastAsia" w:ascii="仿宋_GB2312" w:hAnsi="仿宋_GB2312" w:eastAsia="仿宋_GB2312" w:cs="仿宋_GB2312"/>
          <w:sz w:val="32"/>
          <w:szCs w:val="32"/>
          <w:lang w:val="en-US" w:eastAsia="zh-CN"/>
        </w:rPr>
        <w:t>形成</w:t>
      </w:r>
      <w:r>
        <w:rPr>
          <w:rFonts w:hint="eastAsia" w:ascii="仿宋_GB2312" w:hAnsi="Times New Roman" w:eastAsia="仿宋_GB2312" w:cs="Times New Roman"/>
          <w:kern w:val="2"/>
          <w:sz w:val="32"/>
          <w:szCs w:val="32"/>
          <w:highlight w:val="none"/>
          <w:lang w:val="en-US" w:eastAsia="zh-CN" w:bidi="ar-SA"/>
        </w:rPr>
        <w:t>《规划》</w:t>
      </w:r>
      <w:r>
        <w:rPr>
          <w:rFonts w:hint="eastAsia" w:ascii="仿宋_GB2312" w:hAnsi="仿宋_GB2312" w:eastAsia="仿宋_GB2312" w:cs="仿宋_GB2312"/>
          <w:sz w:val="32"/>
          <w:szCs w:val="32"/>
          <w:lang w:val="en-US" w:eastAsia="zh-CN"/>
        </w:rPr>
        <w:t>初稿。先后两次面向</w:t>
      </w:r>
      <w:r>
        <w:rPr>
          <w:rFonts w:hint="eastAsia" w:ascii="仿宋_GB2312" w:hAnsi="仿宋_GB2312" w:eastAsia="仿宋_GB2312" w:cs="仿宋_GB2312"/>
          <w:b w:val="0"/>
          <w:bCs w:val="0"/>
          <w:sz w:val="32"/>
          <w:szCs w:val="32"/>
          <w:lang w:val="en-US" w:eastAsia="zh-CN"/>
        </w:rPr>
        <w:t>全区各相关单位</w:t>
      </w:r>
      <w:r>
        <w:rPr>
          <w:rFonts w:hint="eastAsia" w:ascii="仿宋_GB2312" w:hAnsi="Times New Roman" w:eastAsia="仿宋_GB2312" w:cs="Times New Roman"/>
          <w:kern w:val="2"/>
          <w:sz w:val="32"/>
          <w:szCs w:val="32"/>
          <w:lang w:val="en-US" w:eastAsia="zh-CN" w:bidi="ar-SA"/>
        </w:rPr>
        <w:t>征求意见，广泛获取并</w:t>
      </w:r>
      <w:r>
        <w:rPr>
          <w:rFonts w:hint="eastAsia" w:ascii="仿宋_GB2312" w:hAnsi="仿宋_GB2312" w:eastAsia="仿宋_GB2312" w:cs="仿宋_GB2312"/>
          <w:sz w:val="32"/>
          <w:szCs w:val="32"/>
          <w:lang w:val="en-US" w:eastAsia="zh-CN"/>
        </w:rPr>
        <w:t>整理各方意见,对</w:t>
      </w:r>
      <w:r>
        <w:rPr>
          <w:rFonts w:hint="eastAsia" w:ascii="仿宋_GB2312" w:hAnsi="Times New Roman" w:eastAsia="仿宋_GB2312" w:cs="Times New Roman"/>
          <w:kern w:val="2"/>
          <w:sz w:val="32"/>
          <w:szCs w:val="32"/>
          <w:highlight w:val="none"/>
          <w:lang w:val="en-US" w:eastAsia="zh-CN" w:bidi="ar-SA"/>
        </w:rPr>
        <w:t>《规划》</w:t>
      </w:r>
      <w:r>
        <w:rPr>
          <w:rFonts w:hint="eastAsia" w:ascii="仿宋_GB2312" w:hAnsi="Times New Roman" w:eastAsia="仿宋_GB2312" w:cs="Times New Roman"/>
          <w:kern w:val="2"/>
          <w:sz w:val="32"/>
          <w:szCs w:val="32"/>
          <w:lang w:val="en-US" w:eastAsia="zh-CN" w:bidi="ar-SA"/>
        </w:rPr>
        <w:t>进行修改完善，最终形成了</w:t>
      </w:r>
      <w:r>
        <w:rPr>
          <w:rFonts w:hint="eastAsia" w:ascii="仿宋_GB2312" w:hAnsi="Times New Roman" w:eastAsia="仿宋_GB2312" w:cs="Times New Roman"/>
          <w:kern w:val="2"/>
          <w:sz w:val="32"/>
          <w:szCs w:val="32"/>
          <w:highlight w:val="none"/>
          <w:lang w:val="en-US" w:eastAsia="zh-CN" w:bidi="ar-SA"/>
        </w:rPr>
        <w:t>《规划》征求意见稿。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黑体" w:hAnsi="黑体" w:eastAsia="黑体" w:cs="Times New Roman"/>
          <w:sz w:val="32"/>
          <w:szCs w:val="32"/>
          <w:lang w:val="en-US" w:eastAsia="zh-CN"/>
        </w:rPr>
      </w:pPr>
      <w:r>
        <w:rPr>
          <w:rFonts w:hint="eastAsia" w:ascii="黑体" w:hAnsi="黑体" w:eastAsia="黑体" w:cs="Times New Roman"/>
          <w:sz w:val="32"/>
          <w:szCs w:val="32"/>
          <w:lang w:val="en-US" w:eastAsia="zh-CN"/>
        </w:rPr>
        <w:t>三、主要内容</w:t>
      </w:r>
    </w:p>
    <w:p>
      <w:pPr>
        <w:spacing w:line="560" w:lineRule="exact"/>
        <w:ind w:firstLine="640" w:firstLineChars="200"/>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《规划》主要内容有三部分：</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（一）立足区域发展实际，谋划文旅高质量发展蓝图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规划》以“一轴两带三区”为发展格局，紧紧围绕“6+5+3”产业空间布局，构建“枢纽聚能、文化铸魂”的文旅新生态，实现从“首都近郊休闲地”向“全球文旅新坐标”的跨越式质变，力争到2030年将大兴区建设成为引领京南、辐射京津冀、联通全国和世界的文旅融合发展新亮点。</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（二）以“文化兴区”为引领，激活千年文脉时代价值</w:t>
      </w:r>
    </w:p>
    <w:p>
      <w:pPr>
        <w:spacing w:line="56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一是推进大兴文脉活态传承</w:t>
      </w:r>
      <w:r>
        <w:rPr>
          <w:rFonts w:hint="eastAsia" w:ascii="仿宋_GB2312" w:hAnsi="仿宋_GB2312" w:eastAsia="仿宋_GB2312" w:cs="仿宋_GB2312"/>
          <w:sz w:val="32"/>
          <w:szCs w:val="32"/>
        </w:rPr>
        <w:t>。加强文物活化利用，</w:t>
      </w:r>
      <w:bookmarkStart w:id="2" w:name="_GoBack"/>
      <w:bookmarkEnd w:id="2"/>
      <w:r>
        <w:rPr>
          <w:rFonts w:hint="eastAsia" w:ascii="仿宋_GB2312" w:hAnsi="仿宋_GB2312" w:eastAsia="仿宋_GB2312" w:cs="仿宋_GB2312"/>
          <w:sz w:val="32"/>
          <w:szCs w:val="32"/>
        </w:rPr>
        <w:t>推进团河行宫历史风貌复原、德寿寺文物资源保护利用。升级非遗保护体系，推动非遗亮相国际舞台</w:t>
      </w:r>
      <w:r>
        <w:rPr>
          <w:rFonts w:hint="eastAsia" w:ascii="仿宋_GB2312" w:hAnsi="仿宋" w:eastAsia="仿宋_GB2312"/>
          <w:bCs/>
          <w:sz w:val="32"/>
          <w:szCs w:val="32"/>
        </w:rPr>
        <w:t>。推进博物馆之城建设，</w:t>
      </w:r>
      <w:r>
        <w:rPr>
          <w:rFonts w:hint="eastAsia" w:ascii="仿宋_GB2312" w:hAnsi="仿宋_GB2312" w:eastAsia="仿宋_GB2312" w:cs="仿宋_GB2312"/>
          <w:sz w:val="32"/>
          <w:szCs w:val="32"/>
        </w:rPr>
        <w:t>实现“馆城共生”。</w:t>
      </w:r>
      <w:r>
        <w:rPr>
          <w:rFonts w:hint="eastAsia" w:ascii="仿宋_GB2312" w:hAnsi="仿宋_GB2312" w:eastAsia="仿宋_GB2312" w:cs="仿宋_GB2312"/>
          <w:b/>
          <w:bCs/>
          <w:sz w:val="32"/>
          <w:szCs w:val="32"/>
        </w:rPr>
        <w:t>二是推进文化空间赋能产业布局。</w:t>
      </w:r>
      <w:r>
        <w:rPr>
          <w:rFonts w:hint="eastAsia" w:ascii="仿宋_GB2312" w:hAnsi="仿宋_GB2312" w:eastAsia="仿宋_GB2312" w:cs="仿宋_GB2312"/>
          <w:sz w:val="32"/>
          <w:szCs w:val="32"/>
        </w:rPr>
        <w:t>打造20个以上“大兴文化会客厅”，提质升级“15分钟公共文化便民服务圈”。推进城市更新文化植入，打造文旅体验站、文化步道等特色场景。三</w:t>
      </w:r>
      <w:r>
        <w:rPr>
          <w:rFonts w:hint="eastAsia" w:ascii="仿宋_GB2312" w:hAnsi="仿宋_GB2312" w:eastAsia="仿宋_GB2312" w:cs="仿宋_GB2312"/>
          <w:b/>
          <w:bCs/>
          <w:sz w:val="32"/>
          <w:szCs w:val="32"/>
        </w:rPr>
        <w:t>是建设京南活力演艺高地。</w:t>
      </w:r>
      <w:r>
        <w:rPr>
          <w:rFonts w:hint="eastAsia" w:ascii="Times New Roman" w:hAnsi="Times New Roman" w:eastAsia="仿宋_GB2312" w:cs="Times New Roman"/>
          <w:color w:val="000000" w:themeColor="text1"/>
          <w:sz w:val="32"/>
          <w:szCs w:val="32"/>
          <w14:textFill>
            <w14:solidFill>
              <w14:schemeClr w14:val="tx1"/>
            </w14:solidFill>
          </w14:textFill>
        </w:rPr>
        <w:t>鼓励京南艺术中心、星光影视园等演艺空间引入更多</w:t>
      </w:r>
      <w:r>
        <w:rPr>
          <w:rFonts w:ascii="Times New Roman" w:hAnsi="Times New Roman" w:eastAsia="仿宋_GB2312" w:cs="Times New Roman"/>
          <w:color w:val="000000" w:themeColor="text1"/>
          <w:sz w:val="32"/>
          <w:szCs w:val="32"/>
          <w14:textFill>
            <w14:solidFill>
              <w14:schemeClr w14:val="tx1"/>
            </w14:solidFill>
          </w14:textFill>
        </w:rPr>
        <w:t>国内外演出资源</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培育“跟着演艺去旅行”业态。</w:t>
      </w:r>
    </w:p>
    <w:p>
      <w:pPr>
        <w:spacing w:line="56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）以“旅游强区”为支撑，构建休闲度假发展格局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2"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一是强化“6+5+3”片区融合深度赋能</w:t>
      </w:r>
      <w:r>
        <w:rPr>
          <w:rFonts w:hint="eastAsia" w:ascii="仿宋_GB2312" w:hAnsi="仿宋_GB2312" w:eastAsia="仿宋_GB2312" w:cs="仿宋_GB2312"/>
          <w:sz w:val="32"/>
          <w:szCs w:val="32"/>
        </w:rPr>
        <w:t>。推动六大产业功能区文旅融合标杆建设，打造“国门文旅第一站”等特色IP。激活五个特色产业集聚区文旅功能，构建“商务+文旅”“田园科创+文旅”等消费场景。升级三大发展新片区，推进永定湾“水城共融、文旅协同”发展，推动产业协同发展示范区打造文旅协同示范地，加快建设大兴国际旅游度假区。</w:t>
      </w:r>
      <w:r>
        <w:rPr>
          <w:rFonts w:hint="eastAsia" w:ascii="仿宋_GB2312" w:hAnsi="仿宋_GB2312" w:eastAsia="仿宋_GB2312" w:cs="仿宋_GB2312"/>
          <w:b/>
          <w:bCs/>
          <w:sz w:val="32"/>
          <w:szCs w:val="32"/>
        </w:rPr>
        <w:t>二是强化“特色小镇+美丽乡村”休闲节点联动。</w:t>
      </w:r>
      <w:r>
        <w:rPr>
          <w:rFonts w:hint="eastAsia" w:ascii="仿宋_GB2312" w:eastAsia="仿宋_GB2312"/>
          <w:sz w:val="32"/>
          <w:szCs w:val="32"/>
        </w:rPr>
        <w:t>聚焦</w:t>
      </w:r>
      <w:r>
        <w:rPr>
          <w:rFonts w:hint="eastAsia" w:ascii="仿宋_GB2312" w:hAnsi="仿宋_GB2312" w:eastAsia="仿宋_GB2312" w:cs="仿宋_GB2312"/>
          <w:sz w:val="32"/>
          <w:szCs w:val="32"/>
        </w:rPr>
        <w:t>庞各庄、采育、魏善庄、礼贤，打造乡村休闲度假重要空间载体</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推进乡村旅游“一镇一特色”差异化发展，努力打造乡村旅游重点片区和重点村镇</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b/>
          <w:bCs/>
          <w:sz w:val="32"/>
          <w:szCs w:val="32"/>
        </w:rPr>
        <w:t>三是完善“6+5+3”片区文旅服务配套。</w:t>
      </w:r>
      <w:r>
        <w:rPr>
          <w:rFonts w:hint="eastAsia" w:ascii="仿宋_GB2312" w:eastAsia="仿宋_GB2312"/>
          <w:color w:val="000000" w:themeColor="text1"/>
          <w:sz w:val="32"/>
          <w:szCs w:val="32"/>
          <w14:textFill>
            <w14:solidFill>
              <w14:schemeClr w14:val="tx1"/>
            </w14:solidFill>
          </w14:textFill>
        </w:rPr>
        <w:t>培育发展大兴美食品牌，发展“文旅+住宿+商业”模式，打造特色购物场景，</w:t>
      </w:r>
      <w:r>
        <w:rPr>
          <w:rFonts w:hint="eastAsia" w:ascii="仿宋_GB2312" w:hAnsi="仿宋_GB2312" w:eastAsia="仿宋_GB2312" w:cs="仿宋_GB2312"/>
          <w:sz w:val="32"/>
          <w:szCs w:val="32"/>
        </w:rPr>
        <w:t>做优“大兴有礼”品牌，构建“骑行游大兴”等慢行系统，实施全域旅游服务便利化工程。</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SI仿宋-GB2312">
    <w:panose1 w:val="02000500000000000000"/>
    <w:charset w:val="86"/>
    <w:family w:val="auto"/>
    <w:pitch w:val="default"/>
    <w:sig w:usb0="800002AF" w:usb1="084F6CF8" w:usb2="00000010"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240B4"/>
    <w:rsid w:val="012A6BDB"/>
    <w:rsid w:val="023B2621"/>
    <w:rsid w:val="02902A6D"/>
    <w:rsid w:val="029C3B08"/>
    <w:rsid w:val="02F720E6"/>
    <w:rsid w:val="02F93C25"/>
    <w:rsid w:val="03B509EE"/>
    <w:rsid w:val="04F973C6"/>
    <w:rsid w:val="0636713C"/>
    <w:rsid w:val="06AF0011"/>
    <w:rsid w:val="06F37A6F"/>
    <w:rsid w:val="07517B2A"/>
    <w:rsid w:val="07F7533D"/>
    <w:rsid w:val="088272FC"/>
    <w:rsid w:val="0A7C7BFC"/>
    <w:rsid w:val="0C4113D4"/>
    <w:rsid w:val="0DAD1E0A"/>
    <w:rsid w:val="0DBD0B14"/>
    <w:rsid w:val="0DBE2B84"/>
    <w:rsid w:val="0E9919B5"/>
    <w:rsid w:val="0F585937"/>
    <w:rsid w:val="0FA638D0"/>
    <w:rsid w:val="104046A6"/>
    <w:rsid w:val="10411774"/>
    <w:rsid w:val="10A83678"/>
    <w:rsid w:val="10AE5F64"/>
    <w:rsid w:val="1164141F"/>
    <w:rsid w:val="11BA3663"/>
    <w:rsid w:val="11C429B6"/>
    <w:rsid w:val="11E43B3D"/>
    <w:rsid w:val="13143247"/>
    <w:rsid w:val="137F4C8C"/>
    <w:rsid w:val="13891765"/>
    <w:rsid w:val="14C97510"/>
    <w:rsid w:val="15C97D0E"/>
    <w:rsid w:val="15E658D6"/>
    <w:rsid w:val="165A7350"/>
    <w:rsid w:val="165F2A2B"/>
    <w:rsid w:val="16CF5E02"/>
    <w:rsid w:val="17397720"/>
    <w:rsid w:val="17FE6994"/>
    <w:rsid w:val="18313A3C"/>
    <w:rsid w:val="187154CA"/>
    <w:rsid w:val="18BD15AD"/>
    <w:rsid w:val="18DB6AB3"/>
    <w:rsid w:val="18F42231"/>
    <w:rsid w:val="19C21FF7"/>
    <w:rsid w:val="19DE5F7A"/>
    <w:rsid w:val="1A55D597"/>
    <w:rsid w:val="1ACF7976"/>
    <w:rsid w:val="1BAD4238"/>
    <w:rsid w:val="1BD503B4"/>
    <w:rsid w:val="1BF015BE"/>
    <w:rsid w:val="1DB63EF6"/>
    <w:rsid w:val="1E0D197E"/>
    <w:rsid w:val="1E17244D"/>
    <w:rsid w:val="1E7025DB"/>
    <w:rsid w:val="1EAC3973"/>
    <w:rsid w:val="1EAF2075"/>
    <w:rsid w:val="1EEA52B7"/>
    <w:rsid w:val="1FE34915"/>
    <w:rsid w:val="21AB746C"/>
    <w:rsid w:val="23045086"/>
    <w:rsid w:val="2306549E"/>
    <w:rsid w:val="2435126F"/>
    <w:rsid w:val="254D1C1D"/>
    <w:rsid w:val="28987DF3"/>
    <w:rsid w:val="28D70B46"/>
    <w:rsid w:val="2B2F4C6A"/>
    <w:rsid w:val="2B334564"/>
    <w:rsid w:val="2BDB0999"/>
    <w:rsid w:val="2BEA79F3"/>
    <w:rsid w:val="2BF246E0"/>
    <w:rsid w:val="2C82701B"/>
    <w:rsid w:val="2C9034E6"/>
    <w:rsid w:val="2C99101C"/>
    <w:rsid w:val="2CAD4098"/>
    <w:rsid w:val="2CC165BF"/>
    <w:rsid w:val="2CD24B05"/>
    <w:rsid w:val="2CF75313"/>
    <w:rsid w:val="2D306A77"/>
    <w:rsid w:val="2D7CD00B"/>
    <w:rsid w:val="2DA27BA3"/>
    <w:rsid w:val="2DBA7A28"/>
    <w:rsid w:val="2EAE19E9"/>
    <w:rsid w:val="2EBA2A9C"/>
    <w:rsid w:val="2FEB7E18"/>
    <w:rsid w:val="30202689"/>
    <w:rsid w:val="314B0808"/>
    <w:rsid w:val="33F627C9"/>
    <w:rsid w:val="34945433"/>
    <w:rsid w:val="34C915A1"/>
    <w:rsid w:val="353B531F"/>
    <w:rsid w:val="354B6F70"/>
    <w:rsid w:val="357D7134"/>
    <w:rsid w:val="35AE6E83"/>
    <w:rsid w:val="36B14785"/>
    <w:rsid w:val="3845787B"/>
    <w:rsid w:val="39482B64"/>
    <w:rsid w:val="396957EB"/>
    <w:rsid w:val="39A73762"/>
    <w:rsid w:val="3AD73496"/>
    <w:rsid w:val="3B1C69AB"/>
    <w:rsid w:val="3B22343B"/>
    <w:rsid w:val="3B247C1B"/>
    <w:rsid w:val="3B2C32D1"/>
    <w:rsid w:val="3B9E2D5F"/>
    <w:rsid w:val="3BDA10D4"/>
    <w:rsid w:val="3C8A2E1F"/>
    <w:rsid w:val="3C8A7F52"/>
    <w:rsid w:val="3D086D2A"/>
    <w:rsid w:val="3DCB25D0"/>
    <w:rsid w:val="3DDEE6EE"/>
    <w:rsid w:val="3F283A52"/>
    <w:rsid w:val="3F302A1C"/>
    <w:rsid w:val="3F362BE0"/>
    <w:rsid w:val="3FD92291"/>
    <w:rsid w:val="41562AF9"/>
    <w:rsid w:val="443F7115"/>
    <w:rsid w:val="44B244EA"/>
    <w:rsid w:val="44F0399A"/>
    <w:rsid w:val="46252A99"/>
    <w:rsid w:val="46B06893"/>
    <w:rsid w:val="46B527A5"/>
    <w:rsid w:val="47431429"/>
    <w:rsid w:val="47D32726"/>
    <w:rsid w:val="482C45B3"/>
    <w:rsid w:val="48E1539E"/>
    <w:rsid w:val="49684096"/>
    <w:rsid w:val="4A392340"/>
    <w:rsid w:val="4A5D250E"/>
    <w:rsid w:val="4B8B6452"/>
    <w:rsid w:val="4C7008B2"/>
    <w:rsid w:val="4C862103"/>
    <w:rsid w:val="4E6B1DD5"/>
    <w:rsid w:val="4F1F277C"/>
    <w:rsid w:val="4FCC25AE"/>
    <w:rsid w:val="4FE439C5"/>
    <w:rsid w:val="516E29E7"/>
    <w:rsid w:val="52393851"/>
    <w:rsid w:val="52A42BD5"/>
    <w:rsid w:val="548D5849"/>
    <w:rsid w:val="55442971"/>
    <w:rsid w:val="56DF4738"/>
    <w:rsid w:val="58900618"/>
    <w:rsid w:val="596C0CB3"/>
    <w:rsid w:val="5A7D66B3"/>
    <w:rsid w:val="5A8E29D0"/>
    <w:rsid w:val="5AB44B3F"/>
    <w:rsid w:val="5B956ECD"/>
    <w:rsid w:val="5C321615"/>
    <w:rsid w:val="5D1B7F63"/>
    <w:rsid w:val="5DCB51DE"/>
    <w:rsid w:val="5E860DD2"/>
    <w:rsid w:val="5EE30355"/>
    <w:rsid w:val="5F4717DF"/>
    <w:rsid w:val="5F8A6E4E"/>
    <w:rsid w:val="5FFD2C80"/>
    <w:rsid w:val="607921FE"/>
    <w:rsid w:val="61C739D0"/>
    <w:rsid w:val="629B5102"/>
    <w:rsid w:val="637569B7"/>
    <w:rsid w:val="63B03E93"/>
    <w:rsid w:val="63F43D7F"/>
    <w:rsid w:val="643028DD"/>
    <w:rsid w:val="654A6543"/>
    <w:rsid w:val="65510C1C"/>
    <w:rsid w:val="66157F98"/>
    <w:rsid w:val="66E14363"/>
    <w:rsid w:val="67236729"/>
    <w:rsid w:val="673E6FFD"/>
    <w:rsid w:val="6791274E"/>
    <w:rsid w:val="67FB0547"/>
    <w:rsid w:val="68436992"/>
    <w:rsid w:val="6874526D"/>
    <w:rsid w:val="692A1FF1"/>
    <w:rsid w:val="69796AD5"/>
    <w:rsid w:val="69DA3A17"/>
    <w:rsid w:val="69F21E77"/>
    <w:rsid w:val="6A233193"/>
    <w:rsid w:val="6A3D37B8"/>
    <w:rsid w:val="6A556352"/>
    <w:rsid w:val="6A9F256B"/>
    <w:rsid w:val="6BCF284F"/>
    <w:rsid w:val="6C7373C4"/>
    <w:rsid w:val="6CD96E2B"/>
    <w:rsid w:val="6CDB245E"/>
    <w:rsid w:val="6DA01B69"/>
    <w:rsid w:val="6E3851B0"/>
    <w:rsid w:val="6E71421E"/>
    <w:rsid w:val="6E8C1058"/>
    <w:rsid w:val="700421EE"/>
    <w:rsid w:val="70933F1C"/>
    <w:rsid w:val="70C632C5"/>
    <w:rsid w:val="72E54BFA"/>
    <w:rsid w:val="73915B90"/>
    <w:rsid w:val="74942A15"/>
    <w:rsid w:val="74DD260E"/>
    <w:rsid w:val="75DC0A19"/>
    <w:rsid w:val="76F7EE63"/>
    <w:rsid w:val="77502B41"/>
    <w:rsid w:val="77957C85"/>
    <w:rsid w:val="77BD2416"/>
    <w:rsid w:val="77D17E8E"/>
    <w:rsid w:val="784334CE"/>
    <w:rsid w:val="786467A7"/>
    <w:rsid w:val="787B2FCA"/>
    <w:rsid w:val="78972217"/>
    <w:rsid w:val="796E1A86"/>
    <w:rsid w:val="7ACA47EB"/>
    <w:rsid w:val="7B016A24"/>
    <w:rsid w:val="7BF95005"/>
    <w:rsid w:val="7C1903CF"/>
    <w:rsid w:val="7CB43A60"/>
    <w:rsid w:val="7D634DF9"/>
    <w:rsid w:val="7D707BC9"/>
    <w:rsid w:val="7DCC1471"/>
    <w:rsid w:val="7EF53CA2"/>
    <w:rsid w:val="7EFF1C16"/>
    <w:rsid w:val="7FDF106F"/>
    <w:rsid w:val="7FF667FE"/>
    <w:rsid w:val="89FD59CB"/>
    <w:rsid w:val="9EBF68A9"/>
    <w:rsid w:val="BBEF4173"/>
    <w:rsid w:val="BF9B4B65"/>
    <w:rsid w:val="BF9C67FB"/>
    <w:rsid w:val="CFB9FBF3"/>
    <w:rsid w:val="DF5E9FF0"/>
    <w:rsid w:val="FADD6858"/>
    <w:rsid w:val="FFF75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before="190"/>
    </w:pPr>
    <w:rPr>
      <w:szCs w:val="32"/>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_Style 13"/>
    <w:qFormat/>
    <w:uiPriority w:val="0"/>
    <w:pPr>
      <w:spacing w:before="120" w:after="120" w:line="288" w:lineRule="auto"/>
      <w:ind w:left="0"/>
      <w:jc w:val="left"/>
    </w:pPr>
    <w:rPr>
      <w:rFonts w:ascii="Arial" w:hAnsi="Arial" w:eastAsia="等线" w:cs="Arial"/>
      <w:sz w:val="22"/>
      <w:szCs w:val="22"/>
    </w:rPr>
  </w:style>
  <w:style w:type="paragraph" w:customStyle="1" w:styleId="13">
    <w:name w:val="Normal Indent1"/>
    <w:qFormat/>
    <w:uiPriority w:val="99"/>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1187</Words>
  <Characters>1195</Characters>
  <Lines>0</Lines>
  <Paragraphs>0</Paragraphs>
  <TotalTime>1</TotalTime>
  <ScaleCrop>false</ScaleCrop>
  <LinksUpToDate>false</LinksUpToDate>
  <CharactersWithSpaces>1195</CharactersWithSpaces>
  <Application>WPS Office_11.1.0.10920_F1E327BC-269C-435d-A152-05C5408002CA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2025-10-26T19:10:00Z</dcterms:created>
  <dc:creator>lzn</dc:creator>
  <cp:lastModifiedBy>lsj</cp:lastModifiedBy>
  <cp:lastPrinted>2026-04-02T22:13:00Z</cp:lastPrinted>
  <dcterms:modified xsi:type="dcterms:W3CDTF">2026-08-27T10:37:52Z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2052-11.1.0.10920</vt:lpwstr>
  </property>
  <property fmtid="{D5CDD505-2E9C-101B-9397-08002B2CF9AE}" pid="3" name="KSOTemplateDocerSaveRecord">
    <vt:lpwstr>eyJoZGlkIjoiZWFmODEzMjhjYzAyOGQ2M2M1OWQ1ODAyZTg4N2UwN2UiLCJ1c2VySWQiOiIxNjE1MzA0NDk4In0=</vt:lpwstr>
  </property>
  <property fmtid="{D5CDD505-2E9C-101B-9397-08002B2CF9AE}" pid="4" name="ICV">
    <vt:lpwstr>EB68F02652A242DFB343BB3D7E357867</vt:lpwstr>
  </property>
</Properties>
</file>