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63F8C3">
      <w:pPr>
        <w:pStyle w:val="13"/>
        <w:bidi w:val="0"/>
        <w:ind w:left="0" w:leftChars="0" w:firstLine="0" w:firstLineChars="0"/>
        <w:rPr>
          <w:rFonts w:hint="eastAsia"/>
          <w:lang w:val="en-US" w:eastAsia="zh-CN"/>
        </w:rPr>
      </w:pPr>
      <w:r>
        <w:rPr>
          <w:rFonts w:hint="eastAsia"/>
          <w:lang w:val="en-US" w:eastAsia="zh-CN"/>
        </w:rPr>
        <w:t>附件2</w:t>
      </w:r>
    </w:p>
    <w:p w14:paraId="00CD6EA1">
      <w:pPr>
        <w:pStyle w:val="13"/>
        <w:bidi w:val="0"/>
        <w:ind w:left="0" w:leftChars="0" w:firstLine="0" w:firstLineChars="0"/>
        <w:rPr>
          <w:rFonts w:hint="default"/>
          <w:lang w:val="en-US" w:eastAsia="zh-CN"/>
        </w:rPr>
      </w:pPr>
    </w:p>
    <w:p w14:paraId="7F7A280B">
      <w:pPr>
        <w:spacing w:line="560" w:lineRule="exact"/>
        <w:jc w:val="center"/>
        <w:rPr>
          <w:rFonts w:ascii="仿宋_GB2312" w:hAnsi="仿宋_GB2312" w:eastAsia="仿宋_GB2312" w:cs="仿宋_GB2312"/>
          <w:sz w:val="32"/>
          <w:szCs w:val="32"/>
        </w:rPr>
      </w:pPr>
      <w:r>
        <w:rPr>
          <w:rFonts w:hint="eastAsia" w:ascii="方正小标宋简体" w:hAnsi="仿宋_GB2312" w:eastAsia="方正小标宋简体" w:cs="方正小标宋简体"/>
          <w:sz w:val="44"/>
          <w:szCs w:val="44"/>
        </w:rPr>
        <w:t>关于《</w:t>
      </w:r>
      <w:r>
        <w:rPr>
          <w:rFonts w:hint="eastAsia" w:ascii="方正小标宋简体" w:hAnsi="仿宋_GB2312" w:eastAsia="方正小标宋简体" w:cs="方正小标宋简体"/>
          <w:sz w:val="44"/>
          <w:szCs w:val="44"/>
          <w:lang w:val="en-US" w:eastAsia="zh-CN"/>
        </w:rPr>
        <w:t>北京市大兴区人民政府关于划定本行政区域禁止露天烧烤范围的通告（征求意见稿）</w:t>
      </w:r>
      <w:r>
        <w:rPr>
          <w:rFonts w:hint="eastAsia" w:ascii="方正小标宋简体" w:hAnsi="仿宋_GB2312" w:eastAsia="方正小标宋简体" w:cs="方正小标宋简体"/>
          <w:sz w:val="44"/>
          <w:szCs w:val="44"/>
        </w:rPr>
        <w:t>》的</w:t>
      </w:r>
      <w:r>
        <w:rPr>
          <w:rFonts w:hint="eastAsia" w:ascii="方正小标宋简体" w:hAnsi="仿宋_GB2312" w:eastAsia="方正小标宋简体" w:cs="方正小标宋简体"/>
          <w:sz w:val="44"/>
          <w:szCs w:val="44"/>
          <w:lang w:val="en-US" w:eastAsia="zh-CN"/>
        </w:rPr>
        <w:t>修订</w:t>
      </w:r>
      <w:r>
        <w:rPr>
          <w:rFonts w:hint="eastAsia" w:ascii="方正小标宋简体" w:hAnsi="仿宋_GB2312" w:eastAsia="方正小标宋简体" w:cs="方正小标宋简体"/>
          <w:sz w:val="44"/>
          <w:szCs w:val="44"/>
        </w:rPr>
        <w:t>说明</w:t>
      </w:r>
    </w:p>
    <w:p w14:paraId="710E3287">
      <w:pPr>
        <w:spacing w:line="560" w:lineRule="exact"/>
        <w:ind w:firstLine="640" w:firstLineChars="200"/>
        <w:rPr>
          <w:rFonts w:ascii="仿宋_GB2312" w:hAnsi="仿宋_GB2312" w:eastAsia="仿宋_GB2312" w:cs="仿宋_GB2312"/>
          <w:sz w:val="32"/>
          <w:szCs w:val="32"/>
        </w:rPr>
      </w:pPr>
    </w:p>
    <w:p w14:paraId="1DC7D8D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一、修订背景</w:t>
      </w:r>
    </w:p>
    <w:p w14:paraId="1F5FBBF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北京市大兴区人民政府关于划定本行政区域禁止露天烧烤范围的通告》（京兴政发〔2022〕20号，下称《通告》）于2022年12月9日印发实施。《中华人民共和国生态环境法典》已于2026年8月15日起施行，《中华人民共和国大气污染防治法》同步废止。</w:t>
      </w:r>
    </w:p>
    <w:p w14:paraId="55EF35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为落实《中华人民共和国生态环境法典》的有关要求，消除文件与上位法冲突内容，需对《通告》中相关法律依据进行调整，确保文件合法合规。本次修订仅调整法律依据名称，不改动本行政区域禁止露天烧烤范围有关事项。</w:t>
      </w:r>
    </w:p>
    <w:p w14:paraId="209A94F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二、修订工作过程</w:t>
      </w:r>
    </w:p>
    <w:p w14:paraId="57F3CD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由区城管执法局牵头开展条款梳理、修订草案起草工作，按简化程序开展公众意见征集，汇总意见后形成《通告（征求意见稿）》，拟按程序报送至区司法局进行合法性审核，提请区政府常务会议审议。</w:t>
      </w:r>
    </w:p>
    <w:p w14:paraId="7A14772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b w:val="0"/>
          <w:bCs w:val="0"/>
          <w:color w:val="000000"/>
          <w:sz w:val="32"/>
          <w:szCs w:val="32"/>
        </w:rPr>
        <w:t>三、主要修订内容</w:t>
      </w:r>
    </w:p>
    <w:p w14:paraId="42994D3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原条款内容：</w:t>
      </w:r>
      <w:r>
        <w:rPr>
          <w:rFonts w:hint="eastAsia" w:ascii="仿宋_GB2312" w:hAnsi="仿宋_GB2312" w:eastAsia="仿宋_GB2312" w:cs="仿宋_GB2312"/>
          <w:color w:val="000000"/>
          <w:sz w:val="32"/>
          <w:szCs w:val="32"/>
          <w:lang w:val="en-US" w:eastAsia="zh-CN"/>
        </w:rPr>
        <w:t>为改善本区环境质量，防治大气污染，营造整洁优美、秩序规范、清新宜居的工作生活环境，</w:t>
      </w:r>
      <w:r>
        <w:rPr>
          <w:rFonts w:hint="eastAsia" w:ascii="仿宋_GB2312" w:hAnsi="仿宋_GB2312" w:eastAsia="仿宋_GB2312" w:cs="仿宋_GB2312"/>
          <w:sz w:val="32"/>
          <w:szCs w:val="32"/>
        </w:rPr>
        <w:t>根据《中华人民共和国大气污染防治法》《北京市大气污染防治条例》《北京市禁止露天烧烤食品的规定》</w:t>
      </w:r>
      <w:r>
        <w:rPr>
          <w:rFonts w:hint="eastAsia" w:ascii="仿宋_GB2312" w:hAnsi="仿宋_GB2312" w:eastAsia="仿宋_GB2312" w:cs="仿宋_GB2312"/>
          <w:color w:val="000000"/>
          <w:sz w:val="32"/>
          <w:szCs w:val="32"/>
          <w:lang w:val="en-US" w:eastAsia="zh-CN"/>
        </w:rPr>
        <w:t>等有关法律法规规定，经区政府常务会议研究决定，划定本行政区域禁止露天烧烤范围。</w:t>
      </w:r>
    </w:p>
    <w:p w14:paraId="0F721EA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修订后内容：为改善本区环境质量，防治大气污染，营造整洁优美、秩序规范、清新宜居的工作生活环境，根据《中华人民共和国生态文明法典》等有关法律法规规定，经区政府常务会议研究决定，划定本行政区域禁止露天烧烤范围。</w:t>
      </w:r>
    </w:p>
    <w:p w14:paraId="25B8865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修订理由：</w:t>
      </w:r>
      <w:r>
        <w:rPr>
          <w:rFonts w:hint="eastAsia" w:ascii="仿宋_GB2312" w:hAnsi="仿宋_GB2312" w:eastAsia="仿宋_GB2312" w:cs="仿宋_GB2312"/>
          <w:color w:val="000000"/>
          <w:kern w:val="0"/>
          <w:sz w:val="32"/>
          <w:szCs w:val="32"/>
          <w:lang w:val="en-US" w:eastAsia="zh-CN" w:bidi="ar"/>
        </w:rPr>
        <w:t>《中华人民共和国大气污染防治法》已</w:t>
      </w:r>
      <w:r>
        <w:rPr>
          <w:rFonts w:hint="eastAsia" w:ascii="仿宋_GB2312" w:hAnsi="仿宋_GB2312" w:eastAsia="仿宋_GB2312" w:cs="仿宋_GB2312"/>
          <w:color w:val="000000"/>
          <w:sz w:val="32"/>
          <w:szCs w:val="32"/>
        </w:rPr>
        <w:t>于2026年8月15日废止，</w:t>
      </w:r>
      <w:bookmarkStart w:id="0" w:name="_GoBack"/>
      <w:r>
        <w:rPr>
          <w:rFonts w:hint="eastAsia" w:ascii="仿宋_GB2312" w:hAnsi="仿宋_GB2312" w:eastAsia="仿宋_GB2312" w:cs="仿宋_GB2312"/>
          <w:color w:val="000000"/>
          <w:sz w:val="32"/>
          <w:szCs w:val="32"/>
        </w:rPr>
        <w:t>原</w:t>
      </w:r>
      <w:r>
        <w:rPr>
          <w:rFonts w:hint="eastAsia" w:ascii="仿宋_GB2312" w:hAnsi="仿宋_GB2312" w:eastAsia="仿宋_GB2312" w:cs="仿宋_GB2312"/>
          <w:color w:val="000000"/>
          <w:sz w:val="32"/>
          <w:szCs w:val="32"/>
          <w:lang w:eastAsia="zh-CN"/>
        </w:rPr>
        <w:t>表述引用已废止法律，</w:t>
      </w:r>
      <w:bookmarkEnd w:id="0"/>
      <w:r>
        <w:rPr>
          <w:rFonts w:hint="eastAsia" w:ascii="仿宋_GB2312" w:hAnsi="仿宋_GB2312" w:eastAsia="仿宋_GB2312" w:cs="仿宋_GB2312"/>
          <w:color w:val="000000"/>
          <w:sz w:val="32"/>
          <w:szCs w:val="32"/>
          <w:lang w:val="en-US" w:eastAsia="zh-CN"/>
        </w:rPr>
        <w:t>不符合相关要求</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本次修订</w:t>
      </w:r>
      <w:r>
        <w:rPr>
          <w:rFonts w:hint="eastAsia" w:ascii="仿宋_GB2312" w:hAnsi="仿宋_GB2312" w:eastAsia="仿宋_GB2312" w:cs="仿宋_GB2312"/>
          <w:color w:val="000000"/>
          <w:sz w:val="32"/>
          <w:szCs w:val="32"/>
        </w:rPr>
        <w:t>仅</w:t>
      </w:r>
      <w:r>
        <w:rPr>
          <w:rFonts w:hint="eastAsia" w:ascii="仿宋_GB2312" w:hAnsi="仿宋_GB2312" w:eastAsia="仿宋_GB2312" w:cs="仿宋_GB2312"/>
          <w:color w:val="000000"/>
          <w:sz w:val="32"/>
          <w:szCs w:val="32"/>
          <w:lang w:val="en-US" w:eastAsia="zh-CN"/>
        </w:rPr>
        <w:t>调整相关法律依据</w:t>
      </w:r>
      <w:r>
        <w:rPr>
          <w:rFonts w:hint="eastAsia" w:ascii="仿宋_GB2312" w:hAnsi="仿宋_GB2312" w:eastAsia="仿宋_GB2312" w:cs="仿宋_GB2312"/>
          <w:color w:val="000000"/>
          <w:sz w:val="32"/>
          <w:szCs w:val="32"/>
        </w:rPr>
        <w:t>名称，</w:t>
      </w:r>
      <w:r>
        <w:rPr>
          <w:rFonts w:hint="eastAsia" w:ascii="仿宋_GB2312" w:hAnsi="仿宋_GB2312" w:eastAsia="仿宋_GB2312" w:cs="仿宋_GB2312"/>
          <w:color w:val="000000"/>
          <w:sz w:val="32"/>
          <w:szCs w:val="32"/>
          <w:lang w:eastAsia="zh-CN"/>
        </w:rPr>
        <w:t>其余内容保持不变。</w:t>
      </w:r>
    </w:p>
    <w:p w14:paraId="06466A8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lang w:val="en-US" w:eastAsia="zh-CN"/>
        </w:rPr>
        <w:t>四</w:t>
      </w:r>
      <w:r>
        <w:rPr>
          <w:rFonts w:hint="eastAsia" w:ascii="黑体" w:hAnsi="黑体" w:eastAsia="黑体" w:cs="黑体"/>
          <w:b w:val="0"/>
          <w:bCs w:val="0"/>
          <w:color w:val="000000"/>
          <w:sz w:val="32"/>
          <w:szCs w:val="32"/>
        </w:rPr>
        <w:t>、</w:t>
      </w:r>
      <w:r>
        <w:rPr>
          <w:rFonts w:hint="eastAsia" w:ascii="黑体" w:hAnsi="黑体" w:eastAsia="黑体" w:cs="黑体"/>
          <w:b w:val="0"/>
          <w:bCs w:val="0"/>
          <w:sz w:val="32"/>
          <w:szCs w:val="32"/>
        </w:rPr>
        <w:t>需要特别说明的问题</w:t>
      </w:r>
    </w:p>
    <w:p w14:paraId="45B8F7EA">
      <w:pPr>
        <w:shd w:val="clear" w:color="auto" w:fill="auto"/>
        <w:snapToGrid w:val="0"/>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000000"/>
          <w:kern w:val="0"/>
          <w:sz w:val="32"/>
          <w:szCs w:val="32"/>
          <w:lang w:val="en-US" w:eastAsia="zh-CN" w:bidi="ar"/>
        </w:rPr>
        <w:t>《通告》</w:t>
      </w:r>
      <w:r>
        <w:rPr>
          <w:rFonts w:hint="eastAsia" w:ascii="仿宋_GB2312" w:hAnsi="仿宋_GB2312" w:eastAsia="仿宋_GB2312" w:cs="仿宋_GB2312"/>
          <w:sz w:val="32"/>
          <w:szCs w:val="32"/>
          <w:highlight w:val="none"/>
        </w:rPr>
        <w:t>经</w:t>
      </w:r>
      <w:r>
        <w:rPr>
          <w:rFonts w:hint="eastAsia" w:ascii="仿宋_GB2312" w:hAnsi="仿宋_GB2312" w:eastAsia="仿宋_GB2312" w:cs="仿宋_GB2312"/>
          <w:sz w:val="32"/>
          <w:szCs w:val="32"/>
          <w:highlight w:val="none"/>
          <w:lang w:val="en-US" w:eastAsia="zh-CN"/>
        </w:rPr>
        <w:t>区</w:t>
      </w:r>
      <w:r>
        <w:rPr>
          <w:rFonts w:hint="eastAsia" w:ascii="仿宋_GB2312" w:hAnsi="仿宋_GB2312" w:eastAsia="仿宋_GB2312" w:cs="仿宋_GB2312"/>
          <w:sz w:val="32"/>
          <w:szCs w:val="32"/>
          <w:highlight w:val="none"/>
        </w:rPr>
        <w:t>政府常务会议审议</w:t>
      </w:r>
      <w:r>
        <w:rPr>
          <w:rFonts w:hint="eastAsia" w:ascii="仿宋_GB2312" w:hAnsi="仿宋_GB2312" w:eastAsia="仿宋_GB2312" w:cs="仿宋_GB2312"/>
          <w:sz w:val="32"/>
          <w:szCs w:val="32"/>
          <w:highlight w:val="none"/>
          <w:lang w:val="en-US" w:eastAsia="zh-CN"/>
        </w:rPr>
        <w:t>修订</w:t>
      </w:r>
      <w:r>
        <w:rPr>
          <w:rFonts w:hint="eastAsia" w:ascii="仿宋_GB2312" w:hAnsi="仿宋_GB2312" w:eastAsia="仿宋_GB2312" w:cs="仿宋_GB2312"/>
          <w:sz w:val="32"/>
          <w:szCs w:val="32"/>
          <w:highlight w:val="none"/>
        </w:rPr>
        <w:t>后，拟以</w:t>
      </w:r>
      <w:r>
        <w:rPr>
          <w:rFonts w:hint="eastAsia" w:ascii="仿宋_GB2312" w:hAnsi="仿宋_GB2312" w:eastAsia="仿宋_GB2312" w:cs="仿宋_GB2312"/>
          <w:sz w:val="32"/>
          <w:szCs w:val="32"/>
          <w:highlight w:val="none"/>
          <w:lang w:val="en-US" w:eastAsia="zh-CN"/>
        </w:rPr>
        <w:t>大兴区人民政府</w:t>
      </w:r>
      <w:r>
        <w:rPr>
          <w:rFonts w:hint="eastAsia" w:ascii="仿宋_GB2312" w:hAnsi="仿宋_GB2312" w:eastAsia="仿宋_GB2312" w:cs="仿宋_GB2312"/>
          <w:sz w:val="32"/>
          <w:szCs w:val="32"/>
          <w:highlight w:val="none"/>
        </w:rPr>
        <w:t>名义印发实施。</w:t>
      </w:r>
    </w:p>
    <w:p w14:paraId="73C42921">
      <w:pPr>
        <w:widowControl/>
        <w:spacing w:line="560" w:lineRule="exact"/>
        <w:rPr>
          <w:rFonts w:ascii="仿宋_GB2312" w:hAnsi="仿宋_GB2312" w:eastAsia="仿宋_GB2312" w:cs="仿宋_GB2312"/>
          <w:sz w:val="32"/>
          <w:szCs w:val="32"/>
        </w:rPr>
      </w:pPr>
    </w:p>
    <w:p w14:paraId="3FCBD107"/>
    <w:sectPr>
      <w:footerReference r:id="rId3" w:type="default"/>
      <w:pgSz w:w="11906" w:h="16838"/>
      <w:pgMar w:top="2098" w:right="1474" w:bottom="1417" w:left="1587" w:header="851" w:footer="992" w:gutter="0"/>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11A0D">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46760" cy="231140"/>
              <wp:effectExtent l="0" t="0" r="0" b="0"/>
              <wp:wrapNone/>
              <wp:docPr id="2" name="文本框 2"/>
              <wp:cNvGraphicFramePr/>
              <a:graphic xmlns:a="http://schemas.openxmlformats.org/drawingml/2006/main">
                <a:graphicData uri="http://schemas.microsoft.com/office/word/2010/wordprocessingShape">
                  <wps:wsp>
                    <wps:cNvSpPr txBox="1"/>
                    <wps:spPr>
                      <a:xfrm>
                        <a:off x="0" y="0"/>
                        <a:ext cx="746760" cy="231140"/>
                      </a:xfrm>
                      <a:prstGeom prst="rect">
                        <a:avLst/>
                      </a:prstGeom>
                      <a:noFill/>
                      <a:ln>
                        <a:noFill/>
                      </a:ln>
                    </wps:spPr>
                    <wps:txbx>
                      <w:txbxContent>
                        <w:p w14:paraId="0C0C6683">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lIns="0" tIns="0" rIns="0" bIns="0" upright="0"/>
                  </wps:wsp>
                </a:graphicData>
              </a:graphic>
            </wp:anchor>
          </w:drawing>
        </mc:Choice>
        <mc:Fallback>
          <w:pict>
            <v:shape id="_x0000_s1026" o:spid="_x0000_s1026" o:spt="202" type="#_x0000_t202" style="position:absolute;left:0pt;margin-top:0pt;height:18.2pt;width:58.8pt;mso-position-horizontal:center;mso-position-horizontal-relative:margin;z-index:251659264;mso-width-relative:page;mso-height-relative:page;" filled="f" stroked="f" coordsize="21600,21600" o:gfxdata="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O+VGXLXAAAABwEAAA8AAAAAAAAAAQAgAAAAIgAAAGRycy9kb3ducmV2LnhtbFBLAQIU&#10;ABQAAAAIAIdO4kCkceVEuwEAAHEDAAAOAAAAAAAAAAEAIAAAACYBAABkcnMvZTJvRG9jLnhtbFBL&#10;BQYAAAAABgAGAFkBAABTBQAAAAA=&#10;">
              <v:fill on="f" focussize="0,0"/>
              <v:stroke on="f"/>
              <v:imagedata o:title=""/>
              <o:lock v:ext="edit" aspectratio="f"/>
              <v:textbox inset="0mm,0mm,0mm,0mm">
                <w:txbxContent>
                  <w:p w14:paraId="0C0C6683">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415742"/>
    <w:rsid w:val="035267A2"/>
    <w:rsid w:val="07C17B6D"/>
    <w:rsid w:val="099948FD"/>
    <w:rsid w:val="09AF1972"/>
    <w:rsid w:val="0A79028B"/>
    <w:rsid w:val="0AB01AC5"/>
    <w:rsid w:val="11F8062F"/>
    <w:rsid w:val="136A730B"/>
    <w:rsid w:val="156E1C8F"/>
    <w:rsid w:val="15E51B78"/>
    <w:rsid w:val="17C02D15"/>
    <w:rsid w:val="29FB2613"/>
    <w:rsid w:val="30224D9D"/>
    <w:rsid w:val="3FA4757D"/>
    <w:rsid w:val="40415742"/>
    <w:rsid w:val="40B572F3"/>
    <w:rsid w:val="41F67E38"/>
    <w:rsid w:val="48B721DD"/>
    <w:rsid w:val="48D83DF3"/>
    <w:rsid w:val="4B8A4845"/>
    <w:rsid w:val="4C995F8F"/>
    <w:rsid w:val="4F3F6893"/>
    <w:rsid w:val="53BA0CC5"/>
    <w:rsid w:val="552C79A0"/>
    <w:rsid w:val="58607961"/>
    <w:rsid w:val="60BB7E2A"/>
    <w:rsid w:val="651144BD"/>
    <w:rsid w:val="65E676F8"/>
    <w:rsid w:val="6CF52916"/>
    <w:rsid w:val="6F3516F0"/>
    <w:rsid w:val="705D2CAC"/>
    <w:rsid w:val="75120509"/>
    <w:rsid w:val="76A809F9"/>
    <w:rsid w:val="79B17B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widowControl w:val="0"/>
      <w:spacing w:line="300" w:lineRule="atLeast"/>
      <w:jc w:val="center"/>
    </w:pPr>
    <w:rPr>
      <w:rFonts w:ascii="Times New Roman" w:hAnsi="Times New Roman" w:eastAsia="宋体" w:cs="Times New Roman"/>
      <w:color w:val="000000"/>
      <w:kern w:val="2"/>
      <w:sz w:val="44"/>
      <w:lang w:val="en-US" w:eastAsia="zh-CN" w:bidi="ar-SA"/>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公文正文"/>
    <w:basedOn w:val="1"/>
    <w:link w:val="12"/>
    <w:qFormat/>
    <w:uiPriority w:val="0"/>
    <w:pPr>
      <w:spacing w:line="560" w:lineRule="exact"/>
      <w:ind w:firstLine="420" w:firstLineChars="200"/>
    </w:pPr>
    <w:rPr>
      <w:rFonts w:ascii="仿宋_GB2312" w:hAnsi="仿宋_GB2312" w:eastAsia="仿宋_GB2312" w:cs="仿宋_GB2312"/>
      <w:color w:val="auto"/>
      <w:sz w:val="32"/>
      <w:szCs w:val="32"/>
    </w:rPr>
  </w:style>
  <w:style w:type="paragraph" w:customStyle="1" w:styleId="9">
    <w:name w:val="二级标题"/>
    <w:basedOn w:val="1"/>
    <w:qFormat/>
    <w:uiPriority w:val="0"/>
    <w:pPr>
      <w:spacing w:line="560" w:lineRule="exact"/>
      <w:ind w:firstLine="420" w:firstLineChars="200"/>
      <w:jc w:val="left"/>
    </w:pPr>
    <w:rPr>
      <w:rFonts w:ascii="楷体_GB2312" w:hAnsi="楷体_GB2312" w:eastAsia="楷体_GB2312" w:cs="楷体_GB2312"/>
      <w:color w:val="auto"/>
      <w:sz w:val="32"/>
      <w:szCs w:val="32"/>
    </w:rPr>
  </w:style>
  <w:style w:type="paragraph" w:customStyle="1" w:styleId="10">
    <w:name w:val="大标题"/>
    <w:basedOn w:val="8"/>
    <w:next w:val="8"/>
    <w:qFormat/>
    <w:uiPriority w:val="0"/>
    <w:pPr>
      <w:spacing w:line="640" w:lineRule="exact"/>
      <w:ind w:firstLine="0" w:firstLineChars="0"/>
      <w:jc w:val="center"/>
    </w:pPr>
    <w:rPr>
      <w:rFonts w:ascii="方正小标宋简体" w:hAnsi="方正小标宋简体" w:eastAsia="方正小标宋简体" w:cs="方正小标宋简体"/>
      <w:color w:val="auto"/>
      <w:sz w:val="44"/>
      <w:szCs w:val="44"/>
    </w:rPr>
  </w:style>
  <w:style w:type="paragraph" w:customStyle="1" w:styleId="11">
    <w:name w:val="公文页码"/>
    <w:basedOn w:val="1"/>
    <w:qFormat/>
    <w:uiPriority w:val="0"/>
    <w:pPr>
      <w:spacing w:line="240" w:lineRule="auto"/>
      <w:ind w:firstLine="0" w:firstLineChars="0"/>
    </w:pPr>
    <w:rPr>
      <w:rFonts w:ascii="宋体" w:hAnsi="宋体" w:eastAsia="宋体" w:cs="宋体"/>
      <w:color w:val="auto"/>
      <w:sz w:val="28"/>
      <w:szCs w:val="28"/>
    </w:rPr>
  </w:style>
  <w:style w:type="character" w:customStyle="1" w:styleId="12">
    <w:name w:val="公文正文 Char"/>
    <w:link w:val="8"/>
    <w:qFormat/>
    <w:uiPriority w:val="0"/>
    <w:rPr>
      <w:rFonts w:ascii="仿宋_GB2312" w:hAnsi="仿宋_GB2312" w:eastAsia="仿宋_GB2312" w:cs="仿宋_GB2312"/>
      <w:color w:val="auto"/>
      <w:sz w:val="32"/>
      <w:szCs w:val="32"/>
    </w:rPr>
  </w:style>
  <w:style w:type="paragraph" w:customStyle="1" w:styleId="13">
    <w:name w:val="一级标题"/>
    <w:basedOn w:val="8"/>
    <w:qFormat/>
    <w:uiPriority w:val="0"/>
    <w:pPr>
      <w:spacing w:line="560" w:lineRule="exact"/>
      <w:ind w:firstLine="420" w:firstLineChars="200"/>
    </w:pPr>
    <w:rPr>
      <w:rFonts w:ascii="黑体" w:hAnsi="黑体" w:eastAsia="黑体" w:cs="黑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4</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2026-08-28T02:25:00Z</dcterms:created>
  <dc:creator>郭傲</dc:creator>
  <cp:lastModifiedBy>郭傲</cp:lastModifiedBy>
  <cp:lastPrinted>2026-08-28T03:11:25Z</cp:lastPrinted>
  <dcterms:modified xsi:type="dcterms:W3CDTF">2026-08-28T06:38:48Z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2149C7F87BE0488D9178961DDA9E31DD_11</vt:lpwstr>
  </property>
  <property fmtid="{D5CDD505-2E9C-101B-9397-08002B2CF9AE}" pid="4" name="KSOTemplateDocerSaveRecord">
    <vt:lpwstr>eyJoZGlkIjoiYzZkNzQ4ZWFiZmQ4NTRhOWRkZTk3YTMwMjlmMmZhYmUiLCJ1c2VySWQiOiIzNTI3ODYxMzAifQ==</vt:lpwstr>
  </property>
</Properties>
</file>