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872E4">
      <w:pPr>
        <w:adjustRightInd w:val="0"/>
        <w:snapToGrid w:val="0"/>
        <w:spacing w:line="360" w:lineRule="auto"/>
        <w:jc w:val="both"/>
        <w:outlineLvl w:val="9"/>
        <w:rPr>
          <w:rFonts w:ascii="黑体" w:hAnsi="华文中宋" w:eastAsia="黑体"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</w:p>
    <w:p w14:paraId="6D3D950A">
      <w:pPr>
        <w:adjustRightInd w:val="0"/>
        <w:snapToGrid w:val="0"/>
        <w:spacing w:line="360" w:lineRule="auto"/>
        <w:jc w:val="both"/>
        <w:outlineLvl w:val="9"/>
        <w:rPr>
          <w:rFonts w:ascii="黑体" w:hAnsi="华文中宋" w:eastAsia="黑体"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</w:p>
    <w:p w14:paraId="46ECAAC1">
      <w:pPr>
        <w:adjustRightInd w:val="0"/>
        <w:snapToGrid w:val="0"/>
        <w:spacing w:line="360" w:lineRule="auto"/>
        <w:jc w:val="both"/>
        <w:outlineLvl w:val="9"/>
        <w:rPr>
          <w:rFonts w:ascii="黑体" w:hAnsi="华文中宋" w:eastAsia="黑体"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</w:p>
    <w:p w14:paraId="3CCED667">
      <w:pPr>
        <w:adjustRightInd w:val="0"/>
        <w:snapToGrid w:val="0"/>
        <w:spacing w:line="360" w:lineRule="auto"/>
        <w:jc w:val="both"/>
        <w:outlineLvl w:val="9"/>
        <w:rPr>
          <w:rFonts w:ascii="黑体" w:hAnsi="华文中宋" w:eastAsia="黑体"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</w:p>
    <w:p w14:paraId="03C47DCA">
      <w:pPr>
        <w:adjustRightInd w:val="0"/>
        <w:snapToGrid w:val="0"/>
        <w:spacing w:line="360" w:lineRule="auto"/>
        <w:jc w:val="both"/>
        <w:outlineLvl w:val="9"/>
        <w:rPr>
          <w:rFonts w:ascii="黑体" w:hAnsi="华文中宋" w:eastAsia="黑体"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</w:p>
    <w:p w14:paraId="368C1379">
      <w:pPr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大兴区“十五五”时期国有企业</w:t>
      </w:r>
    </w:p>
    <w:p w14:paraId="62A1167C">
      <w:pPr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高质量发展规划</w:t>
      </w:r>
    </w:p>
    <w:p w14:paraId="07256CE4">
      <w:pPr>
        <w:jc w:val="center"/>
        <w:rPr>
          <w:rFonts w:hint="eastAsia" w:ascii="华文仿宋" w:hAnsi="华文仿宋" w:eastAsia="华文仿宋"/>
          <w:b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31"/>
          <w:rFonts w:hint="eastAsia" w:ascii="方正小标宋简体" w:hAnsi="仿宋_GB2312" w:eastAsia="方正小标宋简体" w:cs="Times New Roman"/>
          <w:color w:val="000000"/>
          <w:sz w:val="40"/>
          <w:szCs w:val="40"/>
          <w:lang w:eastAsia="zh-CN"/>
        </w:rPr>
        <w:t>（</w:t>
      </w:r>
      <w:r>
        <w:rPr>
          <w:rStyle w:val="31"/>
          <w:rFonts w:hint="eastAsia" w:ascii="方正小标宋简体" w:hAnsi="仿宋_GB2312" w:eastAsia="方正小标宋简体" w:cs="Times New Roman"/>
          <w:color w:val="000000"/>
          <w:sz w:val="40"/>
          <w:szCs w:val="40"/>
          <w:lang w:val="en-US" w:eastAsia="zh-CN"/>
        </w:rPr>
        <w:t>征求意见</w:t>
      </w:r>
      <w:bookmarkStart w:id="51" w:name="_GoBack"/>
      <w:bookmarkEnd w:id="51"/>
      <w:r>
        <w:rPr>
          <w:rStyle w:val="31"/>
          <w:rFonts w:hint="eastAsia" w:ascii="方正小标宋简体" w:hAnsi="仿宋_GB2312" w:eastAsia="方正小标宋简体" w:cs="Times New Roman"/>
          <w:color w:val="000000"/>
          <w:sz w:val="40"/>
          <w:szCs w:val="40"/>
          <w:lang w:eastAsia="zh-CN"/>
        </w:rPr>
        <w:t>稿）</w:t>
      </w:r>
    </w:p>
    <w:p w14:paraId="399A4957">
      <w:pPr>
        <w:jc w:val="center"/>
        <w:rPr>
          <w:rFonts w:hint="eastAsia" w:ascii="华文仿宋" w:hAnsi="华文仿宋" w:eastAsia="华文仿宋"/>
          <w:b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</w:p>
    <w:p w14:paraId="179221B0">
      <w:pPr>
        <w:jc w:val="both"/>
        <w:rPr>
          <w:rFonts w:ascii="华文仿宋" w:hAnsi="华文仿宋" w:eastAsia="华文仿宋"/>
          <w:b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titlePg/>
          <w:docGrid w:type="lines" w:linePitch="312" w:charSpace="0"/>
        </w:sectPr>
      </w:pPr>
    </w:p>
    <w:p w14:paraId="489CE2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0" w:firstLineChars="0"/>
        <w:jc w:val="center"/>
        <w:textAlignment w:val="auto"/>
        <w:rPr>
          <w:rFonts w:ascii="宋体" w:hAnsi="宋体" w:eastAsia="宋体" w:cstheme="minorBidi"/>
          <w:b/>
          <w:bCs/>
          <w:kern w:val="2"/>
          <w:sz w:val="32"/>
          <w:szCs w:val="36"/>
          <w:lang w:val="en-US" w:eastAsia="zh-CN" w:bidi="ar-SA"/>
        </w:rPr>
        <w:sectPr>
          <w:footerReference r:id="rId4" w:type="default"/>
          <w:type w:val="continuous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upperRoman" w:start="1"/>
          <w:cols w:space="425" w:num="1"/>
          <w:docGrid w:type="lines" w:linePitch="312" w:charSpace="0"/>
        </w:sectPr>
      </w:pPr>
    </w:p>
    <w:sdt>
      <w:sdtP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0"/>
          <w:szCs w:val="44"/>
          <w:lang w:val="en-US" w:eastAsia="zh-CN" w:bidi="ar-SA"/>
        </w:rPr>
        <w:id w:val="147480241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theme="minorBidi"/>
          <w:b/>
          <w:bCs/>
          <w:kern w:val="2"/>
          <w:sz w:val="21"/>
          <w:szCs w:val="22"/>
          <w:highlight w:val="none"/>
          <w:lang w:val="en-US" w:eastAsia="zh-CN" w:bidi="ar-SA"/>
        </w:rPr>
      </w:sdtEndPr>
      <w:sdtContent>
        <w:p w14:paraId="6230F20A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157" w:afterLines="50" w:line="520" w:lineRule="exact"/>
            <w:ind w:left="0" w:leftChars="0" w:right="0" w:rightChars="0" w:firstLine="0" w:firstLineChars="0"/>
            <w:jc w:val="center"/>
            <w:textAlignment w:val="auto"/>
            <w:rPr>
              <w:rFonts w:hint="eastAsia" w:ascii="方正小标宋简体" w:hAnsi="方正小标宋简体" w:eastAsia="方正小标宋简体" w:cs="方正小标宋简体"/>
              <w:b w:val="0"/>
              <w:bCs w:val="0"/>
              <w:sz w:val="40"/>
              <w:szCs w:val="44"/>
            </w:rPr>
          </w:pPr>
          <w:r>
            <w:rPr>
              <w:rFonts w:hint="eastAsia" w:ascii="方正小标宋简体" w:hAnsi="方正小标宋简体" w:eastAsia="方正小标宋简体" w:cs="方正小标宋简体"/>
              <w:b w:val="0"/>
              <w:bCs w:val="0"/>
              <w:sz w:val="40"/>
              <w:szCs w:val="44"/>
            </w:rPr>
            <w:t>目</w:t>
          </w:r>
          <w:r>
            <w:rPr>
              <w:rFonts w:hint="eastAsia" w:ascii="方正小标宋简体" w:hAnsi="方正小标宋简体" w:eastAsia="方正小标宋简体" w:cs="方正小标宋简体"/>
              <w:b w:val="0"/>
              <w:bCs w:val="0"/>
              <w:sz w:val="40"/>
              <w:szCs w:val="44"/>
              <w:lang w:val="en-US" w:eastAsia="zh-CN"/>
            </w:rPr>
            <w:t xml:space="preserve">  </w:t>
          </w:r>
          <w:r>
            <w:rPr>
              <w:rFonts w:hint="eastAsia" w:ascii="方正小标宋简体" w:hAnsi="方正小标宋简体" w:eastAsia="方正小标宋简体" w:cs="方正小标宋简体"/>
              <w:b w:val="0"/>
              <w:bCs w:val="0"/>
              <w:sz w:val="40"/>
              <w:szCs w:val="44"/>
            </w:rPr>
            <w:t>录</w:t>
          </w:r>
        </w:p>
        <w:p w14:paraId="5225385A">
          <w:pPr>
            <w:pStyle w:val="28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TOC \o "1-2" \h \u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_Toc10865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黑体" w:hAnsi="黑体" w:eastAsia="黑体" w:cs="仿宋"/>
              <w:b w:val="0"/>
              <w:bCs w:val="0"/>
              <w:sz w:val="32"/>
              <w:szCs w:val="32"/>
              <w:highlight w:val="none"/>
              <w:lang w:eastAsia="zh-CN"/>
            </w:rPr>
            <w:t>一、</w:t>
          </w:r>
          <w:r>
            <w:rPr>
              <w:rFonts w:hint="eastAsia" w:ascii="黑体" w:hAnsi="黑体" w:eastAsia="黑体" w:cs="仿宋"/>
              <w:b w:val="0"/>
              <w:bCs w:val="0"/>
              <w:sz w:val="32"/>
              <w:szCs w:val="32"/>
              <w:highlight w:val="none"/>
            </w:rPr>
            <w:t>基础与环境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/>
              <w:bCs/>
              <w:sz w:val="32"/>
              <w:szCs w:val="32"/>
            </w:rPr>
            <w:fldChar w:fldCharType="begin"/>
          </w:r>
          <w:r>
            <w:rPr>
              <w:b/>
              <w:bCs/>
              <w:sz w:val="32"/>
              <w:szCs w:val="32"/>
            </w:rPr>
            <w:instrText xml:space="preserve"> PAGEREF _Toc10865 \h </w:instrText>
          </w:r>
          <w:r>
            <w:rPr>
              <w:b/>
              <w:bCs/>
              <w:sz w:val="32"/>
              <w:szCs w:val="32"/>
            </w:rPr>
            <w:fldChar w:fldCharType="separate"/>
          </w:r>
          <w:r>
            <w:rPr>
              <w:b/>
              <w:bCs/>
              <w:sz w:val="32"/>
              <w:szCs w:val="32"/>
            </w:rPr>
            <w:t xml:space="preserve">2 </w:t>
          </w:r>
          <w:r>
            <w:rPr>
              <w:b/>
              <w:bCs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768CBE5A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_Toc1840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</w:rPr>
            <w:t>（一）发展基础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_Toc1840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 xml:space="preserve">2 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77466586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_Toc21455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</w:rPr>
            <w:t>（二）发展环境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_Toc21455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 xml:space="preserve">5 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23656DF7">
          <w:pPr>
            <w:pStyle w:val="28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_Toc14348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黑体" w:hAnsi="黑体" w:eastAsia="黑体" w:cs="仿宋"/>
              <w:b w:val="0"/>
              <w:bCs w:val="0"/>
              <w:sz w:val="32"/>
              <w:szCs w:val="32"/>
              <w:highlight w:val="none"/>
              <w:lang w:eastAsia="zh-CN"/>
            </w:rPr>
            <w:t>二、思路与目标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/>
              <w:bCs/>
              <w:sz w:val="32"/>
              <w:szCs w:val="32"/>
            </w:rPr>
            <w:fldChar w:fldCharType="begin"/>
          </w:r>
          <w:r>
            <w:rPr>
              <w:b/>
              <w:bCs/>
              <w:sz w:val="32"/>
              <w:szCs w:val="32"/>
            </w:rPr>
            <w:instrText xml:space="preserve"> PAGEREF _Toc14348 \h </w:instrText>
          </w:r>
          <w:r>
            <w:rPr>
              <w:b/>
              <w:bCs/>
              <w:sz w:val="32"/>
              <w:szCs w:val="32"/>
            </w:rPr>
            <w:fldChar w:fldCharType="separate"/>
          </w:r>
          <w:r>
            <w:rPr>
              <w:b/>
              <w:bCs/>
              <w:sz w:val="32"/>
              <w:szCs w:val="32"/>
            </w:rPr>
            <w:t xml:space="preserve">6 </w:t>
          </w:r>
          <w:r>
            <w:rPr>
              <w:b/>
              <w:bCs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1062E968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_Toc5370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（一）指导思想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_Toc5370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 xml:space="preserve">6 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76294B70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_Toc26994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（二）基本要求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_Toc26994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7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056FA2D5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_Toc20913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（三）总体思路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_Toc20913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 xml:space="preserve">9 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72C2ED09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_Toc12721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（四）发展目标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_Toc12721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10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306B67C3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_Toc10861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（五）</w:t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val="en-US" w:eastAsia="zh-CN"/>
            </w:rPr>
            <w:t>重要</w:t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指标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_Toc10861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12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700595A1">
          <w:pPr>
            <w:pStyle w:val="28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_Toc3381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黑体" w:hAnsi="黑体" w:eastAsia="黑体" w:cs="仿宋"/>
              <w:b w:val="0"/>
              <w:bCs w:val="0"/>
              <w:sz w:val="32"/>
              <w:szCs w:val="32"/>
              <w:highlight w:val="none"/>
              <w:lang w:eastAsia="zh-CN"/>
            </w:rPr>
            <w:t>三、主要行动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/>
              <w:bCs/>
              <w:sz w:val="32"/>
              <w:szCs w:val="32"/>
            </w:rPr>
            <w:fldChar w:fldCharType="begin"/>
          </w:r>
          <w:r>
            <w:rPr>
              <w:b/>
              <w:bCs/>
              <w:sz w:val="32"/>
              <w:szCs w:val="32"/>
            </w:rPr>
            <w:instrText xml:space="preserve"> PAGEREF _Toc3381 \h </w:instrText>
          </w:r>
          <w:r>
            <w:rPr>
              <w:b/>
              <w:bCs/>
              <w:sz w:val="32"/>
              <w:szCs w:val="32"/>
            </w:rPr>
            <w:fldChar w:fldCharType="separate"/>
          </w:r>
          <w:r>
            <w:rPr>
              <w:b/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1CF3F7C3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_Toc30809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（一）实施“</w:t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val="en-US" w:eastAsia="zh-CN"/>
            </w:rPr>
            <w:t>党建引领</w:t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”行动，</w:t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val="en-US" w:eastAsia="zh-CN"/>
            </w:rPr>
            <w:t>全面加强党的建设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_Toc30809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 xml:space="preserve">12 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52BB212D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_Toc23038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（二）实施“</w:t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val="en-US" w:eastAsia="zh-CN"/>
            </w:rPr>
            <w:t>改革攻坚</w:t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”行动，健全现代企业制度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_Toc23038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15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4E0ECFD1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_Toc26599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（三）实施“产业</w:t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val="en-US" w:eastAsia="zh-CN"/>
            </w:rPr>
            <w:t>提质</w:t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”行动，赋能区域发展蓝图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_Toc26599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16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3385064D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_Toc24138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（四）实施“创新突破”行动，激发企业内生动力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_Toc24138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19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762EF1C9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_Toc8824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（五）实施“服务保障”行动，强化发展支撑作用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_Toc8824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20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0CABCBEF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_Toc2270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方正仿宋_GBK" w:eastAsia="楷体_GB2312" w:cs="Times New Roman"/>
              <w:b w:val="0"/>
              <w:bCs w:val="0"/>
              <w:sz w:val="32"/>
              <w:szCs w:val="32"/>
              <w:highlight w:val="none"/>
              <w:lang w:eastAsia="zh-CN"/>
            </w:rPr>
            <w:t>（六）实施“风险防控”行动，筑牢安全运行体系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_Toc2270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21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61A4A031">
          <w:pPr>
            <w:pStyle w:val="28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_Toc526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黑体" w:hAnsi="黑体" w:eastAsia="黑体" w:cs="仿宋"/>
              <w:b w:val="0"/>
              <w:bCs w:val="0"/>
              <w:sz w:val="32"/>
              <w:szCs w:val="32"/>
              <w:highlight w:val="none"/>
              <w:lang w:eastAsia="zh-CN"/>
            </w:rPr>
            <w:t>四、</w:t>
          </w:r>
          <w:r>
            <w:rPr>
              <w:rFonts w:hint="eastAsia" w:ascii="黑体" w:hAnsi="黑体" w:eastAsia="黑体" w:cs="仿宋"/>
              <w:b w:val="0"/>
              <w:bCs w:val="0"/>
              <w:sz w:val="32"/>
              <w:szCs w:val="32"/>
              <w:highlight w:val="none"/>
              <w:lang w:val="en-US" w:eastAsia="zh-CN"/>
            </w:rPr>
            <w:t>保障措施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/>
              <w:bCs/>
              <w:sz w:val="32"/>
              <w:szCs w:val="32"/>
            </w:rPr>
            <w:fldChar w:fldCharType="begin"/>
          </w:r>
          <w:r>
            <w:rPr>
              <w:b/>
              <w:bCs/>
              <w:sz w:val="32"/>
              <w:szCs w:val="32"/>
            </w:rPr>
            <w:instrText xml:space="preserve"> PAGEREF _Toc526 \h </w:instrText>
          </w:r>
          <w:r>
            <w:rPr>
              <w:b/>
              <w:bCs/>
              <w:sz w:val="32"/>
              <w:szCs w:val="32"/>
            </w:rPr>
            <w:fldChar w:fldCharType="separate"/>
          </w:r>
          <w:r>
            <w:rPr>
              <w:b/>
              <w:bCs/>
              <w:sz w:val="32"/>
              <w:szCs w:val="32"/>
            </w:rPr>
            <w:t>23</w:t>
          </w:r>
          <w:r>
            <w:rPr>
              <w:b/>
              <w:bCs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29F7D0AE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_Toc456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32"/>
              <w:szCs w:val="32"/>
              <w:highlight w:val="none"/>
            </w:rPr>
            <w:t>（一）强化组织领导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_Toc456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23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55C586D6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_Toc5143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32"/>
              <w:szCs w:val="32"/>
              <w:highlight w:val="none"/>
            </w:rPr>
            <w:t>（二）健全制度机制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_Toc5143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24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72B098ED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_Toc31200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32"/>
              <w:szCs w:val="32"/>
              <w:highlight w:val="none"/>
            </w:rPr>
            <w:t>（三）优化资源配置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_Toc31200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24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434F6BDB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_Toc10679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32"/>
              <w:szCs w:val="32"/>
              <w:highlight w:val="none"/>
            </w:rPr>
            <w:t>（四）加强协同联动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_Toc10679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24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6E41D814">
          <w:pPr>
            <w:pStyle w:val="29"/>
            <w:keepNext w:val="0"/>
            <w:keepLines w:val="0"/>
            <w:pageBreakBefore w:val="0"/>
            <w:tabs>
              <w:tab w:val="right" w:leader="dot" w:pos="884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20" w:lineRule="exact"/>
            <w:textAlignment w:val="auto"/>
            <w:rPr>
              <w:b w:val="0"/>
              <w:bCs w:val="0"/>
              <w:sz w:val="32"/>
              <w:szCs w:val="32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begin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instrText xml:space="preserve"> HYPERLINK \l _Toc14504 </w:instrText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 w:val="0"/>
              <w:bCs w:val="0"/>
              <w:sz w:val="32"/>
              <w:szCs w:val="32"/>
              <w:highlight w:val="none"/>
            </w:rPr>
            <w:t>（五）严格考核评估</w:t>
          </w:r>
          <w:r>
            <w:rPr>
              <w:b w:val="0"/>
              <w:bCs w:val="0"/>
              <w:sz w:val="32"/>
              <w:szCs w:val="32"/>
            </w:rPr>
            <w:tab/>
          </w:r>
          <w:r>
            <w:rPr>
              <w:b w:val="0"/>
              <w:bCs w:val="0"/>
              <w:sz w:val="32"/>
              <w:szCs w:val="32"/>
            </w:rPr>
            <w:fldChar w:fldCharType="begin"/>
          </w:r>
          <w:r>
            <w:rPr>
              <w:b w:val="0"/>
              <w:bCs w:val="0"/>
              <w:sz w:val="32"/>
              <w:szCs w:val="32"/>
            </w:rPr>
            <w:instrText xml:space="preserve"> PAGEREF _Toc14504 \h </w:instrText>
          </w:r>
          <w:r>
            <w:rPr>
              <w:b w:val="0"/>
              <w:bCs w:val="0"/>
              <w:sz w:val="32"/>
              <w:szCs w:val="32"/>
            </w:rPr>
            <w:fldChar w:fldCharType="separate"/>
          </w:r>
          <w:r>
            <w:rPr>
              <w:b w:val="0"/>
              <w:bCs w:val="0"/>
              <w:sz w:val="32"/>
              <w:szCs w:val="32"/>
            </w:rPr>
            <w:t>25</w:t>
          </w:r>
          <w:r>
            <w:rPr>
              <w:b w:val="0"/>
              <w:bCs w:val="0"/>
              <w:sz w:val="32"/>
              <w:szCs w:val="32"/>
            </w:rPr>
            <w:fldChar w:fldCharType="end"/>
          </w: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  <w:p w14:paraId="0D22D6A1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after="0" w:line="520" w:lineRule="exact"/>
            <w:ind w:left="0" w:leftChars="0" w:right="0" w:rightChars="0" w:firstLine="0" w:firstLineChars="0"/>
            <w:jc w:val="center"/>
            <w:textAlignment w:val="auto"/>
            <w:rPr>
              <w:rFonts w:ascii="宋体" w:hAnsi="宋体" w:eastAsia="宋体" w:cstheme="minorBidi"/>
              <w:b/>
              <w:kern w:val="2"/>
              <w:sz w:val="21"/>
              <w:szCs w:val="22"/>
              <w:highlight w:val="none"/>
              <w:lang w:val="en-US" w:eastAsia="zh-CN" w:bidi="ar-SA"/>
            </w:rPr>
          </w:pPr>
          <w:r>
            <w:rPr>
              <w:rFonts w:ascii="宋体" w:hAnsi="宋体" w:eastAsia="宋体"/>
              <w:b w:val="0"/>
              <w:bCs w:val="0"/>
              <w:sz w:val="32"/>
              <w:szCs w:val="32"/>
              <w:highlight w:val="none"/>
            </w:rPr>
            <w:fldChar w:fldCharType="end"/>
          </w:r>
        </w:p>
      </w:sdtContent>
    </w:sdt>
    <w:p w14:paraId="6F87E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upperRoman" w:start="1"/>
          <w:cols w:space="425" w:num="1"/>
          <w:docGrid w:type="lines" w:linePitch="312" w:charSpace="0"/>
        </w:sectPr>
      </w:pPr>
    </w:p>
    <w:p w14:paraId="1BADE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十四五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时期，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在大兴区委区政府坚强领导下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eastAsia="zh-CN"/>
        </w:rPr>
        <w:t>，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区国资委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坚决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贯彻落实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党中央、国务院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及北京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市委市政府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关于国资国企改革的重大决策部署，持续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深化改革攻坚，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完善监管服务机制，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实施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一企一园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发展布局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引导区属国有资本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国有企业稳健发展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</w:rPr>
        <w:t>五年来，国有经济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在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改革发展、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结构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布局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、规模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体量等方面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取得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显著成效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，国有资本功能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有效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发挥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资产总额、营业收入、净利润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等关键指标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稳步增长，发展质效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实现系统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提升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国有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经济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战略支撑作用、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区域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带动作用和服务保障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作用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持续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增强，为全区经济社会高质量发展注入强劲动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能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。</w:t>
      </w:r>
    </w:p>
    <w:p w14:paraId="1C567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 w:cstheme="minorBidi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十五五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时期，是基本实现社会主义现代化夯实基础、全面发力的关键时期，也是大兴区国有经济承前启后、实现高质量发展的攻坚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阶段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。面对新形势、新使命，谋划大兴国有经济未来发展，必须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紧扣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中国式现代化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核心任务，主动服务和融入新时代首都发展格局，紧密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围绕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构建现代化产业体系、推动绿色低碳转型、促进区域协调发展等国家重大战略导向。立足大兴区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三区一门户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功能定位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聚焦开放改革示范，建设协同发展示范区、繁荣开放国门新城，锚定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6+5+3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产业发展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布局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，顺应科技革命与产业变革大趋势，以发展新质生产力为牵引，推动区属国企进一步深化改革、强化创新、优化布局、调整结构，持续增强核心功能、提升核心竞争力，坚定不移把国有资本和国有企业做强做优做大。</w:t>
      </w:r>
    </w:p>
    <w:p w14:paraId="49CCD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黑体" w:eastAsia="仿宋_GB2312"/>
          <w:b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展望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十五五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大兴国资国企将着力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fill="auto"/>
          <w14:textFill>
            <w14:solidFill>
              <w14:schemeClr w14:val="tx1"/>
            </w14:solidFill>
          </w14:textFill>
        </w:rPr>
        <w:t>新质经济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紧抓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金融赋能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做优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实体经济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，全面开启转型升级、跨越发展新篇章。力争到2030年，实现区属国有资本结构更优、效益更好、创新能力更强、竞争力更突出，成为全区改革创新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先行者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、新质生产力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培育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主力军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、产业焕新升级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助推器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区域经济发展“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支撑点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，奋力打造北京市国资国企改革发展的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大兴样板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，为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大兴区经济社会高质量发展、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新时代首都发展与中国式现代化建设贡献更大力量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400C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0"/>
        <w:rPr>
          <w:rFonts w:hint="eastAsia" w:ascii="黑体" w:hAnsi="黑体" w:eastAsia="黑体" w:cs="仿宋"/>
          <w:sz w:val="32"/>
          <w:szCs w:val="32"/>
          <w:highlight w:val="none"/>
        </w:rPr>
      </w:pPr>
      <w:bookmarkStart w:id="0" w:name="_Toc10865"/>
      <w:bookmarkStart w:id="1" w:name="_Toc203234346"/>
      <w:r>
        <w:rPr>
          <w:rFonts w:hint="eastAsia" w:ascii="黑体" w:hAnsi="黑体" w:eastAsia="黑体" w:cs="仿宋"/>
          <w:sz w:val="32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 w:cs="仿宋"/>
          <w:sz w:val="32"/>
          <w:szCs w:val="32"/>
          <w:highlight w:val="none"/>
        </w:rPr>
        <w:t>基础与环境</w:t>
      </w:r>
      <w:bookmarkEnd w:id="0"/>
      <w:bookmarkEnd w:id="1"/>
      <w:bookmarkStart w:id="2" w:name="_Toc203234347"/>
    </w:p>
    <w:p w14:paraId="7F652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</w:rPr>
      </w:pPr>
      <w:bookmarkStart w:id="3" w:name="_Toc1840"/>
      <w:r>
        <w:rPr>
          <w:rFonts w:hint="eastAsia" w:ascii="楷体_GB2312" w:hAnsi="方正仿宋_GBK" w:eastAsia="楷体_GB2312" w:cs="Times New Roman"/>
          <w:sz w:val="32"/>
          <w:szCs w:val="32"/>
          <w:highlight w:val="none"/>
        </w:rPr>
        <w:t>（一）发展基础</w:t>
      </w:r>
      <w:bookmarkEnd w:id="2"/>
      <w:bookmarkEnd w:id="3"/>
    </w:p>
    <w:p w14:paraId="0965E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contextualSpacing/>
        <w:jc w:val="both"/>
        <w:textAlignment w:val="auto"/>
        <w:outlineLvl w:val="2"/>
        <w:rPr>
          <w:rFonts w:hint="eastAsia" w:ascii="仿宋_GB2312" w:hAnsi="仿宋" w:eastAsia="仿宋_GB2312" w:cs="仿宋"/>
          <w:b/>
          <w:bCs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  <w:highlight w:val="none"/>
        </w:rPr>
        <w:t>1.主要成效</w:t>
      </w:r>
    </w:p>
    <w:p w14:paraId="28585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黑体" w:eastAsia="仿宋_GB2312"/>
          <w:b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4" w:name="_Toc203234350"/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国有经济效益迈上新台阶。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一是资产规模稳步壮大。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十四五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期间，区属国企资产总额由1474.26亿元增至1752.83亿元，国有资本实现保值增值，综合实力显著增强。二是利润水平跨越式提升。区属国企利润总额从32.67亿元增至45.35亿元，累计增长38.81%，年均利润突破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亿元，盈利增长势头强劲，发展韧性持续彰显。三是税收贡献显著跃升。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十四五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期间累计上交税费58.84亿元，较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十三五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时期增长72.91%，有力支撑区域财政稳健运行，充分体现国有企业的经济担当与社会价值。</w:t>
      </w:r>
    </w:p>
    <w:p w14:paraId="1B53E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5" w:name="_Toc203234348"/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服务保障能力实现新突破。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一是产业园区服务能力持续提升。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建立“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一企一园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布局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持续做强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园区平台公司，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有力支撑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临空经济区、生物医药基地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大兴经开区、氢能示范区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等重点产业园区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集聚发展，助推产业集群优势加速形成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二是城市发展支撑作用显著增强。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高质量完成新城核心区、永定湾、安定镇、庞各庄镇、榆垡镇、魏善庄镇土地一级开发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等重大任务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顺利实施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瀛海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、旧宫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区级统筹集建地用地保障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大兴新城排水管网完善工程等一批基础设施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竣工投用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，市场路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城市更新项目全面启动，为城市功能完善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空间拓展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奠定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坚实基础。三是招商引资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与资产盘活协同增效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。围绕区域主导产业，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依托国企产业空间载体，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成功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引进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片仔癀等105个重点产业项目，荟聚商务科技集聚区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、念坛国际金融商务区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发展基础持续夯实，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资产盘活总面积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65万平米，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实现项目落地与资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产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利用双向促进，持续为区域经济发展注入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活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力。</w:t>
      </w:r>
    </w:p>
    <w:p w14:paraId="16ADB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国有企业改革取得新成效。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一是完善中国特色国有企业现代公司治理。发挥党委把方向管大局保落实、董事会定战略作决策防风险、经理层谋经营抓落实强管理作用，厘清党委和其他治理主体权责边界。二是推动企业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市场化薪酬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改革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。落实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一企一策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差异化薪酬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机制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，推行全员绩效管理，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全面建立市场化薪酬体系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。三是加快战略性重组和专业化整合。区属一级企业户数由14家减少至11家，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整合重组大兴发展、大兴投资、物业集团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推进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处僵治困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处置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僵尸企业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42家。</w:t>
      </w:r>
    </w:p>
    <w:p w14:paraId="025BF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国资监管效能实现新提升。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一是以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管资本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为主的监管格局基本形成。全面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厘清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监管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权责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，明确具体事项，按审批、备案、统筹、核定、督办五种方式，实施分类动态监管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监管架构更加清晰、运行更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加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高效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。二是以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强经营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为主的考核体系见行见效。坚持效率优先、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分类施策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建立健全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激励与约束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并重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、共性与个性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兼顾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、效率与效益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统一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的考核体系，引导区属国企控成本、提效益、强管理。三是以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控风险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为主的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监管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机制落实有力。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持续完善内控建设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内部审计、外部审计、专项审计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协同发力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/>
          <w:sz w:val="32"/>
          <w:szCs w:val="32"/>
          <w:highlight w:val="none"/>
          <w:lang w:val="en-US" w:eastAsia="zh-CN"/>
        </w:rPr>
        <w:t>系统覆盖决策风险、债务风险、法律风险、生产安全风险等各类重点风险领域，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筑牢全方位、全流程风险防控网络，保障区属国企规范经营与稳健发展。</w:t>
      </w:r>
    </w:p>
    <w:p w14:paraId="6974A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国企党建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质效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开创新局面。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一是党建品牌矩阵效应凸显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以区国资委党委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国资先锋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党建品牌为牵引，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区属国企开展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一企一品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党建品牌建设，涌现出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匠心筑梦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数字动力源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等11个党建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特色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品牌，形成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1+N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党建品牌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体系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人才队伍建设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持续优化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实施人才强企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新羽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计划，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国资系统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内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年轻干部横向交流选拔21人；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依托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聚贤工程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市场化招聘，选聘专业强、懂经营、善管理的职业经理人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，锻强国资系统干部人才力量。</w:t>
      </w:r>
    </w:p>
    <w:p w14:paraId="1D0B7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contextualSpacing/>
        <w:jc w:val="both"/>
        <w:textAlignment w:val="auto"/>
        <w:outlineLvl w:val="2"/>
        <w:rPr>
          <w:rFonts w:hint="eastAsia" w:ascii="仿宋_GB2312" w:hAnsi="仿宋" w:eastAsia="仿宋_GB2312" w:cs="仿宋"/>
          <w:b/>
          <w:bCs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  <w:highlight w:val="none"/>
        </w:rPr>
        <w:t>2.</w:t>
      </w:r>
      <w:r>
        <w:rPr>
          <w:rFonts w:hint="eastAsia" w:ascii="仿宋_GB2312" w:hAnsi="仿宋" w:eastAsia="仿宋_GB2312" w:cs="仿宋"/>
          <w:b/>
          <w:bCs/>
          <w:sz w:val="32"/>
          <w:szCs w:val="32"/>
          <w:highlight w:val="none"/>
          <w:lang w:val="en-US" w:eastAsia="zh-CN"/>
        </w:rPr>
        <w:t>存在</w:t>
      </w:r>
      <w:r>
        <w:rPr>
          <w:rFonts w:hint="eastAsia" w:ascii="仿宋_GB2312" w:hAnsi="仿宋" w:eastAsia="仿宋_GB2312" w:cs="仿宋"/>
          <w:b/>
          <w:bCs/>
          <w:sz w:val="32"/>
          <w:szCs w:val="32"/>
          <w:highlight w:val="none"/>
        </w:rPr>
        <w:t>问题</w:t>
      </w:r>
    </w:p>
    <w:p w14:paraId="48AF9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产业结构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有待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优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化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/>
          <w:b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区属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业务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布局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集中在传统领域，新兴领域投资尚未形成规模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效应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普遍采用重资产经营模式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投资周期长、回报慢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制约整体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运营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水平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6879E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黑体" w:eastAsia="仿宋_GB2312"/>
          <w:b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创新意识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亟需增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强。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区属国企整体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创新意识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仍显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薄弱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干部队伍经营管理能力和专业水平与企业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高质量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有差距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在管理创新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模式创新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机制创新等方面仍需提升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702E5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发展质量有待提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高。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区属国企近年主要经济指标增幅较大，但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和运营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效率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仍待提升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，国有资本回报与区委区政府要求仍有差距。</w:t>
      </w:r>
    </w:p>
    <w:p w14:paraId="0A45F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风险管控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仍需加强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区属国企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整体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市场化经营程度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不高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，抗风险能力有待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部分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企业负债规模较大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财务成本偏高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个别企业面临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集中兑付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压力，债务风险防控面临挑战。</w:t>
      </w:r>
    </w:p>
    <w:p w14:paraId="03A52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</w:rPr>
      </w:pPr>
      <w:bookmarkStart w:id="6" w:name="_Toc21455"/>
      <w:r>
        <w:rPr>
          <w:rFonts w:hint="eastAsia" w:ascii="楷体_GB2312" w:hAnsi="方正仿宋_GBK" w:eastAsia="楷体_GB2312" w:cs="Times New Roman"/>
          <w:sz w:val="32"/>
          <w:szCs w:val="32"/>
          <w:highlight w:val="none"/>
        </w:rPr>
        <w:t>（二）发展环境</w:t>
      </w:r>
      <w:bookmarkEnd w:id="5"/>
      <w:bookmarkEnd w:id="6"/>
    </w:p>
    <w:p w14:paraId="010EDE28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</w:rPr>
      </w:pPr>
      <w:bookmarkStart w:id="7" w:name="_Toc169974507_WPSOffice_Level2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从国家战略层面看，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我国正加快构建新发展格局，深入实施创新驱动发展、区域协调发展、碳达峰碳中和等重大战略。新一轮科技革命和产业变革加速推进，</w:t>
      </w:r>
      <w:bookmarkStart w:id="8" w:name="OLE_LINK5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科技创新已成为国际竞争的关键领域。</w:t>
      </w:r>
      <w:bookmarkEnd w:id="8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在此背景下，国有经济作为中国特色社会主义的重要物质基础和政治基础，被赋予科技创新、产业控制、安全支撑等更高战略使命。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国有企业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必须突破传统发展路径，在服务国家战略中展现更大作为，加快培育新质生产力，着力构建高质量发展新优势。</w:t>
      </w:r>
    </w:p>
    <w:p w14:paraId="1F8827D5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从首都发展格局看，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北京正深化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五子联动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战略布局，推动国际科技创新中心建设实现新突破，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两区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政策红利持续释放，现代化首都都市圈建设全面提速。区属国企要把握参与首都现代化经济体系建设的重大机遇，在临空经济区建设、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数字经济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培育、城市服务保障等重点领域积极作为，切实承担服务首都功能、促进区域协同发展的重要使命，充分借助全市资源禀赋和政策支持，实现自身发展能级全面提升。</w:t>
      </w:r>
    </w:p>
    <w:p w14:paraId="7309991D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从区域发展态势看，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大兴区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三区一门户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功能定位持续深化，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六大主导产业和“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6+5+3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产业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发展布局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加快完善。临空经济区进入建设攻坚期，生物医药基地扩容升级稳步推进，千亿级数字产业集群规模初显，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农林科技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创新资源加速集聚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未来能源、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商业航天等新兴产业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加快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发展。区属国企面临重大发展契机，在基础设施建设、园区运营管理、产业投资孵化、公共服务配套等方面的功能作用将更加突出。</w:t>
      </w:r>
    </w:p>
    <w:p w14:paraId="04A4070F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从国企改革进程看，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党的二十届三中全会对全面深化国企改革作出系统部署，要求加快完善以管资本为主的国资监管体制，持续深化国有企业公司治理与市场化经营机制改革。制度性变革正逐步破除制约国企高质量发展的体制机制障碍，为企业成为真正独立市场主体创造有利条件。区属国企应牢牢把握改革窗口期，在治理体系完善、激励机制优化、运营效率提升等方面实现新突破，将制度优势切实转化为治理效能和发展动能。</w:t>
      </w:r>
    </w:p>
    <w:p w14:paraId="69C9A15C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综合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分析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研判，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十五五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时期是大兴区国有经济实现结构优化、功能提升、能级跃升的关键五年。面对新形势新要求，必须立足新发展阶段，贯彻新发展理念，服务新发展格局，增强机遇意识和风险意识，在服务大局中谋划发展路径，在深化改革中激发内生动力，不断开创国有经济高质量发展新局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bookmarkEnd w:id="7"/>
    <w:p w14:paraId="1775C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0"/>
        <w:rPr>
          <w:rFonts w:hint="eastAsia" w:ascii="黑体" w:hAnsi="黑体" w:eastAsia="黑体" w:cs="仿宋"/>
          <w:sz w:val="32"/>
          <w:szCs w:val="32"/>
          <w:highlight w:val="none"/>
          <w:lang w:eastAsia="zh-CN"/>
        </w:rPr>
      </w:pPr>
      <w:bookmarkStart w:id="9" w:name="_Toc14348"/>
      <w:r>
        <w:rPr>
          <w:rFonts w:hint="eastAsia" w:ascii="黑体" w:hAnsi="黑体" w:eastAsia="黑体" w:cs="仿宋"/>
          <w:sz w:val="32"/>
          <w:szCs w:val="32"/>
          <w:highlight w:val="none"/>
          <w:lang w:eastAsia="zh-CN"/>
        </w:rPr>
        <w:t>二、思路与目标</w:t>
      </w:r>
      <w:bookmarkEnd w:id="4"/>
      <w:bookmarkEnd w:id="9"/>
    </w:p>
    <w:p w14:paraId="5A04E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</w:pPr>
      <w:bookmarkStart w:id="10" w:name="_Toc203234351"/>
      <w:bookmarkStart w:id="11" w:name="_Toc5370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（一）指导思想</w:t>
      </w:r>
      <w:bookmarkEnd w:id="10"/>
      <w:bookmarkEnd w:id="11"/>
    </w:p>
    <w:p w14:paraId="1F5CF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坚持以习近平新时代中国特色社会主义思想为指导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，深入贯彻落实党的二十大和二十届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历次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全会精神，</w:t>
      </w:r>
      <w:bookmarkStart w:id="12" w:name="OLE_LINK6"/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深入贯彻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落实习近平总书记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对北京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重要讲话精神</w:t>
      </w:r>
      <w:bookmarkEnd w:id="12"/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，牢记习近平总书记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要把大兴建设好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殷切嘱托，遵循党中央、国务院、北京市国资国企改革发展重大部署，锚定社会主义现代化建设关键阶段的国有经济新使命，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落实“风生水起看大兴”要求，聚焦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三区一门户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功能定位和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6+5+3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发展布局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，以推动高质量发展为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核心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主题，以改革创新为根本动力，进一步做强做优做大国有资本和国有企业，充分发挥国有经济的支撑和引领作用，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为全面推进大兴区经济社会高质量发展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做出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更大贡献。</w:t>
      </w:r>
    </w:p>
    <w:p w14:paraId="1B670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</w:pPr>
      <w:bookmarkStart w:id="13" w:name="_Toc203234352"/>
      <w:bookmarkStart w:id="14" w:name="_Toc26994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（二）基本要求</w:t>
      </w:r>
      <w:bookmarkEnd w:id="13"/>
      <w:bookmarkEnd w:id="14"/>
    </w:p>
    <w:p w14:paraId="01874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1.坚持加强党的全面领导</w:t>
      </w:r>
    </w:p>
    <w:p w14:paraId="2DD52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把党的领导贯穿国资国企改革发展全过程，持续完善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党建入章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”“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双向进入、交叉任职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等制度安排，落实党组织前置研究讨论重大经营管理事项机制。压实各级党组织党建工作责任，推动党建与业务深度融合，构建国资国企党建整体格局，切实把党的政治优势、组织优势转化为企业竞争优势和发展优势，为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十五五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时期高质量发展提供坚强政治保证。</w:t>
      </w:r>
    </w:p>
    <w:p w14:paraId="053F9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2.坚持做</w:t>
      </w:r>
      <w:bookmarkStart w:id="15" w:name="OLE_LINK7"/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强做优做大</w:t>
      </w:r>
      <w:bookmarkEnd w:id="15"/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国有经济</w:t>
      </w:r>
    </w:p>
    <w:p w14:paraId="6A7C4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坚持毫不动摇巩固和发展国有经济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深化推进国资国企改革，优化国有经济布局，建立国有企业市场化经营体制机制，创新统筹效率与安全的国有资本监管模式，以改革全面激发区属国企创新发展活力，加快发展步伐，提升发展质量，实现区属国有资本和国有企业做强做优做大。</w:t>
      </w:r>
    </w:p>
    <w:p w14:paraId="7BED7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2"/>
        <w:rPr>
          <w:rFonts w:hint="default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3.坚持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强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化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服务保障功能</w:t>
      </w:r>
    </w:p>
    <w:p w14:paraId="5C128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加快建立国有企业履行战略使命评价制度。分类界定区属国企战略使命内容，明确战略使命评价要求，引导企业更好聚焦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区委区政府重点任务，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开发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建设、</w:t>
      </w:r>
      <w:r>
        <w:rPr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城市运营、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产业培育、民生改善等</w:t>
      </w:r>
      <w:r>
        <w:rPr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方面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主动作为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服务区域经济社会高质量发展。</w:t>
      </w:r>
    </w:p>
    <w:p w14:paraId="4F925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4.坚持创新驱动发展道路</w:t>
      </w:r>
    </w:p>
    <w:p w14:paraId="1CFA0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落实创新驱动发展战略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完善创新支持政策，引导区属国企增强创新意识，加大创新投入，加快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区域产业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创新成果转化应用，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积极构建开放协同的创新生态</w:t>
      </w:r>
      <w:r>
        <w:rPr>
          <w:rStyle w:val="15"/>
          <w:rFonts w:hint="eastAsia" w:ascii="仿宋_GB2312" w:hAnsi="黑体" w:eastAsia="仿宋_GB2312" w:cstheme="minorBidi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制度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模式创新、服务创新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转型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升级。</w:t>
      </w:r>
    </w:p>
    <w:p w14:paraId="504A1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outlineLvl w:val="2"/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5.坚持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个结合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</w:p>
    <w:p w14:paraId="0AC3E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坚持加强国资监管与释放发展活力相结合，坚持全面提升与重点突破相结合，坚持创新驱动与结构调整相结合，坚持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统筹联动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特色发展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相结合，坚持传统业务增长与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新兴业务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培育相结合，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坚持风险防控与提质增效相结合，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六个结合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大力推进高质量发展。</w:t>
      </w:r>
    </w:p>
    <w:p w14:paraId="6A9E51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6.坚持筑牢安全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底线</w:t>
      </w:r>
    </w:p>
    <w:p w14:paraId="0E5C7A9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牢固树立底线思维和红线意识，严格执行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法律法规和监管政策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聚焦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安全生产、资源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管理、对外投资、混合所有制改革等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重点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领域，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压实各方责任，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坚决防范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各类风险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，确保国有资本在合法合规、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安全稳定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基础上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实现保值增值。</w:t>
      </w:r>
    </w:p>
    <w:p w14:paraId="0F07A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</w:pPr>
      <w:bookmarkStart w:id="16" w:name="_Toc203234353"/>
      <w:bookmarkStart w:id="17" w:name="_Toc20913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（三）总体思路</w:t>
      </w:r>
      <w:bookmarkEnd w:id="16"/>
      <w:bookmarkEnd w:id="17"/>
    </w:p>
    <w:p w14:paraId="7E6F2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遵循党中央、国务院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北京市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国资国企改革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决策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部署，紧扣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市区两级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十五五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发展战略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立足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大兴区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国有经济使命定位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新质生产力为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核心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牵引，以规模效益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位居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全市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前列、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做强做优做大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国资国企为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发展方向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，构建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123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发展体系，即</w:t>
      </w: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坚持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一个方向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，激发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两大引擎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，优化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三大板块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大行动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，锻强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五个支撑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9629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黑体" w:eastAsia="仿宋_GB2312"/>
          <w:b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坚持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一个方向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黑体" w:eastAsia="仿宋_GB2312"/>
          <w:b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以推动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高质量发展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根本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要求和方向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深化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改革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为动力，系统推进体制机制创新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增强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国有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企业核心功能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提升核心竞争力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奋力推动国有经济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十五五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期间实现跨越式发展。</w:t>
      </w:r>
    </w:p>
    <w:p w14:paraId="7183B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激发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两大引擎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全面激发创新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与结构调整两大引擎。一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方面，强化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，加大投入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完善机制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区属国企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提质增效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另一方面，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优化布局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结构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重组整合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提升资产质量，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促进区属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国企产业焕新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与能级跃升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0D0BD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黑体" w:eastAsia="仿宋_GB2312"/>
          <w:b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聚焦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三大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领域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构建以资本投资、开发建设、城市运营为核心的业务体系。资本投资，推动区域实体产业转型升级，培育新质生产力；开发建设，统筹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空间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资源开发与重点项目建设，增强城市综合承载能力；城市运营，提升资产管理与公共服务水平，实现资源利用与价值释放。</w:t>
      </w:r>
    </w:p>
    <w:p w14:paraId="0C418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六大行动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实施“党建引领”行动，全面加强国有企业党的领导；实施“改革攻坚”行动，健全现代企业制度；实施“产业提质”行动，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赋能区域发展蓝图；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实施“创新突破”行动，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激发企业内生动力；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实施“服务保障”行动，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强化发展支撑作用；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风险防控”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行动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，筑牢安全运行体系。</w:t>
      </w:r>
    </w:p>
    <w:p w14:paraId="123C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锻强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五个支撑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锻强组织、制度、资源、协同、考核等五个发展支撑保障力量，夯实区属国企发展基础，筑牢发展保障，增强发展动力，确保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十五五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规划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任务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全部实现。</w:t>
      </w:r>
    </w:p>
    <w:p w14:paraId="16407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</w:pPr>
      <w:bookmarkStart w:id="18" w:name="_Toc203234354"/>
      <w:bookmarkStart w:id="19" w:name="_Toc12721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（四）发展目标</w:t>
      </w:r>
      <w:bookmarkEnd w:id="18"/>
      <w:bookmarkEnd w:id="19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ab/>
      </w:r>
    </w:p>
    <w:p w14:paraId="3AD9A19C">
      <w:pPr>
        <w:pStyle w:val="12"/>
        <w:keepNext w:val="0"/>
        <w:keepLines w:val="0"/>
        <w:pageBreakBefore w:val="0"/>
        <w:widowControl/>
        <w:shd w:val="clear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十五五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时期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大兴区国有经济以实现“三个显著提升”为主要目标：</w:t>
      </w:r>
      <w:r>
        <w:rPr>
          <w:rStyle w:val="1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核心竞争力显著提升</w:t>
      </w:r>
      <w:r>
        <w:rPr>
          <w:rStyle w:val="1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区属国企市场化、专业化运营水平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全面提升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，现代企业制度更加成熟定型，形成权责明晰、决策科学、执行有力的治理体系，通过主业重塑和业务创新，在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产业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园区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建设运营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区域功能服务保障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方面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形成特色鲜明、效益突出的业务模式，企业盈利能力、资产质量和运营效率显著提高，整体竞争实力和价值创造能力稳居全市前列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  <w:r>
        <w:rPr>
          <w:rStyle w:val="1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资源配置效率显著提升。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国有资本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结构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布局持续优化，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向主导产业、新兴产业集中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形成布局合理、流动有序的国有资本动态管理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调节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机制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传统产业提质增效，新兴产业成形成势，构建形成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平台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企业引领、专业化企业协同、中小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企业配套的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错位协同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发展格局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  <w:r>
        <w:rPr>
          <w:rStyle w:val="1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服务保障能力显著提升。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国有经济深度支撑区域发展格局，在基础建设、产业投资、民生服务等领域系统布局、整体推进。重点功能区开发建设取得突破，基础设施保障能力全面增强，公共服务供给质量持续改善，在推动大兴区高质量发展中的战略支撑作用更加凸显。具体目标如下：</w:t>
      </w:r>
    </w:p>
    <w:p w14:paraId="5C058025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120" w:beforeAutospacing="0" w:after="12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</w:rPr>
      </w:pPr>
      <w:r>
        <w:rPr>
          <w:rStyle w:val="1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——治理效能迈上新台阶。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全面建立中国特色现代国有企业制度，形成党的领导与公司治理有机统一的运行机制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持续深化劳动、人事、分配三项制度改革，构建市场化、差异化的薪酬激励体系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职业经理人制度，健全市场化选人用人机制，企业治理体系和治理能力现代化水平显著提升。</w:t>
      </w:r>
    </w:p>
    <w:p w14:paraId="43D7406A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120" w:beforeAutospacing="0" w:after="12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</w:rPr>
      </w:pPr>
      <w:r>
        <w:rPr>
          <w:rStyle w:val="1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——质量效益实现新突破。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区属国企净资产收益率、营业收入利润率等关键效益指标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保持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适度增长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，资产负债率稳定在合理区间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成本费用得到有效控制，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两非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（非主业、非优势业务）和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两资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（低效、无效资产）基本完成清理处置。</w:t>
      </w:r>
    </w:p>
    <w:p w14:paraId="03D67AA1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120" w:beforeAutospacing="0" w:after="12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</w:rPr>
      </w:pPr>
      <w:r>
        <w:rPr>
          <w:rStyle w:val="1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——创新驱动构筑新优势。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建立完善创新管理体系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鼓励企业加大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创新投入，在管理创新、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机制创新、经营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创新、服务创新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监管创新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等方面取得重要突破，构建开放协同的创新生态，区属国企创新活力和内生动力显著增强。</w:t>
      </w:r>
    </w:p>
    <w:p w14:paraId="71E791A1">
      <w:pPr>
        <w:pStyle w:val="1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120" w:beforeAutospacing="0" w:after="12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Style w:val="1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——产业布局构建新格局。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深入实施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一企一园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发展布局，重点推动产业功能区建设发展，加大国有资本对区域主导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产业和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新兴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产业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投资力度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促进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资产运营与金融服务沿产业链协同布局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着力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形成主业清晰、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结构合理、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产融互促的发展格局。</w:t>
      </w:r>
    </w:p>
    <w:p w14:paraId="60673FDB">
      <w:pPr>
        <w:pStyle w:val="12"/>
        <w:keepNext w:val="0"/>
        <w:keepLines w:val="0"/>
        <w:pageBreakBefore w:val="0"/>
        <w:widowControl/>
        <w:shd w:val="clear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1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——融合发展开创新局面。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区属国企在服务区域重大战略中发挥更大作用，拓展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对外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合作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在重点功能区建设、城市更新、民生保障等领域形成一批标杆项目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国资引领带动作用更加凸显，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实现</w:t>
      </w:r>
      <w:bookmarkStart w:id="20" w:name="OLE_LINK16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优势互补、互利共赢</w:t>
      </w:r>
      <w:bookmarkEnd w:id="2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。</w:t>
      </w:r>
    </w:p>
    <w:p w14:paraId="09245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</w:pPr>
      <w:bookmarkStart w:id="21" w:name="_Toc10861"/>
      <w:bookmarkStart w:id="22" w:name="_Toc203234355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（五）</w:t>
      </w:r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val="en-US" w:eastAsia="zh-CN"/>
        </w:rPr>
        <w:t>重要</w:t>
      </w:r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指标</w:t>
      </w:r>
      <w:bookmarkEnd w:id="21"/>
      <w:bookmarkEnd w:id="22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ab/>
      </w:r>
    </w:p>
    <w:p w14:paraId="41520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十五五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末期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，区属国资国企着重实现如下目标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AEDB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jc w:val="center"/>
        <w:textAlignment w:val="auto"/>
        <w:rPr>
          <w:rFonts w:ascii="黑体" w:hAnsi="黑体" w:eastAsia="黑体" w:cs="仿宋_GB2312"/>
          <w:snapToGrid w:val="0"/>
          <w:color w:val="000000" w:themeColor="text1"/>
          <w:spacing w:val="-2"/>
          <w:kern w:val="0"/>
          <w:sz w:val="28"/>
          <w:szCs w:val="30"/>
          <w:highlight w:val="none"/>
          <w14:textFill>
            <w14:solidFill>
              <w14:schemeClr w14:val="tx1"/>
            </w14:solidFill>
          </w14:textFill>
        </w:rPr>
      </w:pPr>
      <w:bookmarkStart w:id="23" w:name="_Toc172407385_WPSOffice_Level2"/>
      <w:bookmarkStart w:id="24" w:name="_Toc1806809100_WPSOffice_Level2"/>
      <w:bookmarkStart w:id="25" w:name="_Toc1552525345_WPSOffice_Level2"/>
      <w:r>
        <w:rPr>
          <w:rFonts w:hint="eastAsia" w:ascii="黑体" w:hAnsi="黑体" w:eastAsia="黑体" w:cs="黑体"/>
          <w:snapToGrid/>
          <w:color w:val="000000" w:themeColor="text1"/>
          <w:spacing w:val="0"/>
          <w:kern w:val="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表1 </w:t>
      </w:r>
      <w:r>
        <w:rPr>
          <w:rFonts w:hint="eastAsia" w:ascii="黑体" w:hAnsi="黑体" w:eastAsia="黑体" w:cs="黑体"/>
          <w:snapToGrid/>
          <w:color w:val="000000" w:themeColor="text1"/>
          <w:spacing w:val="0"/>
          <w:kern w:val="2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黑体" w:hAnsi="黑体" w:eastAsia="黑体" w:cs="黑体"/>
          <w:snapToGrid/>
          <w:color w:val="000000" w:themeColor="text1"/>
          <w:spacing w:val="0"/>
          <w:kern w:val="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十五五</w:t>
      </w:r>
      <w:r>
        <w:rPr>
          <w:rFonts w:hint="eastAsia" w:ascii="黑体" w:hAnsi="黑体" w:eastAsia="黑体" w:cs="黑体"/>
          <w:snapToGrid/>
          <w:color w:val="000000" w:themeColor="text1"/>
          <w:spacing w:val="0"/>
          <w:kern w:val="2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黑体" w:hAnsi="黑体" w:eastAsia="黑体" w:cs="黑体"/>
          <w:snapToGrid/>
          <w:color w:val="000000" w:themeColor="text1"/>
          <w:spacing w:val="0"/>
          <w:kern w:val="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区属国资国企主要指标及目标设定</w:t>
      </w:r>
      <w:bookmarkEnd w:id="23"/>
      <w:bookmarkEnd w:id="24"/>
      <w:bookmarkEnd w:id="25"/>
    </w:p>
    <w:tbl>
      <w:tblPr>
        <w:tblStyle w:val="20"/>
        <w:tblW w:w="7875" w:type="dxa"/>
        <w:jc w:val="center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2633"/>
        <w:gridCol w:w="3668"/>
      </w:tblGrid>
      <w:tr w14:paraId="3640802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74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E7E6E6" w:themeFill="background2"/>
          </w:tcPr>
          <w:p w14:paraId="296B8BF7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E7E6E6" w:themeFill="background2"/>
          </w:tcPr>
          <w:p w14:paraId="274DFB08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3668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E7E6E6" w:themeFill="background2"/>
          </w:tcPr>
          <w:p w14:paraId="1BE6A6C5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目标</w:t>
            </w:r>
          </w:p>
        </w:tc>
      </w:tr>
      <w:tr w14:paraId="4258CB0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7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DFDAEE">
            <w:pPr>
              <w:spacing w:line="360" w:lineRule="auto"/>
              <w:jc w:val="center"/>
              <w:rPr>
                <w:rFonts w:ascii="黑体" w:hAnsi="黑体" w:eastAsia="黑体" w:cs="Times New Roman"/>
                <w:b/>
                <w:bCs w:val="0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33" w:type="dxa"/>
            <w:tcBorders>
              <w:right w:val="nil"/>
            </w:tcBorders>
            <w:shd w:val="clear" w:color="auto" w:fill="auto"/>
            <w:vAlign w:val="center"/>
          </w:tcPr>
          <w:p w14:paraId="7D0BADA6">
            <w:pPr>
              <w:spacing w:line="360" w:lineRule="auto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资产总量</w:t>
            </w:r>
          </w:p>
        </w:tc>
        <w:tc>
          <w:tcPr>
            <w:tcW w:w="3668" w:type="dxa"/>
            <w:tcBorders>
              <w:right w:val="nil"/>
            </w:tcBorders>
            <w:shd w:val="clear" w:color="auto" w:fill="auto"/>
            <w:vAlign w:val="center"/>
          </w:tcPr>
          <w:p w14:paraId="5EE636D0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0亿</w:t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元以上</w:t>
            </w:r>
          </w:p>
        </w:tc>
      </w:tr>
      <w:tr w14:paraId="5F72E30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74" w:type="dxa"/>
            <w:tcBorders>
              <w:left w:val="nil"/>
              <w:right w:val="nil"/>
            </w:tcBorders>
            <w:shd w:val="clear" w:color="auto" w:fill="F1F1F1" w:themeFill="background1" w:themeFillShade="F2"/>
            <w:vAlign w:val="center"/>
          </w:tcPr>
          <w:p w14:paraId="6E9A65FF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33" w:type="dxa"/>
            <w:tcBorders>
              <w:right w:val="nil"/>
            </w:tcBorders>
            <w:shd w:val="clear" w:color="auto" w:fill="F1F1F1" w:themeFill="background1" w:themeFillShade="F2"/>
            <w:vAlign w:val="center"/>
          </w:tcPr>
          <w:p w14:paraId="38970B66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所有者权益</w:t>
            </w:r>
          </w:p>
        </w:tc>
        <w:tc>
          <w:tcPr>
            <w:tcW w:w="3668" w:type="dxa"/>
            <w:tcBorders>
              <w:right w:val="nil"/>
            </w:tcBorders>
            <w:shd w:val="clear" w:color="auto" w:fill="F1F1F1" w:themeFill="background1" w:themeFillShade="F2"/>
            <w:vAlign w:val="center"/>
          </w:tcPr>
          <w:p w14:paraId="6CB0C563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500亿元以上</w:t>
            </w:r>
          </w:p>
        </w:tc>
      </w:tr>
      <w:tr w14:paraId="4967065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574" w:type="dxa"/>
            <w:shd w:val="clear" w:color="auto" w:fill="auto"/>
            <w:vAlign w:val="center"/>
          </w:tcPr>
          <w:p w14:paraId="517A91E7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b/>
                <w:bCs w:val="0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753719D3">
            <w:pPr>
              <w:spacing w:line="360" w:lineRule="auto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利润总额</w:t>
            </w:r>
          </w:p>
        </w:tc>
        <w:tc>
          <w:tcPr>
            <w:tcW w:w="3668" w:type="dxa"/>
            <w:shd w:val="clear" w:color="auto" w:fill="auto"/>
            <w:vAlign w:val="center"/>
          </w:tcPr>
          <w:p w14:paraId="28780B12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累计</w:t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不低于</w:t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亿</w:t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5D7E507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574" w:type="dxa"/>
            <w:tcBorders>
              <w:left w:val="nil"/>
              <w:right w:val="nil"/>
            </w:tcBorders>
            <w:shd w:val="clear" w:color="auto" w:fill="D7D7D7" w:themeFill="background1" w:themeFillShade="D8"/>
            <w:vAlign w:val="center"/>
          </w:tcPr>
          <w:p w14:paraId="05276A5F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b/>
                <w:bCs w:val="0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33" w:type="dxa"/>
            <w:tcBorders>
              <w:right w:val="nil"/>
            </w:tcBorders>
            <w:shd w:val="clear" w:color="auto" w:fill="D7D7D7" w:themeFill="background1" w:themeFillShade="D8"/>
            <w:vAlign w:val="center"/>
          </w:tcPr>
          <w:p w14:paraId="7CA0B070">
            <w:pPr>
              <w:spacing w:line="360" w:lineRule="auto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国有</w:t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资本保值增值率</w:t>
            </w:r>
          </w:p>
        </w:tc>
        <w:tc>
          <w:tcPr>
            <w:tcW w:w="3668" w:type="dxa"/>
            <w:tcBorders>
              <w:right w:val="nil"/>
            </w:tcBorders>
            <w:shd w:val="clear" w:color="auto" w:fill="D7D7D7" w:themeFill="background1" w:themeFillShade="D8"/>
            <w:vAlign w:val="center"/>
          </w:tcPr>
          <w:p w14:paraId="212BF770">
            <w:pPr>
              <w:spacing w:line="360" w:lineRule="auto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年均102%以上</w:t>
            </w:r>
          </w:p>
        </w:tc>
      </w:tr>
      <w:tr w14:paraId="42CD2F2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574" w:type="dxa"/>
            <w:tcBorders>
              <w:bottom w:val="nil"/>
            </w:tcBorders>
            <w:shd w:val="clear" w:color="auto" w:fill="auto"/>
            <w:vAlign w:val="center"/>
          </w:tcPr>
          <w:p w14:paraId="60F90E22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b/>
                <w:bCs w:val="0"/>
                <w:strike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33" w:type="dxa"/>
            <w:tcBorders>
              <w:bottom w:val="nil"/>
            </w:tcBorders>
            <w:shd w:val="clear" w:color="auto" w:fill="auto"/>
            <w:vAlign w:val="center"/>
          </w:tcPr>
          <w:p w14:paraId="51A21E76">
            <w:pPr>
              <w:spacing w:line="360" w:lineRule="auto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资产负债率</w:t>
            </w:r>
          </w:p>
        </w:tc>
        <w:tc>
          <w:tcPr>
            <w:tcW w:w="3668" w:type="dxa"/>
            <w:tcBorders>
              <w:bottom w:val="nil"/>
            </w:tcBorders>
            <w:shd w:val="clear" w:color="auto" w:fill="auto"/>
            <w:vAlign w:val="center"/>
          </w:tcPr>
          <w:p w14:paraId="2B13EEEC">
            <w:pPr>
              <w:spacing w:line="360" w:lineRule="auto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不高于</w:t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2899A88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419BF19C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26" w:name="_Toc203234356"/>
            <w:r>
              <w:rPr>
                <w:rFonts w:hint="eastAsia" w:ascii="黑体" w:hAnsi="黑体" w:eastAsia="黑体" w:cs="Times New Roman"/>
                <w:b w:val="0"/>
                <w:bCs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633" w:type="dxa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26948AAF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上缴税费总额</w:t>
            </w:r>
          </w:p>
        </w:tc>
        <w:tc>
          <w:tcPr>
            <w:tcW w:w="3668" w:type="dxa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68B75F8A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累计不低于50亿元</w:t>
            </w:r>
          </w:p>
        </w:tc>
      </w:tr>
    </w:tbl>
    <w:p w14:paraId="39ECA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 w:val="0"/>
        <w:jc w:val="both"/>
        <w:textAlignment w:val="auto"/>
        <w:outlineLvl w:val="9"/>
        <w:rPr>
          <w:rFonts w:hint="eastAsia" w:ascii="仿宋_GB2312" w:hAnsi="黑体" w:eastAsia="仿宋_GB2312" w:cstheme="minorBidi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7FE73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0"/>
        <w:rPr>
          <w:rFonts w:hint="default" w:ascii="黑体" w:hAnsi="黑体" w:eastAsia="黑体" w:cs="仿宋"/>
          <w:sz w:val="32"/>
          <w:szCs w:val="32"/>
          <w:highlight w:val="none"/>
          <w:lang w:val="en-US" w:eastAsia="zh-CN"/>
        </w:rPr>
      </w:pPr>
      <w:bookmarkStart w:id="27" w:name="_Toc3381"/>
      <w:r>
        <w:rPr>
          <w:rFonts w:hint="eastAsia" w:ascii="黑体" w:hAnsi="黑体" w:eastAsia="黑体" w:cs="仿宋"/>
          <w:sz w:val="32"/>
          <w:szCs w:val="32"/>
          <w:highlight w:val="none"/>
          <w:lang w:eastAsia="zh-CN"/>
        </w:rPr>
        <w:t>三、主要行动</w:t>
      </w:r>
      <w:bookmarkEnd w:id="26"/>
      <w:bookmarkEnd w:id="27"/>
    </w:p>
    <w:p w14:paraId="619FB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十五五期间，全面服务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大兴区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三区一门户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功能定位，助力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深化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大兴区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六大主导产业和“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6+5+3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产业发展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布局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，围绕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123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发展体系，服务于发展目标实现，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党建引领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“改革攻坚”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突破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服务保障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风险防控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”六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大行动。</w:t>
      </w:r>
    </w:p>
    <w:p w14:paraId="0F28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</w:pPr>
      <w:bookmarkStart w:id="28" w:name="_Toc30809"/>
      <w:bookmarkStart w:id="29" w:name="_Toc203234357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（一）实施“</w:t>
      </w:r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val="en-US" w:eastAsia="zh-CN"/>
        </w:rPr>
        <w:t>党建引领</w:t>
      </w:r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”行动，</w:t>
      </w:r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val="en-US" w:eastAsia="zh-CN"/>
        </w:rPr>
        <w:t>全面加强党的建设</w:t>
      </w:r>
      <w:bookmarkEnd w:id="28"/>
    </w:p>
    <w:p w14:paraId="0B851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</w:pPr>
      <w:bookmarkStart w:id="30" w:name="_Toc19750"/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贯彻落实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习近平总书记关于国有企业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改革发展和党的建设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重要论述和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党的二十届三中全会国资国企改革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，按照国务院国资委、北京市国资委改革部署，聚焦大兴区国资发展，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坚持和加强党对国有企业的领导，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锚定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产业强区、国企争先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目标，以党的政治建设为统领，以高质量党建引领保障国有资本和国有企业做强做优做大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。</w:t>
      </w:r>
      <w:bookmarkEnd w:id="30"/>
    </w:p>
    <w:p w14:paraId="12DF0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outlineLvl w:val="2"/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铸魂补钙，强化政治统领力</w:t>
      </w:r>
    </w:p>
    <w:p w14:paraId="2BC504B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牢记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看北京首先从政治上看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的要求，提高政治站位，把准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国企姓党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时代坐标，深化落实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第一议题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制度，持续增强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四个意识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、坚定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四个自信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、做到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两个维护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。坚持党建引领，聚焦高质量党建引领国有企业高质量发展主线，将党建深度嵌入产业链、创新链、资本链，重点关注企业战略、投资方向、风险防控，将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两个维护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体现在贯彻党中央、市委、区委决策部署的实效上。</w:t>
      </w:r>
    </w:p>
    <w:p w14:paraId="14844DB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outlineLvl w:val="2"/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强基提质，夯实基层组织力</w:t>
      </w:r>
    </w:p>
    <w:p w14:paraId="2E0B24CC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严格落实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两个条例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，坚持抓好基本组织、基本队伍、基本制度，大力推进党支部规范化、标准化建设。坚持按照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四同步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四对接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要求，在产业链、创新链、供应链上动态建支部，确保企业投到哪里、支部就建到哪里。把组织优势转化为发展优势。聚焦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产业发展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抓培训，依托临空区、氢能示范区等建设现场教学点，形成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红色研学+产业研学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双线课程。围绕党的创新理论、经济科技发展、园区项目建设等方面举办专题培训，确保党员骨干集中轮训覆盖率100%。</w:t>
      </w:r>
    </w:p>
    <w:p w14:paraId="7070F4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3.融合赋能，提升发展贡献力</w:t>
      </w:r>
    </w:p>
    <w:p w14:paraId="10379F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推动健全国企党建与业务融合工作机制，完善提升各区属国企党建品牌，丰富党建品牌内涵与外延，打造党建品牌矩阵。建立党建品牌、党支部工作法、党业融合优秀案例的国资国企党建体系，围绕重点项目、重点工程开展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党员攻坚+揭榜挂帅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行动，发挥党员先锋模范作用，将党建工作开展情况纳入年度考核指标。创新党建工作与业务工作同步考评体系，实行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年初有计划、年度有考核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闭环管理机制，将考核结果与绩效工资、干部奖惩等挂钩。</w:t>
      </w:r>
    </w:p>
    <w:p w14:paraId="325794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 w:val="0"/>
        <w:jc w:val="left"/>
        <w:textAlignment w:val="auto"/>
        <w:outlineLvl w:val="9"/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清廉护航，增强自我免疫力</w:t>
      </w:r>
    </w:p>
    <w:p w14:paraId="5008879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 w:val="0"/>
        <w:jc w:val="left"/>
        <w:textAlignment w:val="auto"/>
        <w:outlineLvl w:val="9"/>
        <w:rPr>
          <w:rFonts w:hint="eastAsia" w:ascii="仿宋_GB2312" w:hAnsi="楷体_GB2312" w:eastAsia="仿宋_GB2312" w:cs="楷体_GB2312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坚持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正风肃纪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，压实全面从严治党责任，深入贯彻中央八项规定精神，构建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335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监督格局。做实党委全面监督、纪委专责监督、部门职能监督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三项监督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，用好巡察、审计、群众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三类利剑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，形成早教育、早提醒、早纠偏、早处置、早完善的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五早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</w:rPr>
        <w:t>闭环。切实推进信息化与监管业务深度融合，充分运用信息化智能化手段，加快建设出资人监管信息化平台，实现实时监测，服务构建国资监管大格局。有针对性地开展反腐倡廉警示教育和党风讲评，深化以案促改、以案促教，抓好巡视、巡察整改及专项问题整治，持续加大区属国有企业反腐败力度，构建一体推进不敢腐、不能腐、不想腐体制机制。</w:t>
      </w:r>
    </w:p>
    <w:p w14:paraId="7DDFE6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 w:val="0"/>
        <w:jc w:val="left"/>
        <w:textAlignment w:val="auto"/>
        <w:outlineLvl w:val="9"/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黑体" w:eastAsia="仿宋_GB2312" w:cstheme="minorBidi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人才强企，增强内生驱动力</w:t>
      </w:r>
    </w:p>
    <w:p w14:paraId="5F566555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 w:val="0"/>
        <w:jc w:val="left"/>
        <w:textAlignment w:val="auto"/>
        <w:outlineLvl w:val="9"/>
        <w:rPr>
          <w:rFonts w:hint="eastAsia" w:ascii="仿宋_GB2312" w:hAnsi="楷体_GB2312" w:eastAsia="仿宋_GB2312" w:cs="楷体_GB2312"/>
          <w:sz w:val="32"/>
          <w:szCs w:val="32"/>
          <w:highlight w:val="none"/>
          <w:lang w:eastAsia="zh-CN"/>
        </w:rPr>
      </w:pP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坚持“党管人才”原则，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人才强企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战略，围绕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区重点发展的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数字经济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、生物医药等产业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引进高端紧缺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人才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锚定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6+5+3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”产业发展布局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和国企改革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发展要求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，系统构建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引育用留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全链条生态，构建更具竞争力的人才培养体系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，提升国企人才的专业素质和经营管理能力，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打造与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三区一门户</w:t>
      </w:r>
      <w:r>
        <w:rPr>
          <w:rFonts w:hint="eastAsia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仿宋_GB2312" w:hAnsi="黑体" w:eastAsia="仿宋_GB2312" w:cstheme="minorBidi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功能定位相匹配的高素质专业化国资人才方阵，为区域经济社会高质量发展注入强劲动能。</w:t>
      </w:r>
    </w:p>
    <w:p w14:paraId="51DED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</w:pPr>
      <w:bookmarkStart w:id="31" w:name="_Toc23038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（二）实施“</w:t>
      </w:r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val="en-US" w:eastAsia="zh-CN"/>
        </w:rPr>
        <w:t>改革攻坚</w:t>
      </w:r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”行动，健全现代企业制度</w:t>
      </w:r>
      <w:bookmarkEnd w:id="31"/>
    </w:p>
    <w:p w14:paraId="17013B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以深化中国特色现代企业制度改革为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核心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caps w:val="0"/>
          <w:color w:val="000000" w:themeColor="text1"/>
          <w:spacing w:val="0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强化战略统领与系统谋划，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加快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完善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治理结构、监管体制、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机制，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国有企业治理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能力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现代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促进国有资本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各类资本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融合发展，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全面提升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国有资本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运营效能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着力构建功能明确、治理规范、机制灵活的国有企业。</w:t>
      </w:r>
    </w:p>
    <w:p w14:paraId="31F955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完善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现代企业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治理体系</w:t>
      </w:r>
    </w:p>
    <w:p w14:paraId="5410A3D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严格遵循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《关于完善中国特色现代企业制度的意见》，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系统推进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党的领导全面融入公司治理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全过程。明确党委在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把方向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管大局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保落实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中的职责定位，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厘清党委与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董事会、经理层等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治理主体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的权责边界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健全决策、执行、监督协同机制，实现行权程序化、规范化和制度化。动态优化党委前置研究讨论事项清单，强化董事会建设，全面推行外部董事制度，夯实企业治理制度基础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B6385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健全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市场化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经营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机制</w:t>
      </w:r>
    </w:p>
    <w:p w14:paraId="322D4F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深化三项制度改革，深入推进企业经理层成员任期制和契约化管理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建立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与经营效益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紧密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挂钩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的差异化薪酬分配机制，强化全员绩效考核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健全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末等调整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不胜任退出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机制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干部能上能下、员工能进能出、收入能增能减。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完善人才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选育管用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管理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体系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，发挥绩效考核指挥棒作用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加快构建制度健全、激励有效、流程科学、响应灵敏的现代企业</w:t>
      </w:r>
      <w:r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管理模式。</w:t>
      </w:r>
    </w:p>
    <w:p w14:paraId="3117C9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促进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多种所有制协同发展</w:t>
      </w:r>
    </w:p>
    <w:p w14:paraId="5F0E04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坚持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两个毫不动摇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，发挥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国有企业在区域重大项目和功能区建设中的引领作用，推动国有资本与各类资本合作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。建立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健全企业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合作协调机制，在招投标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、项目外包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供应链配套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领域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，为民营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企业、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中小企业提供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公平参与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机会。支持区属国企与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央企、市属国企等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在开发建设、资本投资等方面开展务实合作，实现资源互补、共赢发展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31DE0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提升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资本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配置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运行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效能</w:t>
      </w:r>
    </w:p>
    <w:p w14:paraId="79B3B7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楷体_GB2312" w:eastAsia="楷体_GB2312" w:hAnsiTheme="minorEastAsia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强化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国有资本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在关键领域和优势产业中的布局与流动，完善国有资产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配置效率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运营情况调查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机制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加大低效无效资产清理和存量资源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盘活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力度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，依法依规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推进“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僵尸企业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处置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退出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。建立资产效率预警制度与资产优化调整长效机制，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系统规范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资产处置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程序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严防国有资产流失，全面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提升资产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运营质效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BC72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</w:pPr>
      <w:bookmarkStart w:id="32" w:name="_Toc26599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（三）</w:t>
      </w:r>
      <w:bookmarkEnd w:id="29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实施“产业</w:t>
      </w:r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val="en-US" w:eastAsia="zh-CN"/>
        </w:rPr>
        <w:t>提质</w:t>
      </w:r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”行动，赋能区域发展蓝图</w:t>
      </w:r>
      <w:bookmarkEnd w:id="32"/>
    </w:p>
    <w:p w14:paraId="78510F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围绕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现代化产业体系建设与绿色发展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深化“一企一园”发展布局，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引导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区属国企聚焦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6+5+3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产业发展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蓝图，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优化国有资本结构布局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提升产业投资与运营能力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国有资本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精准投入区域优势产业和未来潜力产业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发展临空经济、生物医药、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数字经济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未来能源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拓展农林科技、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文化与旅游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等相关产业。</w:t>
      </w:r>
    </w:p>
    <w:p w14:paraId="3F0FB2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.服务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临空产业集群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发展</w:t>
      </w:r>
    </w:p>
    <w:p w14:paraId="0F5B38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发挥新航城公司</w:t>
      </w: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临空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经济区的重要作用，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围绕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国际交往中心功能承载区、国家航空科技创新引领区、京津冀协同发展示范区”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三大功能定位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推进</w:t>
      </w: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国际会展中心、国际消费枢纽等重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点</w:t>
      </w: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建设，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助力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临空经济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区提升承载能力。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支持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新航城公司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聚焦航空服务、国际贸易、生命健康、低空技术、会展消费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领域开展精准产业服务，建设特色主题园区，搭建产业服务平台，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拓展航空科教、保税服务、高端制造等关联业务，构建协同发展的临空产业生态。</w:t>
      </w:r>
    </w:p>
    <w:p w14:paraId="05064F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提升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生物医药产业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能级</w:t>
      </w:r>
    </w:p>
    <w:p w14:paraId="7398A0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依托生物医药产业基地建设，增强基地发展公司运营管理服务能力，完善孵化器运营模式，构建以现代中药、创新化药、生物制品、医美产品、高端医疗器械和动物药械为核心的产业体系。推动科技创新中心(四期)、生物科技旗舰园等项目的建设和投入使用，优化空间载体等经营性资产规模和结构。引导生物医药基地公司增强创新意识，完善创新管理体系，切实提高投资转化效能，全面培育企业核心竞争力和可持续发展能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D9D1D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yellow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构建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数字经济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产业体系</w:t>
      </w:r>
    </w:p>
    <w:p w14:paraId="3DAFAD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积极参与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全球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数字经济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标杆城市建设，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支持开发区经营公司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布局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数据基础设施、数字贸易、智慧城市等关键领域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依托数据合规港，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建设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一站式数据政务服务平台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培育数据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流通与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服务业务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探索建设国际数据中心、数字保税区等新型载体，发展离岸数据加工、数字贸易等新业态。推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动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建设数字新基建，拓展智慧城市应用场景，助力打造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/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北港南岸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/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数据产业布局。</w:t>
      </w:r>
    </w:p>
    <w:p w14:paraId="59D05D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4.投资新兴产业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新动能</w:t>
      </w:r>
    </w:p>
    <w:p w14:paraId="19D473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引导区属国企围绕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区域六大主导产业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，结合自身资源禀赋，布局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fill="auto"/>
          <w14:textFill>
            <w14:solidFill>
              <w14:schemeClr w14:val="tx1"/>
            </w14:solidFill>
          </w14:textFill>
        </w:rPr>
        <w:t>生命科学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、氢能、航空航天、人工智能等前沿领域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推进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重点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产业项目落地。鼓励企业联合高校、科研机构开展技术攻关，共建研发平台。推动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区属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国企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通过股权投资、基金投资等方式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其它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资本合作，实现产业链协同布局与资源互补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C1ABCA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促进文旅产业融合发展</w:t>
      </w:r>
    </w:p>
    <w:p w14:paraId="5B0649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深入推动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文旅+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战略，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建文旅产业发展公司，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大兴国际旅游度假区规划建设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依托南中轴文化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资源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，整合存量经营资产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打造特色文旅项目与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特色文旅线路，围绕体育文化、生态休闲、主题乐园、国际会展四大消费场景，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形成“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文体商旅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深度融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提升区域文化实力与消费吸引力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6ED363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default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强化基金投资引导功能</w:t>
      </w:r>
    </w:p>
    <w:p w14:paraId="164B3E03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坚持政府引导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市场运作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相结合，发挥基金投资在推动产业集聚、支持科技创新等方面的杠杆作用。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重点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大兴区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主导产业与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高精尖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领域，推动产业链强链补链。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深化市区联动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国资联动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政企联动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投贷联动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等机制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探索国有企业参与长期股权投资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和“投早、投小、投硬科技”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模式</w:t>
      </w:r>
      <w:r>
        <w:rPr>
          <w:rFonts w:hint="eastAsia" w:ascii="仿宋_GB2312" w:hAnsi="黑体" w:eastAsia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完善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基金管理办法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考核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激励及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尽职免责等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制度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建设，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进一步发挥产业基金的引导带动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作用，规范基金管理。</w:t>
      </w:r>
    </w:p>
    <w:p w14:paraId="210BAE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</w:pPr>
      <w:bookmarkStart w:id="33" w:name="_Toc203234358"/>
      <w:bookmarkStart w:id="34" w:name="_Toc24138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（四）</w:t>
      </w:r>
      <w:bookmarkEnd w:id="33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实施“创新突破”行动，激发企业内生动力</w:t>
      </w:r>
      <w:bookmarkEnd w:id="34"/>
    </w:p>
    <w:p w14:paraId="475533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坚持创新在现代化建设全局中的核心地位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，强化改革创新主导作用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，完善创新体制机制，优化资源配置，推动创新链与产业链深度融合，塑造区属国企发展新动能新优势</w:t>
      </w:r>
    </w:p>
    <w:p w14:paraId="7D5298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夯实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基础</w:t>
      </w:r>
    </w:p>
    <w:p w14:paraId="6386AA93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完善创新激励政策体系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激发各类创新主体活力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，促进科技创新、管理创新、商业模式创新与文化创新协同发展，多维度凝聚创新驱动发展合力。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强化创新人才引育，健全多元化人才培养与激励机制。支持企业建设高水平研发平台与创新载体，鼓励企业与高校、科研机构建立关键核心技术协同攻关机制，促进创新资源高效共享与风险共担。</w:t>
      </w:r>
    </w:p>
    <w:p w14:paraId="102B48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促进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创新成果转化</w:t>
      </w:r>
    </w:p>
    <w:p w14:paraId="1AB65EE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发挥国有企业在重大项目建设和场景开放中的牵引作用，完善成果转化激励机制与服务体系。搭建市场化、专业化的成果转化平台，支持园区平台公司提供知识产权管理、转化路径规划、场景对接等全链条服务，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加快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推动技术创新成果转化为现实生产力。</w:t>
      </w:r>
    </w:p>
    <w:p w14:paraId="66A4BB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创新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升级</w:t>
      </w:r>
    </w:p>
    <w:p w14:paraId="7F35E4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强化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val="en-US" w:eastAsia="zh-CN"/>
        </w:rPr>
        <w:t>园区平台公司、国有资本投资运营公司、基金投资公司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产业培育和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产业投资作用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，优化国有资本在创新领域的布局与流转。支持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val="en-US" w:eastAsia="zh-CN"/>
        </w:rPr>
        <w:t>区属国企做好耐心资本和长期资本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，加快数字化转型与智能化升级。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val="en-US" w:eastAsia="zh-CN"/>
        </w:rPr>
        <w:t>鼓励区属国企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推动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产学研用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深度融合，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val="en-US" w:eastAsia="zh-CN"/>
        </w:rPr>
        <w:t>助力民营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企业在重点领域突破关键技术，提升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/>
          <w:lang w:val="en-US" w:eastAsia="zh-CN"/>
        </w:rPr>
        <w:t>区域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产业基础能力与产业链现代化水平。</w:t>
      </w:r>
    </w:p>
    <w:p w14:paraId="4307B6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</w:pPr>
      <w:bookmarkStart w:id="35" w:name="_Toc203234360"/>
      <w:bookmarkStart w:id="36" w:name="_Toc8824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（五）实施“服务保障”行动，</w:t>
      </w:r>
      <w:bookmarkEnd w:id="35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强化发展支撑作用</w:t>
      </w:r>
      <w:bookmarkEnd w:id="36"/>
    </w:p>
    <w:p w14:paraId="65D840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立足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区域经济社会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协同发展大局，服务城市更新与城乡融合战略，强化国有企业在基础设施建设、公共服务配套与产业生态构建中的关键作用，全面提升对区域高质量发展的综合保障能力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2AFD34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default" w:ascii="仿宋_GB2312" w:hAnsi="黑体" w:eastAsia="仿宋_GB2312"/>
          <w:b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服务区域产业生态构建</w:t>
      </w:r>
    </w:p>
    <w:p w14:paraId="1AB491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推动区属国有企业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围绕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“6+5+3”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产业发展布局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精准发力，实现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差异化布局与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协同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。在六大产业功能区中，新航城公司、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生物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医药基地公司、开发区经营公司、大兴国际、大兴发展等企业，分别聚焦临空经济、生物医药、数字经济、国际创新合作、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集成电路、机器人高端智造、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商业航天等领域，承担园区开发、产业集聚与生态构建核心任务，强化产业链条衔接与资源高效配置；在五个特色产业集聚区建设中，兴创公司、开发区经营公司、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大兴发展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依托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自持商务楼宇和园区服务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，推动产业升级与功能互补，打造专业化、集群化发展高地，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大兴基建作为京南物流基地建设运营主体，完善园区基础设施，全面提升配套服务能力，加快推动基地转型升级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三大发展新片区方面，大兴城建、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大兴文旅公司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积极参与花园城市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永定湾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大兴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国际旅游度假区等战略板块开发，强化区域联动与功能融合，加快形成“空间互补、产业协同、优势叠加”的发展新格局，全面提升国有经济对全区产业发展的支撑力与带动力。</w:t>
      </w:r>
    </w:p>
    <w:p w14:paraId="0D8D4E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城市更新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与功能提升</w:t>
      </w:r>
    </w:p>
    <w:p w14:paraId="4E3600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引导区属国企聚焦重点片区开发，积极参与新型基础设施建设，优化区域投资与发展环境。高质量推进土地一级开发，加快土地资源高效利用。完善商业配套与生活服务设施，建设宜商宜居的智慧城市与智慧园区。参与老旧商业设施改造，承担市政道路、管网更新等基础设施建设任务。市场化推进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各类地产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开发，推广应用绿色建造与智慧建筑技术，提升城市综合承载能力。助力改善人居环境，强化物业管理，推进物业服务标准化、智慧化建设，提升城市服务保障水平。</w:t>
      </w:r>
    </w:p>
    <w:p w14:paraId="570BF69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促进城乡融合与乡村振兴</w:t>
      </w:r>
    </w:p>
    <w:p w14:paraId="76E5A85D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立足城乡发展深化改革先行区建设，在深化城乡融合发展上积极作为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，助力现代化平原新城建设。依托区位资源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特色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适时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发展都市农业、科技农业、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fill="auto"/>
          <w14:textFill>
            <w14:solidFill>
              <w14:schemeClr w14:val="tx1"/>
            </w14:solidFill>
          </w14:textFill>
        </w:rPr>
        <w:t>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商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fill="auto"/>
          <w14:textFill>
            <w14:solidFill>
              <w14:schemeClr w14:val="tx1"/>
            </w14:solidFill>
          </w14:textFill>
        </w:rPr>
        <w:t>文旅融合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等业态，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强化“三农”服务，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完善现代都市农业体系。推进北京国际花卉现代产业园等重点项目，构建集文化、交易、科技于一体的花卉产业生态。支持区属国企通过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空间运营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+实业投资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等模式，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积极利用自持空间载体，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参与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采育数字时尚小镇、庞各庄西瓜小镇等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特色小镇建设与运营，完善商务服务与公共配套，为城镇化提质增效提供有力支撑。</w:t>
      </w:r>
    </w:p>
    <w:p w14:paraId="41413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37" w:name="_Toc203234361"/>
      <w:bookmarkStart w:id="38" w:name="_Toc2270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（六）实施“风险防控”行动，</w:t>
      </w:r>
      <w:bookmarkEnd w:id="37"/>
      <w:r>
        <w:rPr>
          <w:rFonts w:hint="eastAsia" w:ascii="楷体_GB2312" w:hAnsi="方正仿宋_GBK" w:eastAsia="楷体_GB2312" w:cs="Times New Roman"/>
          <w:sz w:val="32"/>
          <w:szCs w:val="32"/>
          <w:highlight w:val="none"/>
          <w:lang w:eastAsia="zh-CN"/>
        </w:rPr>
        <w:t>筑牢安全运行体系</w:t>
      </w:r>
      <w:bookmarkEnd w:id="38"/>
    </w:p>
    <w:p w14:paraId="7A363B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围绕以管资本为主的监管导向，完善国有资产监管体制机制，创新监管模式，构建覆盖全面、预警及时、应对有效的风险防控体系，实现国有资本安全、保值与增值的有机统一。</w:t>
      </w:r>
    </w:p>
    <w:p w14:paraId="7D4FF6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1.完善出资人监督机制</w:t>
      </w:r>
    </w:p>
    <w:p w14:paraId="5BC08E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健全以管资本为核心的监管制度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体系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，优化投资、资产、绩效、预算与收益等重点环节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监管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。科学界定监管边界，实行权责清单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落实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一企一策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分类授权，保障企业经营自主权。强化经营性国有资产集中统一监管，构建事前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规范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、事中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监控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、事后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问责的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监督闭环，推动企业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合规经营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、稳健发展。</w:t>
      </w:r>
    </w:p>
    <w:p w14:paraId="1F52D2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outlineLvl w:val="2"/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2.创新国有资本监管模式</w:t>
      </w:r>
    </w:p>
    <w:p w14:paraId="422BA6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实施穿透式监管，全面启动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国资在线监管系统，提升监管专业化、法治化、智能化水平。完善分类动态监管机制，运用大数据等技术构建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智能化+穿透式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监管网络，加强投资与运营风险实时监测。健全企业内控与合规体系，推动管理制度化、流程化。优化内部监督协同机制，增强企业自主风险防控能力。</w:t>
      </w:r>
    </w:p>
    <w:p w14:paraId="2AB23A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.健全风险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管理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体系</w:t>
      </w:r>
    </w:p>
    <w:p w14:paraId="2FFD4B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统筹发展与安全，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坚决防范和化解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经营风险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构建覆盖战略、财务、市场、法律等领域的全面风险防控体系，完善风险识别、评估、监控与预警机制。压实企业主体责任，健全应急预案与内部监督机制，强化风险排查与处置能力，坚决筑牢国有资产安全防线。</w:t>
      </w:r>
    </w:p>
    <w:p w14:paraId="37A1E0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.加强债务风险管控</w:t>
      </w:r>
    </w:p>
    <w:p w14:paraId="0538D0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严格控制区属国企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负债处于合理水平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不断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优化债务结构，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科学统筹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融资计划，确保债务风险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整体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可控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加强国有企业债务风险管控，对企业资产负债率、偿债能力等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指标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定期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监测分析，对资产负债率过高的企业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重点监控预警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有效防范化解企业重大债务风险。</w:t>
      </w:r>
    </w:p>
    <w:p w14:paraId="5DD53F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default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5.强化重点领域监管</w:t>
      </w:r>
    </w:p>
    <w:p w14:paraId="6B1A0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严守土地资源红线，严禁以任何形式造成国有土地资源流失；严控投资风险红线，严格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管理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京外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、境外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投资，确保投资安全可控；规范混合所有制改革，坚持依法依规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有序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推进，杜绝无序行为和潜在风险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；落实投资经营责任追究，健全问责机制，切实筑牢重点领域风险防线。</w:t>
      </w:r>
    </w:p>
    <w:p w14:paraId="7F3808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outlineLvl w:val="2"/>
        <w:rPr>
          <w:rFonts w:hint="eastAsia" w:ascii="仿宋_GB2312" w:hAnsi="黑体" w:eastAsia="仿宋_GB2312" w:cstheme="minorBidi"/>
          <w:b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b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黑体" w:eastAsia="仿宋_GB2312" w:cstheme="minorBidi"/>
          <w:b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严格安全生产责任</w:t>
      </w:r>
    </w:p>
    <w:p w14:paraId="3E2884A3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_GB2312" w:hAnsi="黑体" w:eastAsia="仿宋_GB2312" w:cstheme="minorBidi"/>
          <w:i w:val="0"/>
          <w:caps w:val="0"/>
          <w:color w:val="000000" w:themeColor="text1"/>
          <w:spacing w:val="0"/>
          <w:kern w:val="2"/>
          <w:sz w:val="32"/>
          <w:szCs w:val="32"/>
          <w:highlight w:val="none"/>
          <w:shd w:val="clear" w:fill="auto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以“降概率、控损失”为目标，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牢固树立安全发展理念，压实企业主体责任，持续完善管理制度与工作机制。强化风险源头管控，深化隐患排查治理，提升在建工程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等高危行业领域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安全管理水平。健全应急响应体系，坚决防范和遏制重特大事故发生，确保安全生产形势持续稳定。</w:t>
      </w:r>
    </w:p>
    <w:p w14:paraId="5040B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0"/>
        <w:rPr>
          <w:rFonts w:hint="default" w:ascii="黑体" w:hAnsi="黑体" w:eastAsia="黑体" w:cs="仿宋"/>
          <w:sz w:val="32"/>
          <w:szCs w:val="32"/>
          <w:highlight w:val="none"/>
          <w:lang w:val="en-US" w:eastAsia="zh-CN"/>
        </w:rPr>
      </w:pPr>
      <w:bookmarkStart w:id="39" w:name="_Toc203234362"/>
      <w:bookmarkStart w:id="40" w:name="_Toc526"/>
      <w:r>
        <w:rPr>
          <w:rFonts w:hint="eastAsia" w:ascii="黑体" w:hAnsi="黑体" w:eastAsia="黑体" w:cs="仿宋"/>
          <w:sz w:val="32"/>
          <w:szCs w:val="32"/>
          <w:highlight w:val="none"/>
          <w:lang w:eastAsia="zh-CN"/>
        </w:rPr>
        <w:t>四、</w:t>
      </w:r>
      <w:bookmarkEnd w:id="39"/>
      <w:r>
        <w:rPr>
          <w:rFonts w:hint="eastAsia" w:ascii="黑体" w:hAnsi="黑体" w:eastAsia="黑体" w:cs="仿宋"/>
          <w:sz w:val="32"/>
          <w:szCs w:val="32"/>
          <w:highlight w:val="none"/>
          <w:lang w:val="en-US" w:eastAsia="zh-CN"/>
        </w:rPr>
        <w:t>保障措施</w:t>
      </w:r>
      <w:bookmarkEnd w:id="40"/>
    </w:p>
    <w:p w14:paraId="70720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41" w:name="_Toc456"/>
      <w:bookmarkStart w:id="42" w:name="_Toc203234363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（一）强化组织领导</w:t>
      </w:r>
      <w:bookmarkEnd w:id="41"/>
    </w:p>
    <w:p w14:paraId="52574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43" w:name="_Toc12135"/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坚持党对规划实施的全面领导，压实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企业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各级党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组织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主体责任，把方向、管大局、保落实。夯实组织基础，织密建强上下贯通、执行有力的组织体系。明确专职管理部门职责，编制年度实施计划，分解落实重点任务，加强统筹协调与督导培训。依托动态监测数据，定期开展进展评估与策略优化，及时调整实施路径，增强规划执行的科学性与应变力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  <w:lang w:eastAsia="zh-CN"/>
        </w:rPr>
        <w:t>。</w:t>
      </w:r>
    </w:p>
    <w:bookmarkEnd w:id="43"/>
    <w:p w14:paraId="523D4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44" w:name="_Toc5143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（二）健全制度机制</w:t>
      </w:r>
      <w:bookmarkEnd w:id="44"/>
    </w:p>
    <w:p w14:paraId="21622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</w:pPr>
      <w:bookmarkStart w:id="45" w:name="_Toc405"/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完善制度体系，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做好顶层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与分层衔接，推动制度建设与制度执行，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做好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规划目标、发展方向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改革举措与现有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制度衔接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。加快配套政策供给，密切跟踪国家和北京市政策导向，及时制定出台相关配套措施，清理修订与规划实施要求不符的现行规定。构建与规划相匹配的决策科学、协调有力、执行高效、监督到位的运行机制，全面提升制度执行力与政策协同效能。</w:t>
      </w:r>
      <w:bookmarkEnd w:id="45"/>
    </w:p>
    <w:p w14:paraId="19253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46" w:name="_Toc31200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（三）优化资源配置</w:t>
      </w:r>
      <w:bookmarkEnd w:id="46"/>
    </w:p>
    <w:p w14:paraId="143A7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47" w:name="_Toc21598"/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强化人才支撑，围绕重点产业，健全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人才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引进、培养和激励机制，打造专业化人才队伍。拓宽资金渠道，积极争取财政资金与金融机构支持，鼓励社会资本参与国企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重点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项目。提升资源效能，推动区属国企之间的资源协同和专业化整合，全面提升国有资本整体运营效率和回报水平。</w:t>
      </w:r>
      <w:bookmarkEnd w:id="47"/>
    </w:p>
    <w:p w14:paraId="41008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48" w:name="_Toc10679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（四）加强协同联动</w:t>
      </w:r>
      <w:bookmarkEnd w:id="48"/>
    </w:p>
    <w:p w14:paraId="2E506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49" w:name="_Toc11875"/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加强部门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协同，建立与发改、财政、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经信、规自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住建、商务、文旅、生态环境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等部门的政策协调机制，确保任务协同推进、形成合力。强化政企协同，积极争取各政府部门对国企发展的支持，推动国企全力落实政府相关项目，提升政企协作效率。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企业协同，树立国资国企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一盘棋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理念，促进企业间分工明确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协同合作，共同完成规划关键目标。</w:t>
      </w:r>
      <w:bookmarkEnd w:id="49"/>
    </w:p>
    <w:p w14:paraId="64C27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50" w:name="_Toc14504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（五）严格考核评估</w:t>
      </w:r>
      <w:bookmarkEnd w:id="50"/>
    </w:p>
    <w:p w14:paraId="5FDA51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both"/>
        <w:textAlignment w:val="auto"/>
        <w:outlineLvl w:val="1"/>
        <w:rPr>
          <w:rFonts w:hint="eastAsia" w:ascii="仿宋_GB2312" w:hAnsi="黑体" w:eastAsia="仿宋_GB2312" w:cstheme="minorBidi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完善以经营效益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服务保障、产业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促进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贡献为核心导向的考核机制，深化分类考核，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逐步完善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一企一策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一业一策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考核模式。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建立评估与督查相结合的监督机制，重点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跟踪重大改革任务和重点项目建设进展。强化结果运用，将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考核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评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价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结果与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绩效、干部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:lang w:eastAsia="zh-CN"/>
          <w14:textFill>
            <w14:solidFill>
              <w14:schemeClr w14:val="tx1"/>
            </w14:solidFill>
          </w14:textFill>
        </w:rPr>
        <w:t>任用</w:t>
      </w:r>
      <w:r>
        <w:rPr>
          <w:rFonts w:hint="eastAsia" w:ascii="仿宋_GB2312" w:hAnsi="黑体" w:eastAsia="仿宋_GB2312" w:cstheme="minorBidi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auto"/>
          <w14:textFill>
            <w14:solidFill>
              <w14:schemeClr w14:val="tx1"/>
            </w14:solidFill>
          </w14:textFill>
        </w:rPr>
        <w:t>、资源分配紧密挂钩，形成管理闭环，提升规划执行约束力与发展导向性。</w:t>
      </w:r>
      <w:bookmarkEnd w:id="42"/>
    </w:p>
    <w:sectPr>
      <w:footerReference r:id="rId6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3212324"/>
    </w:sdtPr>
    <w:sdtContent>
      <w:p w14:paraId="396609EB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30</w:t>
        </w:r>
        <w:r>
          <w:fldChar w:fldCharType="end"/>
        </w:r>
      </w:p>
    </w:sdtContent>
  </w:sdt>
  <w:p w14:paraId="462F4B4B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10873"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2781"/>
                          </w:sdtPr>
                          <w:sdtContent>
                            <w:p w14:paraId="1E826865">
                              <w:pPr>
                                <w:pStyle w:val="7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30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6A74747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82781"/>
                    </w:sdtPr>
                    <w:sdtContent>
                      <w:p w14:paraId="1E826865">
                        <w:pPr>
                          <w:pStyle w:val="7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30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6A747474"/>
                </w:txbxContent>
              </v:textbox>
            </v:shape>
          </w:pict>
        </mc:Fallback>
      </mc:AlternateContent>
    </w:r>
  </w:p>
  <w:p w14:paraId="24734C5C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79E67">
    <w:pPr>
      <w:pStyle w:val="7"/>
      <w:jc w:val="center"/>
    </w:pPr>
  </w:p>
  <w:p w14:paraId="60B4E77D"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124EE"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6436"/>
                          </w:sdtPr>
                          <w:sdtContent>
                            <w:p w14:paraId="4BB8B0AF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30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E1B7F70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6436"/>
                    </w:sdtPr>
                    <w:sdtContent>
                      <w:p w14:paraId="4BB8B0AF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t>30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1E1B7F70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mVkOTA1MjFjYzMwZWNmZGFhODliZDBjZWU4YWMifQ=="/>
  </w:docVars>
  <w:rsids>
    <w:rsidRoot w:val="684424AE"/>
    <w:rsid w:val="00030DAC"/>
    <w:rsid w:val="00061BAE"/>
    <w:rsid w:val="000712D5"/>
    <w:rsid w:val="00076C46"/>
    <w:rsid w:val="00085548"/>
    <w:rsid w:val="000B39EE"/>
    <w:rsid w:val="000E428C"/>
    <w:rsid w:val="000F6B34"/>
    <w:rsid w:val="001007D5"/>
    <w:rsid w:val="00102AB4"/>
    <w:rsid w:val="00106902"/>
    <w:rsid w:val="00133F78"/>
    <w:rsid w:val="001617E1"/>
    <w:rsid w:val="00180682"/>
    <w:rsid w:val="001A2AEB"/>
    <w:rsid w:val="001A3726"/>
    <w:rsid w:val="001A4413"/>
    <w:rsid w:val="001B059F"/>
    <w:rsid w:val="001B0E14"/>
    <w:rsid w:val="001B3539"/>
    <w:rsid w:val="001C05D0"/>
    <w:rsid w:val="001E3315"/>
    <w:rsid w:val="001F24FF"/>
    <w:rsid w:val="00201C39"/>
    <w:rsid w:val="00204E47"/>
    <w:rsid w:val="00226411"/>
    <w:rsid w:val="00236232"/>
    <w:rsid w:val="00240646"/>
    <w:rsid w:val="00245CF8"/>
    <w:rsid w:val="002571A6"/>
    <w:rsid w:val="002632B5"/>
    <w:rsid w:val="00263EA5"/>
    <w:rsid w:val="00267816"/>
    <w:rsid w:val="002B0327"/>
    <w:rsid w:val="002B1DB8"/>
    <w:rsid w:val="002E0780"/>
    <w:rsid w:val="003049F1"/>
    <w:rsid w:val="00306706"/>
    <w:rsid w:val="00313FD3"/>
    <w:rsid w:val="00323023"/>
    <w:rsid w:val="0032360D"/>
    <w:rsid w:val="003546AC"/>
    <w:rsid w:val="003927D2"/>
    <w:rsid w:val="003D7B5B"/>
    <w:rsid w:val="00456DB3"/>
    <w:rsid w:val="00460BC0"/>
    <w:rsid w:val="00474ED0"/>
    <w:rsid w:val="004754EA"/>
    <w:rsid w:val="004A54CF"/>
    <w:rsid w:val="004E617E"/>
    <w:rsid w:val="004F5F5C"/>
    <w:rsid w:val="0059062E"/>
    <w:rsid w:val="00596B81"/>
    <w:rsid w:val="005A6F0F"/>
    <w:rsid w:val="005E064C"/>
    <w:rsid w:val="006328C0"/>
    <w:rsid w:val="00662389"/>
    <w:rsid w:val="00667D85"/>
    <w:rsid w:val="00683575"/>
    <w:rsid w:val="006849FE"/>
    <w:rsid w:val="00691573"/>
    <w:rsid w:val="006A31B2"/>
    <w:rsid w:val="006B15BB"/>
    <w:rsid w:val="006C0F9C"/>
    <w:rsid w:val="006C6F67"/>
    <w:rsid w:val="006D6517"/>
    <w:rsid w:val="006F5070"/>
    <w:rsid w:val="007053C6"/>
    <w:rsid w:val="0070553D"/>
    <w:rsid w:val="00710DF7"/>
    <w:rsid w:val="007239CA"/>
    <w:rsid w:val="00735F7B"/>
    <w:rsid w:val="007446BE"/>
    <w:rsid w:val="007520DB"/>
    <w:rsid w:val="0076030D"/>
    <w:rsid w:val="00781992"/>
    <w:rsid w:val="00781FD9"/>
    <w:rsid w:val="00786B0B"/>
    <w:rsid w:val="0079209F"/>
    <w:rsid w:val="007A4B2D"/>
    <w:rsid w:val="007C05B8"/>
    <w:rsid w:val="007C6646"/>
    <w:rsid w:val="007D3C95"/>
    <w:rsid w:val="007F1913"/>
    <w:rsid w:val="0082200F"/>
    <w:rsid w:val="0082514D"/>
    <w:rsid w:val="0082625A"/>
    <w:rsid w:val="008265F2"/>
    <w:rsid w:val="00831D89"/>
    <w:rsid w:val="00835824"/>
    <w:rsid w:val="0084413F"/>
    <w:rsid w:val="00851FD5"/>
    <w:rsid w:val="00887625"/>
    <w:rsid w:val="0089176B"/>
    <w:rsid w:val="00895D25"/>
    <w:rsid w:val="008A645A"/>
    <w:rsid w:val="008C615D"/>
    <w:rsid w:val="008C6C1B"/>
    <w:rsid w:val="008E0538"/>
    <w:rsid w:val="00902CD5"/>
    <w:rsid w:val="00903482"/>
    <w:rsid w:val="00923237"/>
    <w:rsid w:val="00931D6A"/>
    <w:rsid w:val="00951DB8"/>
    <w:rsid w:val="0098783C"/>
    <w:rsid w:val="009C72B0"/>
    <w:rsid w:val="009D336B"/>
    <w:rsid w:val="009D3CCF"/>
    <w:rsid w:val="009E2CE7"/>
    <w:rsid w:val="009E7F5D"/>
    <w:rsid w:val="009F35CB"/>
    <w:rsid w:val="00A13062"/>
    <w:rsid w:val="00A13653"/>
    <w:rsid w:val="00A165E6"/>
    <w:rsid w:val="00A30282"/>
    <w:rsid w:val="00AA1BD5"/>
    <w:rsid w:val="00AA5B67"/>
    <w:rsid w:val="00AB6586"/>
    <w:rsid w:val="00AC4983"/>
    <w:rsid w:val="00B323B7"/>
    <w:rsid w:val="00B464A0"/>
    <w:rsid w:val="00B514B6"/>
    <w:rsid w:val="00B8457C"/>
    <w:rsid w:val="00B872E2"/>
    <w:rsid w:val="00BA1AFD"/>
    <w:rsid w:val="00BA4AF4"/>
    <w:rsid w:val="00BD4088"/>
    <w:rsid w:val="00BF2F4D"/>
    <w:rsid w:val="00BF60D9"/>
    <w:rsid w:val="00C153B1"/>
    <w:rsid w:val="00C23E8F"/>
    <w:rsid w:val="00C679FD"/>
    <w:rsid w:val="00C94DDF"/>
    <w:rsid w:val="00CE06A5"/>
    <w:rsid w:val="00CE1ABA"/>
    <w:rsid w:val="00CE4F69"/>
    <w:rsid w:val="00CF4688"/>
    <w:rsid w:val="00CF4C51"/>
    <w:rsid w:val="00D24879"/>
    <w:rsid w:val="00D33B95"/>
    <w:rsid w:val="00D60FE9"/>
    <w:rsid w:val="00D61096"/>
    <w:rsid w:val="00DC5A50"/>
    <w:rsid w:val="00E079B7"/>
    <w:rsid w:val="00E07C14"/>
    <w:rsid w:val="00E13474"/>
    <w:rsid w:val="00E24C20"/>
    <w:rsid w:val="00E2685F"/>
    <w:rsid w:val="00E32828"/>
    <w:rsid w:val="00E54ED8"/>
    <w:rsid w:val="00E648CC"/>
    <w:rsid w:val="00E75077"/>
    <w:rsid w:val="00E76312"/>
    <w:rsid w:val="00EB1013"/>
    <w:rsid w:val="00EB3555"/>
    <w:rsid w:val="00EC37EA"/>
    <w:rsid w:val="00ED5C6D"/>
    <w:rsid w:val="00EE332E"/>
    <w:rsid w:val="00EE384B"/>
    <w:rsid w:val="00F158D4"/>
    <w:rsid w:val="00F20AED"/>
    <w:rsid w:val="00F261DE"/>
    <w:rsid w:val="00F5244F"/>
    <w:rsid w:val="00FA5981"/>
    <w:rsid w:val="00FC3E9A"/>
    <w:rsid w:val="01A00527"/>
    <w:rsid w:val="02004DC8"/>
    <w:rsid w:val="034B24F2"/>
    <w:rsid w:val="04C44DDD"/>
    <w:rsid w:val="053A5CE9"/>
    <w:rsid w:val="058F0596"/>
    <w:rsid w:val="061B3E58"/>
    <w:rsid w:val="068C36A0"/>
    <w:rsid w:val="06C87617"/>
    <w:rsid w:val="06FFD69F"/>
    <w:rsid w:val="07794418"/>
    <w:rsid w:val="081D1655"/>
    <w:rsid w:val="08A21757"/>
    <w:rsid w:val="09D118F1"/>
    <w:rsid w:val="0A7B2440"/>
    <w:rsid w:val="0AEF497D"/>
    <w:rsid w:val="0B5D4FB1"/>
    <w:rsid w:val="0C4C6558"/>
    <w:rsid w:val="0C9C1B90"/>
    <w:rsid w:val="0CE157B6"/>
    <w:rsid w:val="0CE7752F"/>
    <w:rsid w:val="0E773A85"/>
    <w:rsid w:val="0F2D3E3E"/>
    <w:rsid w:val="0F317386"/>
    <w:rsid w:val="0FBA55CD"/>
    <w:rsid w:val="10FB1E3A"/>
    <w:rsid w:val="125806B4"/>
    <w:rsid w:val="12B547D4"/>
    <w:rsid w:val="130D5625"/>
    <w:rsid w:val="13451652"/>
    <w:rsid w:val="13773FFC"/>
    <w:rsid w:val="1378583C"/>
    <w:rsid w:val="146C7DBE"/>
    <w:rsid w:val="17057A51"/>
    <w:rsid w:val="173643FB"/>
    <w:rsid w:val="1785146E"/>
    <w:rsid w:val="18110E59"/>
    <w:rsid w:val="18AC7181"/>
    <w:rsid w:val="19297639"/>
    <w:rsid w:val="1B3F26C4"/>
    <w:rsid w:val="1BB62B27"/>
    <w:rsid w:val="1BFE2B24"/>
    <w:rsid w:val="1C7C1687"/>
    <w:rsid w:val="1CAA32A5"/>
    <w:rsid w:val="1D563644"/>
    <w:rsid w:val="1EC2158A"/>
    <w:rsid w:val="1EE223EB"/>
    <w:rsid w:val="1FFC5ABB"/>
    <w:rsid w:val="20214D6D"/>
    <w:rsid w:val="20A324AE"/>
    <w:rsid w:val="225747FB"/>
    <w:rsid w:val="22B13B32"/>
    <w:rsid w:val="234F62DC"/>
    <w:rsid w:val="235775ED"/>
    <w:rsid w:val="24A274A8"/>
    <w:rsid w:val="24A6115E"/>
    <w:rsid w:val="24FB3D6B"/>
    <w:rsid w:val="25F20284"/>
    <w:rsid w:val="261C3D61"/>
    <w:rsid w:val="26E87E73"/>
    <w:rsid w:val="27B53A26"/>
    <w:rsid w:val="27E03A99"/>
    <w:rsid w:val="27F5484F"/>
    <w:rsid w:val="27FF0ADD"/>
    <w:rsid w:val="28582A8E"/>
    <w:rsid w:val="2862004D"/>
    <w:rsid w:val="29371444"/>
    <w:rsid w:val="2A443FBA"/>
    <w:rsid w:val="2C6A5798"/>
    <w:rsid w:val="2CA70830"/>
    <w:rsid w:val="2CC43F64"/>
    <w:rsid w:val="2D023F24"/>
    <w:rsid w:val="2D07786C"/>
    <w:rsid w:val="2D161C0A"/>
    <w:rsid w:val="2D5E723D"/>
    <w:rsid w:val="2D7A0133"/>
    <w:rsid w:val="2D8B4C35"/>
    <w:rsid w:val="2E5F36A1"/>
    <w:rsid w:val="2E667215"/>
    <w:rsid w:val="2F2E4950"/>
    <w:rsid w:val="2F4D7D31"/>
    <w:rsid w:val="2FA71D90"/>
    <w:rsid w:val="31CB6BC1"/>
    <w:rsid w:val="323804E7"/>
    <w:rsid w:val="32FE112A"/>
    <w:rsid w:val="331273A2"/>
    <w:rsid w:val="33550853"/>
    <w:rsid w:val="340B6B0C"/>
    <w:rsid w:val="346966A0"/>
    <w:rsid w:val="347F3178"/>
    <w:rsid w:val="34DA32C8"/>
    <w:rsid w:val="373E09A4"/>
    <w:rsid w:val="378E762D"/>
    <w:rsid w:val="38414725"/>
    <w:rsid w:val="38A14611"/>
    <w:rsid w:val="39022581"/>
    <w:rsid w:val="39434FDE"/>
    <w:rsid w:val="39E13D03"/>
    <w:rsid w:val="3A0420B7"/>
    <w:rsid w:val="3A2E3163"/>
    <w:rsid w:val="3A606C1A"/>
    <w:rsid w:val="3AFF7D7A"/>
    <w:rsid w:val="3C9541F0"/>
    <w:rsid w:val="3D0D0E45"/>
    <w:rsid w:val="3D581D30"/>
    <w:rsid w:val="3EB763BD"/>
    <w:rsid w:val="3F0874F8"/>
    <w:rsid w:val="3F2F3C83"/>
    <w:rsid w:val="3F614796"/>
    <w:rsid w:val="3F6B4716"/>
    <w:rsid w:val="3F6E46F2"/>
    <w:rsid w:val="40807FDE"/>
    <w:rsid w:val="419D6A67"/>
    <w:rsid w:val="41B03B0C"/>
    <w:rsid w:val="420D0937"/>
    <w:rsid w:val="430E40C4"/>
    <w:rsid w:val="43E62E1F"/>
    <w:rsid w:val="441A1FA5"/>
    <w:rsid w:val="442F25F6"/>
    <w:rsid w:val="444D47F5"/>
    <w:rsid w:val="44BA6EFA"/>
    <w:rsid w:val="44DA759D"/>
    <w:rsid w:val="46C61614"/>
    <w:rsid w:val="47043A0D"/>
    <w:rsid w:val="47DF1D9B"/>
    <w:rsid w:val="484873B4"/>
    <w:rsid w:val="487F4128"/>
    <w:rsid w:val="48861F15"/>
    <w:rsid w:val="48D77982"/>
    <w:rsid w:val="49027E4A"/>
    <w:rsid w:val="49166DF1"/>
    <w:rsid w:val="4953791E"/>
    <w:rsid w:val="49F57119"/>
    <w:rsid w:val="4A57306B"/>
    <w:rsid w:val="4CC41A48"/>
    <w:rsid w:val="4D207C1E"/>
    <w:rsid w:val="4D60B907"/>
    <w:rsid w:val="4D9464FE"/>
    <w:rsid w:val="4E0A6378"/>
    <w:rsid w:val="4E406B3A"/>
    <w:rsid w:val="4EEF244A"/>
    <w:rsid w:val="4F490942"/>
    <w:rsid w:val="4FB54E8E"/>
    <w:rsid w:val="4FF5C33F"/>
    <w:rsid w:val="4FF7139D"/>
    <w:rsid w:val="502B382B"/>
    <w:rsid w:val="50EC3498"/>
    <w:rsid w:val="51796AF9"/>
    <w:rsid w:val="5262335B"/>
    <w:rsid w:val="52DD03B6"/>
    <w:rsid w:val="52FB922D"/>
    <w:rsid w:val="536C338D"/>
    <w:rsid w:val="543177C5"/>
    <w:rsid w:val="55A27B28"/>
    <w:rsid w:val="57002C73"/>
    <w:rsid w:val="571A34A2"/>
    <w:rsid w:val="582D2314"/>
    <w:rsid w:val="58CE3828"/>
    <w:rsid w:val="58DE2434"/>
    <w:rsid w:val="599B159A"/>
    <w:rsid w:val="59CB2E85"/>
    <w:rsid w:val="5AFD603F"/>
    <w:rsid w:val="5B5852F8"/>
    <w:rsid w:val="5BE785EC"/>
    <w:rsid w:val="5BFE62CB"/>
    <w:rsid w:val="5CCF4203"/>
    <w:rsid w:val="5EFA0B0F"/>
    <w:rsid w:val="5F0D100D"/>
    <w:rsid w:val="5F5FE720"/>
    <w:rsid w:val="5F6D12E1"/>
    <w:rsid w:val="5F77E242"/>
    <w:rsid w:val="5FCA3184"/>
    <w:rsid w:val="5FFED333"/>
    <w:rsid w:val="601147A8"/>
    <w:rsid w:val="60900382"/>
    <w:rsid w:val="60A13D85"/>
    <w:rsid w:val="60F12C83"/>
    <w:rsid w:val="61502311"/>
    <w:rsid w:val="617E0582"/>
    <w:rsid w:val="620A69AA"/>
    <w:rsid w:val="628E2679"/>
    <w:rsid w:val="62D81B88"/>
    <w:rsid w:val="62E9657A"/>
    <w:rsid w:val="636A2887"/>
    <w:rsid w:val="639B507A"/>
    <w:rsid w:val="63AC260C"/>
    <w:rsid w:val="63C63C60"/>
    <w:rsid w:val="63E86F8D"/>
    <w:rsid w:val="643C74D4"/>
    <w:rsid w:val="64F44209"/>
    <w:rsid w:val="657473E6"/>
    <w:rsid w:val="663D0A5D"/>
    <w:rsid w:val="67C22EA3"/>
    <w:rsid w:val="67D72332"/>
    <w:rsid w:val="684424AE"/>
    <w:rsid w:val="69A55FCB"/>
    <w:rsid w:val="6A3A6264"/>
    <w:rsid w:val="6A5D7BDE"/>
    <w:rsid w:val="6AA85096"/>
    <w:rsid w:val="6BDB7558"/>
    <w:rsid w:val="6BEC5A53"/>
    <w:rsid w:val="6BFDF6B5"/>
    <w:rsid w:val="6C710F75"/>
    <w:rsid w:val="6CD44DBF"/>
    <w:rsid w:val="6CF22772"/>
    <w:rsid w:val="6D0173CF"/>
    <w:rsid w:val="6D5D5D28"/>
    <w:rsid w:val="6D7F8DC0"/>
    <w:rsid w:val="6DAEDBBD"/>
    <w:rsid w:val="6DBA50E0"/>
    <w:rsid w:val="6E1C4834"/>
    <w:rsid w:val="6E612EB5"/>
    <w:rsid w:val="6EE90704"/>
    <w:rsid w:val="6F11220C"/>
    <w:rsid w:val="6F572D4D"/>
    <w:rsid w:val="6F7160EF"/>
    <w:rsid w:val="6F9C3525"/>
    <w:rsid w:val="6FBB89EE"/>
    <w:rsid w:val="6FF5DF90"/>
    <w:rsid w:val="6FFEA6AA"/>
    <w:rsid w:val="70060334"/>
    <w:rsid w:val="71337FCF"/>
    <w:rsid w:val="72160CFC"/>
    <w:rsid w:val="731360E9"/>
    <w:rsid w:val="732F474D"/>
    <w:rsid w:val="741811CA"/>
    <w:rsid w:val="74DF0134"/>
    <w:rsid w:val="750F0599"/>
    <w:rsid w:val="753E7D8B"/>
    <w:rsid w:val="75504BBD"/>
    <w:rsid w:val="756869DD"/>
    <w:rsid w:val="759101A6"/>
    <w:rsid w:val="75F25FE5"/>
    <w:rsid w:val="7686474B"/>
    <w:rsid w:val="76DF46A0"/>
    <w:rsid w:val="77A93776"/>
    <w:rsid w:val="78847C93"/>
    <w:rsid w:val="79013E72"/>
    <w:rsid w:val="790D38E0"/>
    <w:rsid w:val="79106165"/>
    <w:rsid w:val="79383CBC"/>
    <w:rsid w:val="79D64EFD"/>
    <w:rsid w:val="7AB533A0"/>
    <w:rsid w:val="7AE69D91"/>
    <w:rsid w:val="7B9A4DB4"/>
    <w:rsid w:val="7BC60751"/>
    <w:rsid w:val="7C473A86"/>
    <w:rsid w:val="7C8E496E"/>
    <w:rsid w:val="7C902056"/>
    <w:rsid w:val="7D166D3E"/>
    <w:rsid w:val="7D3EFE3A"/>
    <w:rsid w:val="7E4528F7"/>
    <w:rsid w:val="7E7520E1"/>
    <w:rsid w:val="7E7F008D"/>
    <w:rsid w:val="7EB7154D"/>
    <w:rsid w:val="7EF15C45"/>
    <w:rsid w:val="7F141322"/>
    <w:rsid w:val="7F30259C"/>
    <w:rsid w:val="7F30784C"/>
    <w:rsid w:val="7F3FC79B"/>
    <w:rsid w:val="7F8D5C92"/>
    <w:rsid w:val="7FB7770B"/>
    <w:rsid w:val="7FDD5BB2"/>
    <w:rsid w:val="B5ED6F94"/>
    <w:rsid w:val="B7EFE3A5"/>
    <w:rsid w:val="BA7ECF47"/>
    <w:rsid w:val="BCEB2376"/>
    <w:rsid w:val="BFFA23C4"/>
    <w:rsid w:val="BFFA9C0D"/>
    <w:rsid w:val="D3FB4EC1"/>
    <w:rsid w:val="D6BE2CEC"/>
    <w:rsid w:val="DBC799D7"/>
    <w:rsid w:val="DBFB5F23"/>
    <w:rsid w:val="DDB78C25"/>
    <w:rsid w:val="DDF7DA79"/>
    <w:rsid w:val="DFF8CD31"/>
    <w:rsid w:val="E2FF5593"/>
    <w:rsid w:val="E4CB2F78"/>
    <w:rsid w:val="E758182C"/>
    <w:rsid w:val="EBF7498F"/>
    <w:rsid w:val="ED664358"/>
    <w:rsid w:val="EFB7BDAD"/>
    <w:rsid w:val="EFFF4A55"/>
    <w:rsid w:val="F33F114B"/>
    <w:rsid w:val="F7B3D6F9"/>
    <w:rsid w:val="F7FF890F"/>
    <w:rsid w:val="F8FFD987"/>
    <w:rsid w:val="F91D3000"/>
    <w:rsid w:val="F9FAB73F"/>
    <w:rsid w:val="FAEF6ED8"/>
    <w:rsid w:val="FBE19675"/>
    <w:rsid w:val="FCEF5E02"/>
    <w:rsid w:val="FDB77E8F"/>
    <w:rsid w:val="FEBA7206"/>
    <w:rsid w:val="FEFBAA62"/>
    <w:rsid w:val="FEFF9053"/>
    <w:rsid w:val="FFB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6"/>
    <w:qFormat/>
    <w:uiPriority w:val="0"/>
    <w:pPr>
      <w:jc w:val="left"/>
    </w:p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Balloon Text"/>
    <w:basedOn w:val="1"/>
    <w:link w:val="25"/>
    <w:qFormat/>
    <w:uiPriority w:val="0"/>
    <w:rPr>
      <w:sz w:val="18"/>
      <w:szCs w:val="18"/>
    </w:rPr>
  </w:style>
  <w:style w:type="paragraph" w:styleId="7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tabs>
        <w:tab w:val="right" w:leader="dot" w:pos="8296"/>
      </w:tabs>
    </w:pPr>
    <w:rPr>
      <w:rFonts w:ascii="华文仿宋" w:hAnsi="华文仿宋" w:eastAsia="华文仿宋"/>
      <w:b/>
      <w:sz w:val="32"/>
      <w:szCs w:val="32"/>
    </w:rPr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qFormat/>
    <w:uiPriority w:val="0"/>
    <w:rPr>
      <w:sz w:val="24"/>
    </w:rPr>
  </w:style>
  <w:style w:type="paragraph" w:styleId="13">
    <w:name w:val="annotation subject"/>
    <w:basedOn w:val="4"/>
    <w:next w:val="4"/>
    <w:link w:val="27"/>
    <w:qFormat/>
    <w:uiPriority w:val="0"/>
    <w:rPr>
      <w:b/>
      <w:bCs/>
    </w:r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Hyperlink"/>
    <w:basedOn w:val="1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table" w:customStyle="1" w:styleId="20">
    <w:name w:val="浅色底纹1"/>
    <w:basedOn w:val="14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customStyle="1" w:styleId="21">
    <w:name w:val="页眉 Char"/>
    <w:basedOn w:val="15"/>
    <w:link w:val="8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5"/>
    <w:link w:val="7"/>
    <w:qFormat/>
    <w:uiPriority w:val="99"/>
    <w:rPr>
      <w:kern w:val="2"/>
      <w:sz w:val="18"/>
      <w:szCs w:val="18"/>
    </w:rPr>
  </w:style>
  <w:style w:type="character" w:customStyle="1" w:styleId="23">
    <w:name w:val="标题 1 Char"/>
    <w:basedOn w:val="15"/>
    <w:link w:val="2"/>
    <w:qFormat/>
    <w:uiPriority w:val="0"/>
    <w:rPr>
      <w:b/>
      <w:bCs/>
      <w:kern w:val="44"/>
      <w:sz w:val="44"/>
      <w:szCs w:val="44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E54A1" w:themeColor="accent1" w:themeShade="BF"/>
      <w:kern w:val="0"/>
      <w:sz w:val="28"/>
      <w:szCs w:val="28"/>
    </w:rPr>
  </w:style>
  <w:style w:type="character" w:customStyle="1" w:styleId="25">
    <w:name w:val="批注框文本 Char"/>
    <w:basedOn w:val="15"/>
    <w:link w:val="6"/>
    <w:qFormat/>
    <w:uiPriority w:val="0"/>
    <w:rPr>
      <w:kern w:val="2"/>
      <w:sz w:val="18"/>
      <w:szCs w:val="18"/>
    </w:rPr>
  </w:style>
  <w:style w:type="character" w:customStyle="1" w:styleId="26">
    <w:name w:val="批注文字 Char"/>
    <w:basedOn w:val="15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7">
    <w:name w:val="批注主题 Char"/>
    <w:basedOn w:val="26"/>
    <w:link w:val="13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0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E54A1" w:themeColor="accent1" w:themeShade="BF"/>
      <w:kern w:val="0"/>
      <w:sz w:val="28"/>
      <w:szCs w:val="28"/>
    </w:rPr>
  </w:style>
  <w:style w:type="character" w:customStyle="1" w:styleId="3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13015</Words>
  <Characters>13165</Characters>
  <Lines>135</Lines>
  <Paragraphs>38</Paragraphs>
  <TotalTime>7</TotalTime>
  <ScaleCrop>false</ScaleCrop>
  <LinksUpToDate>false</LinksUpToDate>
  <CharactersWithSpaces>13243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2025-08-25T23:59:00Z</dcterms:created>
  <dc:creator>像阳光一样灿烂</dc:creator>
  <cp:lastModifiedBy>李文峰</cp:lastModifiedBy>
  <cp:lastPrinted>2026-01-06T06:27:00Z</cp:lastPrinted>
  <dcterms:modified xsi:type="dcterms:W3CDTF">2026-08-31T01:51:05Z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CD4F3F96E3BC49B6ACCB8B8A367E836A_13</vt:lpwstr>
  </property>
  <property fmtid="{D5CDD505-2E9C-101B-9397-08002B2CF9AE}" pid="4" name="KSOTemplateDocerSaveRecord">
    <vt:lpwstr>eyJoZGlkIjoiNDI1NGQ4MDY4NjMxYWVlMzc3ODM2NDE0MmU1ODUxYzYiLCJ1c2VySWQiOiI5OTU1MzE0OTYifQ==</vt:lpwstr>
  </property>
</Properties>
</file>