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6D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6118985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541575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《大兴区“十五五”应急体系建设规划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》的起草说明</w:t>
      </w:r>
    </w:p>
    <w:p w14:paraId="42162C16">
      <w:pPr>
        <w:pStyle w:val="11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</w:p>
    <w:p w14:paraId="6BC853FA">
      <w:pPr>
        <w:pStyle w:val="11"/>
        <w:spacing w:line="560" w:lineRule="exact"/>
        <w:ind w:firstLine="640" w:firstLineChars="200"/>
        <w:jc w:val="left"/>
        <w:rPr>
          <w:rFonts w:hint="eastAsia" w:ascii="楷体_GB2312" w:hAnsi="楷体_GB2312" w:eastAsia="黑体" w:cs="楷体_GB2312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</w:rPr>
        <w:t>一、起草背景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和目的</w:t>
      </w:r>
    </w:p>
    <w:p w14:paraId="2E0F4EF9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十五五”时期是基本实现社会主义现代化夯实基础、全面发力的关键时期，也是大兴区落实“三区一门户”功能定位、建设协同发展示范区和繁荣开放国门新城的关键阶段。随着全区“6+5+3”产业发展布局深化铺开，传统风险与新业态风险交织叠加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基层应急能力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有待提升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。为深入贯彻总体国家安全观，统筹发展和安全，系统谋划“十五五”时期全区应急管理事业的发展目标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主要任务，以高水平安全保障高质量发展，大兴区应急管理局牵头组织开展了《大兴区“十五五”应急体系建设规划（征求意见稿）》（以下简称《规划》）编制工作。</w:t>
      </w:r>
    </w:p>
    <w:p w14:paraId="6E25E8E1">
      <w:pPr>
        <w:pStyle w:val="11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二、起草过程</w:t>
      </w:r>
    </w:p>
    <w:p w14:paraId="1FC75BBC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规划编制工作启动以来，区应急管理局组建工作专班，在系统总结“十四五”时期全区应急管理工作成效、深入研判风险形势和短板弱项的基础上形成规划初稿。编制过程中坚持紧密衔接国家和北京市“十五五”应急体系规划、大兴区“十五五”规划纲要等上位规划，坚持开门编制，多次组织专题研讨和基层调研，书面征求区相关部门意见，邀请专家开展规划咨询，对各方面反馈意见逐条研究、充分吸纳，经多轮修改打磨，形成目前的征求意见稿。</w:t>
      </w:r>
    </w:p>
    <w:p w14:paraId="7205DBE4">
      <w:pPr>
        <w:pStyle w:val="11"/>
        <w:spacing w:line="560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</w:rPr>
        <w:t>三、主要内容</w:t>
      </w:r>
      <w:r>
        <w:rPr>
          <w:rFonts w:hint="eastAsia" w:ascii="黑体" w:hAnsi="黑体" w:eastAsia="黑体" w:cs="黑体"/>
          <w:b w:val="0"/>
          <w:bCs w:val="0"/>
          <w:lang w:val="en-US" w:eastAsia="zh-CN"/>
        </w:rPr>
        <w:t>和特点</w:t>
      </w:r>
    </w:p>
    <w:p w14:paraId="3CA00993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《规划》共设置风险形势、发展目标、主要任务、保障措施四个部分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另设置五个重点工程专栏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41717C4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第一部分为风险形势，分析研判了“十五五”时期全区自然灾害、重点行业领域以及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未来</w:t>
      </w:r>
      <w:r>
        <w:rPr>
          <w:rFonts w:hint="eastAsia" w:ascii="仿宋_GB2312" w:eastAsia="仿宋_GB2312"/>
          <w:sz w:val="32"/>
          <w:szCs w:val="32"/>
        </w:rPr>
        <w:t>“6+5+3”产业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布局</w:t>
      </w:r>
      <w:r>
        <w:rPr>
          <w:rFonts w:hint="eastAsia" w:ascii="仿宋_GB2312" w:eastAsia="仿宋_GB2312"/>
          <w:sz w:val="32"/>
          <w:szCs w:val="32"/>
        </w:rPr>
        <w:t>面临的主要安全风险。第二部分为发展目标，提出到2030年基本建成符合大兴区情的大安全大应急框架及相应应急指挥机制、公共安全治理模式转向事前预防，到2035年建成与“三区一门户”功能定位相适应、具有大兴特色的现代化应急管理体系和能力，并同步设置单位地区生产总值生产安全事故死亡率、人均应急避难场所面积等5项核心指标。第三部分为主要任务，部署七个方面重点任务：一是立足大安全大应急，完善统一高效应急指挥体系；二是深化风险源头防控，加快治理模式转向事前预防；三是强化灾害防治体系，提升防灾减灾救灾能力；四是加强应急力量建设，提升关键领域应急救援能力；五是推进韧性城市建设，提升基础设施本质安全水平；六是强化科技人才支撑，提升全域智慧应急水平；七是提升基层应急能力，持续加强全民安全教育；同时配套设置产业园区安全保障工程、危险化学品应急救援能力提升工程、韧性城市与基础设施安全工程、智慧应急建设工程、基层应急能力提升工程5个重点工程专栏。第四部分为保障措施，从压实工作责任、细化实施方案、开展试点示范、强化动态监测评估等方面提出要求，确保规划落地见效。</w:t>
      </w:r>
    </w:p>
    <w:p w14:paraId="1EE0114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大兴区“十五五”应急体系建设规划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（征求意见稿）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的成果特点有以下方面：</w:t>
      </w:r>
    </w:p>
    <w:p w14:paraId="081D20D0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是坚持对标对表、上下衔接。《规划》全面贯彻党中央关于应急管理工作的决策部署，严格落实上位规划要求，与国家、北京市“十五五”应急体系规划和全区“十五五”规划纲要一脉相承，确保方向不偏、要求贯通。</w:t>
      </w:r>
    </w:p>
    <w:p w14:paraId="6D1FF53D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是坚持立足区情、突出特色。紧扣大兴平原区位特点和未来产业发展布局，分领域辨识临空经济、生物医药、氢能、数字经济等产业安全风险并精准施策，同时统筹考虑区级事权和财政承载能力，不提脱离实际、超出职权的目标任务，针对性和可操作性较强。</w:t>
      </w:r>
    </w:p>
    <w:p w14:paraId="0D5C2D89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是坚持预防为主、关口前移。把推动公共安全治理模式向事前预防转型贯穿全篇，强化城市安全风险评估、源头管控和非现场监管，一体推进韧性城市建设和城市生命线安全工程，加快实现从被动应对向主动防控转变。</w:t>
      </w:r>
    </w:p>
    <w:p w14:paraId="7506870E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是坚持工程牵引、强基固本。以5项核心指标和5个重点工程专栏为抓手，推动主要任务项目化、清单化，同时聚焦应急物资储备、救援装备配备、基层应急力量和全民安全素养等薄弱环节持续用力，确保规划可落地、可评估。</w:t>
      </w:r>
    </w:p>
    <w:p w14:paraId="1873F24B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3B8F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915467">
                          <w:pPr>
                            <w:pStyle w:val="1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915467">
                    <w:pPr>
                      <w:pStyle w:val="1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6524A"/>
    <w:multiLevelType w:val="multilevel"/>
    <w:tmpl w:val="A206524A"/>
    <w:lvl w:ilvl="0" w:tentative="0">
      <w:start w:val="1"/>
      <w:numFmt w:val="decimal"/>
      <w:lvlText w:val="第%1章 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2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64CBB24E"/>
    <w:multiLevelType w:val="singleLevel"/>
    <w:tmpl w:val="64CBB24E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1EB4"/>
    <w:rsid w:val="07C54A7C"/>
    <w:rsid w:val="0984554F"/>
    <w:rsid w:val="099E0166"/>
    <w:rsid w:val="0DE0148D"/>
    <w:rsid w:val="0EA0228A"/>
    <w:rsid w:val="10291EDD"/>
    <w:rsid w:val="13B961CF"/>
    <w:rsid w:val="16E04B1F"/>
    <w:rsid w:val="16FA2753"/>
    <w:rsid w:val="17626C76"/>
    <w:rsid w:val="19F01E29"/>
    <w:rsid w:val="1C732095"/>
    <w:rsid w:val="1F6F1DB7"/>
    <w:rsid w:val="1F775289"/>
    <w:rsid w:val="214A2433"/>
    <w:rsid w:val="24056284"/>
    <w:rsid w:val="240B2444"/>
    <w:rsid w:val="26084E8D"/>
    <w:rsid w:val="2E7632C6"/>
    <w:rsid w:val="2FBE2739"/>
    <w:rsid w:val="2FFA2D8F"/>
    <w:rsid w:val="314109CA"/>
    <w:rsid w:val="336F654B"/>
    <w:rsid w:val="35E50F97"/>
    <w:rsid w:val="364C306F"/>
    <w:rsid w:val="391F51DC"/>
    <w:rsid w:val="39396CB4"/>
    <w:rsid w:val="3B3F7950"/>
    <w:rsid w:val="430420E0"/>
    <w:rsid w:val="44044A8E"/>
    <w:rsid w:val="4509150D"/>
    <w:rsid w:val="45602541"/>
    <w:rsid w:val="45652840"/>
    <w:rsid w:val="47013507"/>
    <w:rsid w:val="4AD102CE"/>
    <w:rsid w:val="541303D5"/>
    <w:rsid w:val="5470465A"/>
    <w:rsid w:val="56405C78"/>
    <w:rsid w:val="57711FE2"/>
    <w:rsid w:val="57D32355"/>
    <w:rsid w:val="5A871B1D"/>
    <w:rsid w:val="5BC431BB"/>
    <w:rsid w:val="62B31397"/>
    <w:rsid w:val="63135132"/>
    <w:rsid w:val="63FE023A"/>
    <w:rsid w:val="65A7062C"/>
    <w:rsid w:val="65B33DD5"/>
    <w:rsid w:val="65F72B27"/>
    <w:rsid w:val="6B8D45FC"/>
    <w:rsid w:val="6C0C1E82"/>
    <w:rsid w:val="6C7C7008"/>
    <w:rsid w:val="6F63625D"/>
    <w:rsid w:val="70812E3F"/>
    <w:rsid w:val="72A978D7"/>
    <w:rsid w:val="73080A6D"/>
    <w:rsid w:val="733D289D"/>
    <w:rsid w:val="734301DC"/>
    <w:rsid w:val="74BC2AB0"/>
    <w:rsid w:val="74D774D1"/>
    <w:rsid w:val="75B94E29"/>
    <w:rsid w:val="78A10475"/>
    <w:rsid w:val="78A35A7C"/>
    <w:rsid w:val="78AF76D0"/>
    <w:rsid w:val="7D9E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ind w:firstLine="0" w:firstLineChars="0"/>
      <w:outlineLvl w:val="0"/>
    </w:pPr>
    <w:rPr>
      <w:rFonts w:eastAsia="黑体" w:asciiTheme="majorAscii" w:hAnsiTheme="majorAsci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8"/>
    <w:semiHidden/>
    <w:unhideWhenUsed/>
    <w:qFormat/>
    <w:uiPriority w:val="0"/>
    <w:pPr>
      <w:numPr>
        <w:ilvl w:val="1"/>
        <w:numId w:val="1"/>
      </w:numPr>
      <w:spacing w:before="120" w:after="120" w:line="360" w:lineRule="exact"/>
      <w:ind w:left="0" w:firstLine="0" w:firstLineChars="0"/>
      <w:jc w:val="left"/>
      <w:outlineLvl w:val="1"/>
    </w:pPr>
    <w:rPr>
      <w:rFonts w:eastAsia="宋体" w:asciiTheme="minorEastAsia" w:hAnsiTheme="minorEastAsia" w:cstheme="majorBidi"/>
      <w:b/>
      <w:sz w:val="28"/>
      <w:szCs w:val="28"/>
    </w:rPr>
  </w:style>
  <w:style w:type="paragraph" w:styleId="5">
    <w:name w:val="heading 3"/>
    <w:basedOn w:val="1"/>
    <w:next w:val="1"/>
    <w:link w:val="19"/>
    <w:semiHidden/>
    <w:unhideWhenUsed/>
    <w:qFormat/>
    <w:uiPriority w:val="0"/>
    <w:pPr>
      <w:numPr>
        <w:ilvl w:val="0"/>
        <w:numId w:val="2"/>
      </w:numPr>
      <w:tabs>
        <w:tab w:val="left" w:pos="420"/>
      </w:tabs>
      <w:spacing w:before="50" w:beforeLines="50" w:after="50" w:afterLines="50" w:line="264" w:lineRule="auto"/>
      <w:outlineLvl w:val="2"/>
    </w:pPr>
    <w:rPr>
      <w:rFonts w:ascii="仿宋" w:hAnsi="仿宋" w:cs="仿宋"/>
      <w:b/>
      <w:bCs/>
      <w:color w:val="000000"/>
      <w:szCs w:val="32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99"/>
    <w:pPr>
      <w:widowControl/>
      <w:jc w:val="center"/>
    </w:pPr>
    <w:rPr>
      <w:rFonts w:ascii="宋体" w:cs="宋体"/>
      <w:b/>
      <w:bCs/>
      <w:kern w:val="0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6">
    <w:name w:val="专栏"/>
    <w:basedOn w:val="1"/>
    <w:qFormat/>
    <w:uiPriority w:val="0"/>
    <w:pPr>
      <w:adjustRightInd w:val="0"/>
      <w:snapToGrid w:val="0"/>
      <w:spacing w:line="288" w:lineRule="auto"/>
    </w:pPr>
    <w:rPr>
      <w:rFonts w:hint="eastAsia" w:ascii="仿宋" w:hAnsi="仿宋" w:eastAsia="仿宋" w:cs="仿宋"/>
      <w:color w:val="auto"/>
      <w:sz w:val="28"/>
      <w:szCs w:val="21"/>
    </w:rPr>
  </w:style>
  <w:style w:type="paragraph" w:customStyle="1" w:styleId="17">
    <w:name w:val="正文表格"/>
    <w:basedOn w:val="1"/>
    <w:qFormat/>
    <w:uiPriority w:val="0"/>
    <w:pPr>
      <w:spacing w:line="440" w:lineRule="exact"/>
      <w:ind w:firstLine="0" w:firstLineChars="0"/>
      <w:jc w:val="center"/>
    </w:pPr>
    <w:rPr>
      <w:rFonts w:hint="eastAsia" w:ascii="仿宋_GB2312" w:hAnsi="仿宋_GB2312" w:eastAsia="仿宋_GB2312" w:cs="仿宋_GB2312"/>
      <w:bCs/>
      <w:color w:val="auto"/>
      <w:kern w:val="0"/>
      <w:sz w:val="28"/>
    </w:rPr>
  </w:style>
  <w:style w:type="character" w:customStyle="1" w:styleId="18">
    <w:name w:val="标题 2 字符"/>
    <w:link w:val="4"/>
    <w:autoRedefine/>
    <w:qFormat/>
    <w:uiPriority w:val="0"/>
    <w:rPr>
      <w:rFonts w:ascii="方正楷体_GB2312" w:hAnsi="方正楷体_GB2312" w:eastAsia="宋体" w:cs="方正楷体_GB2312"/>
      <w:color w:val="000000"/>
      <w:kern w:val="2"/>
      <w:sz w:val="32"/>
      <w:szCs w:val="22"/>
    </w:rPr>
  </w:style>
  <w:style w:type="character" w:customStyle="1" w:styleId="19">
    <w:name w:val="标题 3 字符"/>
    <w:link w:val="5"/>
    <w:autoRedefine/>
    <w:qFormat/>
    <w:uiPriority w:val="9"/>
    <w:rPr>
      <w:rFonts w:ascii="仿宋" w:hAnsi="仿宋" w:eastAsia="仿宋" w:cs="仿宋"/>
      <w:b/>
      <w:bCs/>
      <w:color w:val="000000"/>
      <w:sz w:val="32"/>
      <w:szCs w:val="32"/>
      <w14:ligatures w14:val="none"/>
    </w:rPr>
  </w:style>
  <w:style w:type="paragraph" w:customStyle="1" w:styleId="20">
    <w:name w:val="文本"/>
    <w:basedOn w:val="1"/>
    <w:link w:val="21"/>
    <w:autoRedefine/>
    <w:qFormat/>
    <w:uiPriority w:val="0"/>
    <w:pPr>
      <w:ind w:firstLine="200"/>
    </w:pPr>
    <w:rPr>
      <w:rFonts w:ascii="Times New Roman" w:hAnsi="Times New Roman"/>
    </w:rPr>
  </w:style>
  <w:style w:type="character" w:customStyle="1" w:styleId="21">
    <w:name w:val="文本 字符"/>
    <w:basedOn w:val="15"/>
    <w:link w:val="20"/>
    <w:autoRedefine/>
    <w:qFormat/>
    <w:uiPriority w:val="0"/>
    <w:rPr>
      <w:rFonts w:ascii="Times New Roman" w:hAnsi="Times New Roman" w:eastAsia="仿宋_GB2312" w:cs="方正楷体_GB2312"/>
      <w:color w:val="000000"/>
      <w:sz w:val="32"/>
      <w:szCs w:val="30"/>
    </w:rPr>
  </w:style>
  <w:style w:type="character" w:customStyle="1" w:styleId="22">
    <w:name w:val="标题 1 Char"/>
    <w:link w:val="3"/>
    <w:qFormat/>
    <w:uiPriority w:val="9"/>
    <w:rPr>
      <w:rFonts w:eastAsia="黑体" w:asciiTheme="majorAscii" w:hAnsiTheme="majorAscii" w:cstheme="majorBidi"/>
      <w:b/>
      <w:color w:val="auto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1475</Words>
  <Characters>1476</Characters>
  <Lines>0</Lines>
  <Paragraphs>0</Paragraphs>
  <TotalTime>0</TotalTime>
  <ScaleCrop>false</ScaleCrop>
  <LinksUpToDate>false</LinksUpToDate>
  <CharactersWithSpaces>1476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2025-12-29T09:07:00Z</dcterms:created>
  <dc:creator>huangyongchao</dc:creator>
  <cp:lastModifiedBy>吴轩</cp:lastModifiedBy>
  <dcterms:modified xsi:type="dcterms:W3CDTF">2026-09-02T03:18:03Z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4B5CC0A7A2B640359AC2944F82418C80_12</vt:lpwstr>
  </property>
  <property fmtid="{D5CDD505-2E9C-101B-9397-08002B2CF9AE}" pid="4" name="KSOTemplateDocerSaveRecord">
    <vt:lpwstr>eyJoZGlkIjoiZGMyZTI2ZjMwOGUyYmE2Yzk3NjMzOTM1ZmFlNTFlNjEiLCJ1c2VySWQiOiI1NzQ4NTI0MjgifQ==</vt:lpwstr>
  </property>
</Properties>
</file>