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D2047">
      <w:pPr>
        <w:rPr>
          <w:rFonts w:hint="eastAsia" w:ascii="黑体" w:hAnsi="黑体" w:eastAsia="黑体" w:cs="黑体"/>
          <w:lang w:eastAsia="zh-CN"/>
        </w:rPr>
      </w:pPr>
      <w:r>
        <w:rPr>
          <w:rFonts w:hint="eastAsia" w:ascii="黑体" w:hAnsi="黑体" w:eastAsia="黑体" w:cs="黑体"/>
          <w:lang w:eastAsia="zh-CN"/>
        </w:rPr>
        <w:t>附件</w:t>
      </w:r>
    </w:p>
    <w:p w14:paraId="0B542B25"/>
    <w:p w14:paraId="7271ECED"/>
    <w:p w14:paraId="7B420913"/>
    <w:p w14:paraId="6C5A2FE5">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大兴区“十五五”应急体系建设规划</w:t>
      </w:r>
    </w:p>
    <w:p w14:paraId="731CFD27">
      <w:pPr>
        <w:jc w:val="center"/>
        <w:rPr>
          <w:rFonts w:hint="eastAsia" w:ascii="楷体" w:hAnsi="楷体" w:eastAsia="楷体"/>
          <w:szCs w:val="32"/>
        </w:rPr>
      </w:pPr>
      <w:r>
        <w:rPr>
          <w:rFonts w:hint="eastAsia" w:ascii="仿宋_GB2312" w:hAnsi="Times New Roman" w:eastAsia="仿宋_GB2312"/>
          <w:color w:val="000000"/>
          <w:sz w:val="32"/>
          <w:szCs w:val="32"/>
          <w:lang w:val="zh-CN" w:eastAsia="zh-CN"/>
        </w:rPr>
        <w:t>（征求意见稿）</w:t>
      </w:r>
    </w:p>
    <w:p w14:paraId="4AC3D50A"/>
    <w:p w14:paraId="4FF07A2D"/>
    <w:p w14:paraId="2D9F955F"/>
    <w:p w14:paraId="371B9082"/>
    <w:p w14:paraId="46912827"/>
    <w:p w14:paraId="04600B05"/>
    <w:p w14:paraId="6B2B4E16"/>
    <w:p w14:paraId="19387560"/>
    <w:p w14:paraId="159E2581"/>
    <w:p w14:paraId="31C62702"/>
    <w:p w14:paraId="7B971630"/>
    <w:p w14:paraId="0C23D503"/>
    <w:p w14:paraId="0A9FE88B"/>
    <w:p w14:paraId="27DD341B">
      <w:pPr>
        <w:jc w:val="center"/>
      </w:pPr>
      <w:r>
        <w:rPr>
          <w:rFonts w:hint="eastAsia"/>
        </w:rPr>
        <w:t>北京市大兴区应急管理局</w:t>
      </w:r>
    </w:p>
    <w:p w14:paraId="3A934D4F">
      <w:pPr>
        <w:jc w:val="center"/>
      </w:pPr>
      <w:r>
        <w:rPr>
          <w:rFonts w:hint="eastAsia"/>
        </w:rPr>
        <w:t>二</w:t>
      </w:r>
      <w:r>
        <w:rPr>
          <w:rFonts w:hint="eastAsia" w:ascii="微软雅黑" w:hAnsi="微软雅黑" w:eastAsia="微软雅黑" w:cs="微软雅黑"/>
        </w:rPr>
        <w:t>〇</w:t>
      </w:r>
      <w:r>
        <w:rPr>
          <w:rFonts w:hint="eastAsia"/>
        </w:rPr>
        <w:t>二六年八月</w:t>
      </w:r>
    </w:p>
    <w:p w14:paraId="73719562"/>
    <w:p w14:paraId="1519C3D4">
      <w:pPr>
        <w:sectPr>
          <w:headerReference r:id="rId6" w:type="first"/>
          <w:footerReference r:id="rId7" w:type="default"/>
          <w:headerReference r:id="rId5" w:type="even"/>
          <w:footerReference r:id="rId8" w:type="even"/>
          <w:pgSz w:w="11906" w:h="16838"/>
          <w:pgMar w:top="1701" w:right="1588" w:bottom="1474" w:left="1588" w:header="851" w:footer="850" w:gutter="0"/>
          <w:pgNumType w:fmt="decimal"/>
          <w:cols w:space="425" w:num="1"/>
          <w:titlePg/>
          <w:docGrid w:type="lines" w:linePitch="435" w:charSpace="0"/>
        </w:sectPr>
      </w:pPr>
    </w:p>
    <w:p w14:paraId="508D5D28">
      <w:pPr>
        <w:jc w:val="center"/>
        <w:rPr>
          <w:rFonts w:hint="eastAsia" w:ascii="黑体" w:hAnsi="黑体" w:eastAsia="黑体"/>
        </w:rPr>
      </w:pPr>
    </w:p>
    <w:p w14:paraId="2B325CB6">
      <w:pPr>
        <w:jc w:val="center"/>
        <w:rPr>
          <w:rFonts w:hint="eastAsia" w:ascii="黑体" w:hAnsi="黑体" w:eastAsia="黑体"/>
          <w:sz w:val="44"/>
          <w:szCs w:val="32"/>
        </w:rPr>
      </w:pPr>
      <w:r>
        <w:rPr>
          <w:rFonts w:hint="eastAsia" w:ascii="黑体" w:hAnsi="黑体" w:eastAsia="黑体"/>
          <w:sz w:val="44"/>
          <w:szCs w:val="32"/>
        </w:rPr>
        <w:t>目  录</w:t>
      </w:r>
    </w:p>
    <w:p w14:paraId="50309D87">
      <w:pPr>
        <w:spacing w:line="360" w:lineRule="auto"/>
        <w:rPr>
          <w:sz w:val="24"/>
          <w:szCs w:val="20"/>
        </w:rPr>
      </w:pPr>
    </w:p>
    <w:p w14:paraId="3E96E393">
      <w:pPr>
        <w:pStyle w:val="8"/>
        <w:tabs>
          <w:tab w:val="right" w:leader="dot" w:pos="8730"/>
        </w:tabs>
      </w:pPr>
      <w:r>
        <w:rPr>
          <w:sz w:val="24"/>
          <w:szCs w:val="20"/>
        </w:rPr>
        <w:fldChar w:fldCharType="begin"/>
      </w:r>
      <w:r>
        <w:rPr>
          <w:sz w:val="24"/>
          <w:szCs w:val="20"/>
        </w:rPr>
        <w:instrText xml:space="preserve"> TOC \o "1-3" \h \z \u </w:instrText>
      </w:r>
      <w:r>
        <w:rPr>
          <w:sz w:val="24"/>
          <w:szCs w:val="20"/>
        </w:rPr>
        <w:fldChar w:fldCharType="separate"/>
      </w:r>
      <w:r>
        <w:rPr>
          <w:szCs w:val="20"/>
        </w:rPr>
        <w:fldChar w:fldCharType="begin"/>
      </w:r>
      <w:r>
        <w:rPr>
          <w:szCs w:val="20"/>
        </w:rPr>
        <w:instrText xml:space="preserve"> HYPERLINK \l _Toc22751 </w:instrText>
      </w:r>
      <w:r>
        <w:rPr>
          <w:szCs w:val="20"/>
        </w:rPr>
        <w:fldChar w:fldCharType="separate"/>
      </w:r>
      <w:r>
        <w:rPr>
          <w:rFonts w:hint="eastAsia"/>
        </w:rPr>
        <w:t>一、风险形势</w:t>
      </w:r>
      <w:r>
        <w:tab/>
      </w:r>
      <w:r>
        <w:fldChar w:fldCharType="begin"/>
      </w:r>
      <w:r>
        <w:instrText xml:space="preserve"> PAGEREF _Toc22751 \h </w:instrText>
      </w:r>
      <w:r>
        <w:fldChar w:fldCharType="separate"/>
      </w:r>
      <w:r>
        <w:t>1</w:t>
      </w:r>
      <w:r>
        <w:fldChar w:fldCharType="end"/>
      </w:r>
      <w:r>
        <w:rPr>
          <w:szCs w:val="20"/>
        </w:rPr>
        <w:fldChar w:fldCharType="end"/>
      </w:r>
    </w:p>
    <w:p w14:paraId="41D750E7">
      <w:pPr>
        <w:pStyle w:val="8"/>
        <w:tabs>
          <w:tab w:val="right" w:leader="dot" w:pos="8730"/>
        </w:tabs>
      </w:pPr>
      <w:r>
        <w:rPr>
          <w:szCs w:val="20"/>
        </w:rPr>
        <w:fldChar w:fldCharType="begin"/>
      </w:r>
      <w:r>
        <w:rPr>
          <w:szCs w:val="20"/>
        </w:rPr>
        <w:instrText xml:space="preserve"> HYPERLINK \l _Toc22362 </w:instrText>
      </w:r>
      <w:r>
        <w:rPr>
          <w:szCs w:val="20"/>
        </w:rPr>
        <w:fldChar w:fldCharType="separate"/>
      </w:r>
      <w:r>
        <w:rPr>
          <w:rFonts w:hint="eastAsia"/>
        </w:rPr>
        <w:t>二</w:t>
      </w:r>
      <w:r>
        <w:t>、</w:t>
      </w:r>
      <w:r>
        <w:rPr>
          <w:rFonts w:hint="eastAsia"/>
        </w:rPr>
        <w:t>发展目标</w:t>
      </w:r>
      <w:r>
        <w:tab/>
      </w:r>
      <w:r>
        <w:fldChar w:fldCharType="begin"/>
      </w:r>
      <w:r>
        <w:instrText xml:space="preserve"> PAGEREF _Toc22362 \h </w:instrText>
      </w:r>
      <w:r>
        <w:fldChar w:fldCharType="separate"/>
      </w:r>
      <w:r>
        <w:t>2</w:t>
      </w:r>
      <w:r>
        <w:fldChar w:fldCharType="end"/>
      </w:r>
      <w:r>
        <w:rPr>
          <w:szCs w:val="20"/>
        </w:rPr>
        <w:fldChar w:fldCharType="end"/>
      </w:r>
    </w:p>
    <w:p w14:paraId="215F3EF1">
      <w:pPr>
        <w:pStyle w:val="8"/>
        <w:tabs>
          <w:tab w:val="right" w:leader="dot" w:pos="8730"/>
        </w:tabs>
      </w:pPr>
      <w:r>
        <w:rPr>
          <w:szCs w:val="20"/>
        </w:rPr>
        <w:fldChar w:fldCharType="begin"/>
      </w:r>
      <w:r>
        <w:rPr>
          <w:szCs w:val="20"/>
        </w:rPr>
        <w:instrText xml:space="preserve"> HYPERLINK \l _Toc17797 </w:instrText>
      </w:r>
      <w:r>
        <w:rPr>
          <w:szCs w:val="20"/>
        </w:rPr>
        <w:fldChar w:fldCharType="separate"/>
      </w:r>
      <w:r>
        <w:rPr>
          <w:rFonts w:hint="eastAsia"/>
        </w:rPr>
        <w:t>三、主要任务</w:t>
      </w:r>
      <w:r>
        <w:tab/>
      </w:r>
      <w:r>
        <w:fldChar w:fldCharType="begin"/>
      </w:r>
      <w:r>
        <w:instrText xml:space="preserve"> PAGEREF _Toc17797 \h </w:instrText>
      </w:r>
      <w:r>
        <w:fldChar w:fldCharType="separate"/>
      </w:r>
      <w:r>
        <w:t>3</w:t>
      </w:r>
      <w:r>
        <w:fldChar w:fldCharType="end"/>
      </w:r>
      <w:r>
        <w:rPr>
          <w:szCs w:val="20"/>
        </w:rPr>
        <w:fldChar w:fldCharType="end"/>
      </w:r>
    </w:p>
    <w:p w14:paraId="3C4D3DCA">
      <w:pPr>
        <w:pStyle w:val="9"/>
        <w:tabs>
          <w:tab w:val="right" w:leader="dot" w:pos="8730"/>
        </w:tabs>
      </w:pPr>
      <w:r>
        <w:rPr>
          <w:szCs w:val="20"/>
        </w:rPr>
        <w:fldChar w:fldCharType="begin"/>
      </w:r>
      <w:r>
        <w:rPr>
          <w:szCs w:val="20"/>
        </w:rPr>
        <w:instrText xml:space="preserve"> HYPERLINK \l _Toc7838 </w:instrText>
      </w:r>
      <w:r>
        <w:rPr>
          <w:szCs w:val="20"/>
        </w:rPr>
        <w:fldChar w:fldCharType="separate"/>
      </w:r>
      <w:r>
        <w:rPr>
          <w:rFonts w:hint="eastAsia"/>
        </w:rPr>
        <w:t>（一）立足</w:t>
      </w:r>
      <w:r>
        <w:t>大安全大应急，完善统一高效应急指挥体系</w:t>
      </w:r>
      <w:r>
        <w:tab/>
      </w:r>
      <w:r>
        <w:fldChar w:fldCharType="begin"/>
      </w:r>
      <w:r>
        <w:instrText xml:space="preserve"> PAGEREF _Toc7838 \h </w:instrText>
      </w:r>
      <w:r>
        <w:fldChar w:fldCharType="separate"/>
      </w:r>
      <w:r>
        <w:t>3</w:t>
      </w:r>
      <w:r>
        <w:fldChar w:fldCharType="end"/>
      </w:r>
      <w:r>
        <w:rPr>
          <w:szCs w:val="20"/>
        </w:rPr>
        <w:fldChar w:fldCharType="end"/>
      </w:r>
    </w:p>
    <w:p w14:paraId="189B0609">
      <w:pPr>
        <w:pStyle w:val="5"/>
        <w:tabs>
          <w:tab w:val="right" w:leader="dot" w:pos="8730"/>
        </w:tabs>
      </w:pPr>
      <w:r>
        <w:rPr>
          <w:szCs w:val="20"/>
        </w:rPr>
        <w:fldChar w:fldCharType="begin"/>
      </w:r>
      <w:r>
        <w:rPr>
          <w:szCs w:val="20"/>
        </w:rPr>
        <w:instrText xml:space="preserve"> HYPERLINK \l _Toc18235 </w:instrText>
      </w:r>
      <w:r>
        <w:rPr>
          <w:szCs w:val="20"/>
        </w:rPr>
        <w:fldChar w:fldCharType="separate"/>
      </w:r>
      <w:r>
        <w:rPr>
          <w:rFonts w:hint="eastAsia"/>
        </w:rPr>
        <w:t>1. 强化统筹协调机制</w:t>
      </w:r>
      <w:r>
        <w:tab/>
      </w:r>
      <w:r>
        <w:fldChar w:fldCharType="begin"/>
      </w:r>
      <w:r>
        <w:instrText xml:space="preserve"> PAGEREF _Toc18235 \h </w:instrText>
      </w:r>
      <w:r>
        <w:fldChar w:fldCharType="separate"/>
      </w:r>
      <w:r>
        <w:t>3</w:t>
      </w:r>
      <w:r>
        <w:fldChar w:fldCharType="end"/>
      </w:r>
      <w:r>
        <w:rPr>
          <w:szCs w:val="20"/>
        </w:rPr>
        <w:fldChar w:fldCharType="end"/>
      </w:r>
    </w:p>
    <w:p w14:paraId="69AB1330">
      <w:pPr>
        <w:pStyle w:val="5"/>
        <w:tabs>
          <w:tab w:val="right" w:leader="dot" w:pos="8730"/>
        </w:tabs>
      </w:pPr>
      <w:r>
        <w:rPr>
          <w:szCs w:val="20"/>
        </w:rPr>
        <w:fldChar w:fldCharType="begin"/>
      </w:r>
      <w:r>
        <w:rPr>
          <w:szCs w:val="20"/>
        </w:rPr>
        <w:instrText xml:space="preserve"> HYPERLINK \l _Toc5531 </w:instrText>
      </w:r>
      <w:r>
        <w:rPr>
          <w:szCs w:val="20"/>
        </w:rPr>
        <w:fldChar w:fldCharType="separate"/>
      </w:r>
      <w:r>
        <w:rPr>
          <w:rFonts w:hint="eastAsia"/>
        </w:rPr>
        <w:t>2. 提升应急指挥效能</w:t>
      </w:r>
      <w:r>
        <w:tab/>
      </w:r>
      <w:r>
        <w:fldChar w:fldCharType="begin"/>
      </w:r>
      <w:r>
        <w:instrText xml:space="preserve"> PAGEREF _Toc5531 \h </w:instrText>
      </w:r>
      <w:r>
        <w:fldChar w:fldCharType="separate"/>
      </w:r>
      <w:r>
        <w:t>3</w:t>
      </w:r>
      <w:r>
        <w:fldChar w:fldCharType="end"/>
      </w:r>
      <w:r>
        <w:rPr>
          <w:szCs w:val="20"/>
        </w:rPr>
        <w:fldChar w:fldCharType="end"/>
      </w:r>
    </w:p>
    <w:p w14:paraId="38B539B3">
      <w:pPr>
        <w:pStyle w:val="5"/>
        <w:tabs>
          <w:tab w:val="right" w:leader="dot" w:pos="8730"/>
        </w:tabs>
      </w:pPr>
      <w:r>
        <w:rPr>
          <w:szCs w:val="20"/>
        </w:rPr>
        <w:fldChar w:fldCharType="begin"/>
      </w:r>
      <w:r>
        <w:rPr>
          <w:szCs w:val="20"/>
        </w:rPr>
        <w:instrText xml:space="preserve"> HYPERLINK \l _Toc26117 </w:instrText>
      </w:r>
      <w:r>
        <w:rPr>
          <w:szCs w:val="20"/>
        </w:rPr>
        <w:fldChar w:fldCharType="separate"/>
      </w:r>
      <w:r>
        <w:rPr>
          <w:rFonts w:hint="eastAsia"/>
        </w:rPr>
        <w:t>3. 强化京津冀跨区域协同</w:t>
      </w:r>
      <w:r>
        <w:tab/>
      </w:r>
      <w:r>
        <w:fldChar w:fldCharType="begin"/>
      </w:r>
      <w:r>
        <w:instrText xml:space="preserve"> PAGEREF _Toc26117 \h </w:instrText>
      </w:r>
      <w:r>
        <w:fldChar w:fldCharType="separate"/>
      </w:r>
      <w:r>
        <w:t>3</w:t>
      </w:r>
      <w:r>
        <w:fldChar w:fldCharType="end"/>
      </w:r>
      <w:r>
        <w:rPr>
          <w:szCs w:val="20"/>
        </w:rPr>
        <w:fldChar w:fldCharType="end"/>
      </w:r>
    </w:p>
    <w:p w14:paraId="5F4E5733">
      <w:pPr>
        <w:pStyle w:val="5"/>
        <w:tabs>
          <w:tab w:val="right" w:leader="dot" w:pos="8730"/>
        </w:tabs>
      </w:pPr>
      <w:r>
        <w:rPr>
          <w:szCs w:val="20"/>
        </w:rPr>
        <w:fldChar w:fldCharType="begin"/>
      </w:r>
      <w:r>
        <w:rPr>
          <w:szCs w:val="20"/>
        </w:rPr>
        <w:instrText xml:space="preserve"> HYPERLINK \l _Toc17815 </w:instrText>
      </w:r>
      <w:r>
        <w:rPr>
          <w:szCs w:val="20"/>
        </w:rPr>
        <w:fldChar w:fldCharType="separate"/>
      </w:r>
      <w:r>
        <w:rPr>
          <w:rFonts w:hint="eastAsia"/>
        </w:rPr>
        <w:t>4. 优化应急预案体系</w:t>
      </w:r>
      <w:r>
        <w:tab/>
      </w:r>
      <w:r>
        <w:fldChar w:fldCharType="begin"/>
      </w:r>
      <w:r>
        <w:instrText xml:space="preserve"> PAGEREF _Toc17815 \h </w:instrText>
      </w:r>
      <w:r>
        <w:fldChar w:fldCharType="separate"/>
      </w:r>
      <w:r>
        <w:t>4</w:t>
      </w:r>
      <w:r>
        <w:fldChar w:fldCharType="end"/>
      </w:r>
      <w:r>
        <w:rPr>
          <w:szCs w:val="20"/>
        </w:rPr>
        <w:fldChar w:fldCharType="end"/>
      </w:r>
    </w:p>
    <w:p w14:paraId="0D0705B5">
      <w:pPr>
        <w:pStyle w:val="9"/>
        <w:tabs>
          <w:tab w:val="right" w:leader="dot" w:pos="8730"/>
        </w:tabs>
      </w:pPr>
      <w:r>
        <w:rPr>
          <w:szCs w:val="20"/>
        </w:rPr>
        <w:fldChar w:fldCharType="begin"/>
      </w:r>
      <w:r>
        <w:rPr>
          <w:szCs w:val="20"/>
        </w:rPr>
        <w:instrText xml:space="preserve"> HYPERLINK \l _Toc27166 </w:instrText>
      </w:r>
      <w:r>
        <w:rPr>
          <w:szCs w:val="20"/>
        </w:rPr>
        <w:fldChar w:fldCharType="separate"/>
      </w:r>
      <w:r>
        <w:rPr>
          <w:rFonts w:hint="eastAsia"/>
        </w:rPr>
        <w:t>（二）深化风险源头防控，加快治理模式转向事前预防</w:t>
      </w:r>
      <w:r>
        <w:tab/>
      </w:r>
      <w:r>
        <w:fldChar w:fldCharType="begin"/>
      </w:r>
      <w:r>
        <w:instrText xml:space="preserve"> PAGEREF _Toc27166 \h </w:instrText>
      </w:r>
      <w:r>
        <w:fldChar w:fldCharType="separate"/>
      </w:r>
      <w:r>
        <w:t>4</w:t>
      </w:r>
      <w:r>
        <w:fldChar w:fldCharType="end"/>
      </w:r>
      <w:r>
        <w:rPr>
          <w:szCs w:val="20"/>
        </w:rPr>
        <w:fldChar w:fldCharType="end"/>
      </w:r>
    </w:p>
    <w:p w14:paraId="22EEDB5E">
      <w:pPr>
        <w:pStyle w:val="5"/>
        <w:tabs>
          <w:tab w:val="right" w:leader="dot" w:pos="8730"/>
        </w:tabs>
      </w:pPr>
      <w:r>
        <w:rPr>
          <w:szCs w:val="20"/>
        </w:rPr>
        <w:fldChar w:fldCharType="begin"/>
      </w:r>
      <w:r>
        <w:rPr>
          <w:szCs w:val="20"/>
        </w:rPr>
        <w:instrText xml:space="preserve"> HYPERLINK \l _Toc20935 </w:instrText>
      </w:r>
      <w:r>
        <w:rPr>
          <w:szCs w:val="20"/>
        </w:rPr>
        <w:fldChar w:fldCharType="separate"/>
      </w:r>
      <w:r>
        <w:rPr>
          <w:rFonts w:hint="eastAsia"/>
        </w:rPr>
        <w:t>1. 强化重点产业领域安全风险防控</w:t>
      </w:r>
      <w:r>
        <w:tab/>
      </w:r>
      <w:r>
        <w:fldChar w:fldCharType="begin"/>
      </w:r>
      <w:r>
        <w:instrText xml:space="preserve"> PAGEREF _Toc20935 \h </w:instrText>
      </w:r>
      <w:r>
        <w:fldChar w:fldCharType="separate"/>
      </w:r>
      <w:r>
        <w:t>4</w:t>
      </w:r>
      <w:r>
        <w:fldChar w:fldCharType="end"/>
      </w:r>
      <w:r>
        <w:rPr>
          <w:szCs w:val="20"/>
        </w:rPr>
        <w:fldChar w:fldCharType="end"/>
      </w:r>
    </w:p>
    <w:p w14:paraId="33DF226E">
      <w:pPr>
        <w:pStyle w:val="5"/>
        <w:tabs>
          <w:tab w:val="right" w:leader="dot" w:pos="8730"/>
        </w:tabs>
      </w:pPr>
      <w:r>
        <w:rPr>
          <w:szCs w:val="20"/>
        </w:rPr>
        <w:fldChar w:fldCharType="begin"/>
      </w:r>
      <w:r>
        <w:rPr>
          <w:szCs w:val="20"/>
        </w:rPr>
        <w:instrText xml:space="preserve"> HYPERLINK \l _Toc32319 </w:instrText>
      </w:r>
      <w:r>
        <w:rPr>
          <w:szCs w:val="20"/>
        </w:rPr>
        <w:fldChar w:fldCharType="separate"/>
      </w:r>
      <w:r>
        <w:rPr>
          <w:rFonts w:hint="eastAsia"/>
        </w:rPr>
        <w:t>2. 深化重点行业领域安全整治</w:t>
      </w:r>
      <w:r>
        <w:tab/>
      </w:r>
      <w:r>
        <w:fldChar w:fldCharType="begin"/>
      </w:r>
      <w:r>
        <w:instrText xml:space="preserve"> PAGEREF _Toc32319 \h </w:instrText>
      </w:r>
      <w:r>
        <w:fldChar w:fldCharType="separate"/>
      </w:r>
      <w:r>
        <w:t>5</w:t>
      </w:r>
      <w:r>
        <w:fldChar w:fldCharType="end"/>
      </w:r>
      <w:r>
        <w:rPr>
          <w:szCs w:val="20"/>
        </w:rPr>
        <w:fldChar w:fldCharType="end"/>
      </w:r>
    </w:p>
    <w:p w14:paraId="05B06145">
      <w:pPr>
        <w:pStyle w:val="5"/>
        <w:tabs>
          <w:tab w:val="right" w:leader="dot" w:pos="8730"/>
        </w:tabs>
      </w:pPr>
      <w:r>
        <w:rPr>
          <w:szCs w:val="20"/>
        </w:rPr>
        <w:fldChar w:fldCharType="begin"/>
      </w:r>
      <w:r>
        <w:rPr>
          <w:szCs w:val="20"/>
        </w:rPr>
        <w:instrText xml:space="preserve"> HYPERLINK \l _Toc25840 </w:instrText>
      </w:r>
      <w:r>
        <w:rPr>
          <w:szCs w:val="20"/>
        </w:rPr>
        <w:fldChar w:fldCharType="separate"/>
      </w:r>
      <w:r>
        <w:rPr>
          <w:rFonts w:hint="eastAsia"/>
        </w:rPr>
        <w:t>3. 推动安全监管模式创新</w:t>
      </w:r>
      <w:r>
        <w:tab/>
      </w:r>
      <w:r>
        <w:fldChar w:fldCharType="begin"/>
      </w:r>
      <w:r>
        <w:instrText xml:space="preserve"> PAGEREF _Toc25840 \h </w:instrText>
      </w:r>
      <w:r>
        <w:fldChar w:fldCharType="separate"/>
      </w:r>
      <w:r>
        <w:t>6</w:t>
      </w:r>
      <w:r>
        <w:fldChar w:fldCharType="end"/>
      </w:r>
      <w:r>
        <w:rPr>
          <w:szCs w:val="20"/>
        </w:rPr>
        <w:fldChar w:fldCharType="end"/>
      </w:r>
    </w:p>
    <w:p w14:paraId="7D98DA09">
      <w:pPr>
        <w:pStyle w:val="5"/>
        <w:tabs>
          <w:tab w:val="right" w:leader="dot" w:pos="8730"/>
        </w:tabs>
      </w:pPr>
      <w:r>
        <w:rPr>
          <w:szCs w:val="20"/>
        </w:rPr>
        <w:fldChar w:fldCharType="begin"/>
      </w:r>
      <w:r>
        <w:rPr>
          <w:szCs w:val="20"/>
        </w:rPr>
        <w:instrText xml:space="preserve"> HYPERLINK \l _Toc26950 </w:instrText>
      </w:r>
      <w:r>
        <w:rPr>
          <w:szCs w:val="20"/>
        </w:rPr>
        <w:fldChar w:fldCharType="separate"/>
      </w:r>
      <w:r>
        <w:rPr>
          <w:rFonts w:hint="eastAsia"/>
        </w:rPr>
        <w:t>4. 强化城市安全风险评估</w:t>
      </w:r>
      <w:r>
        <w:tab/>
      </w:r>
      <w:r>
        <w:fldChar w:fldCharType="begin"/>
      </w:r>
      <w:r>
        <w:instrText xml:space="preserve"> PAGEREF _Toc26950 \h </w:instrText>
      </w:r>
      <w:r>
        <w:fldChar w:fldCharType="separate"/>
      </w:r>
      <w:r>
        <w:t>6</w:t>
      </w:r>
      <w:r>
        <w:fldChar w:fldCharType="end"/>
      </w:r>
      <w:r>
        <w:rPr>
          <w:szCs w:val="20"/>
        </w:rPr>
        <w:fldChar w:fldCharType="end"/>
      </w:r>
    </w:p>
    <w:p w14:paraId="2D0257ED">
      <w:pPr>
        <w:pStyle w:val="9"/>
        <w:tabs>
          <w:tab w:val="right" w:leader="dot" w:pos="8730"/>
        </w:tabs>
      </w:pPr>
      <w:r>
        <w:rPr>
          <w:szCs w:val="20"/>
        </w:rPr>
        <w:fldChar w:fldCharType="begin"/>
      </w:r>
      <w:r>
        <w:rPr>
          <w:szCs w:val="20"/>
        </w:rPr>
        <w:instrText xml:space="preserve"> HYPERLINK \l _Toc31990 </w:instrText>
      </w:r>
      <w:r>
        <w:rPr>
          <w:szCs w:val="20"/>
        </w:rPr>
        <w:fldChar w:fldCharType="separate"/>
      </w:r>
      <w:r>
        <w:t>（三）</w:t>
      </w:r>
      <w:r>
        <w:rPr>
          <w:rFonts w:hint="eastAsia"/>
        </w:rPr>
        <w:t>强化灾害防治体系</w:t>
      </w:r>
      <w:r>
        <w:t>，提升防灾减灾救灾能力</w:t>
      </w:r>
      <w:r>
        <w:tab/>
      </w:r>
      <w:r>
        <w:fldChar w:fldCharType="begin"/>
      </w:r>
      <w:r>
        <w:instrText xml:space="preserve"> PAGEREF _Toc31990 \h </w:instrText>
      </w:r>
      <w:r>
        <w:fldChar w:fldCharType="separate"/>
      </w:r>
      <w:r>
        <w:t>7</w:t>
      </w:r>
      <w:r>
        <w:fldChar w:fldCharType="end"/>
      </w:r>
      <w:r>
        <w:rPr>
          <w:szCs w:val="20"/>
        </w:rPr>
        <w:fldChar w:fldCharType="end"/>
      </w:r>
    </w:p>
    <w:p w14:paraId="7A45BEAA">
      <w:pPr>
        <w:pStyle w:val="5"/>
        <w:tabs>
          <w:tab w:val="right" w:leader="dot" w:pos="8730"/>
        </w:tabs>
      </w:pPr>
      <w:r>
        <w:rPr>
          <w:szCs w:val="20"/>
        </w:rPr>
        <w:fldChar w:fldCharType="begin"/>
      </w:r>
      <w:r>
        <w:rPr>
          <w:szCs w:val="20"/>
        </w:rPr>
        <w:instrText xml:space="preserve"> HYPERLINK \l _Toc16892 </w:instrText>
      </w:r>
      <w:r>
        <w:rPr>
          <w:szCs w:val="20"/>
        </w:rPr>
        <w:fldChar w:fldCharType="separate"/>
      </w:r>
      <w:r>
        <w:rPr>
          <w:rFonts w:hint="eastAsia"/>
        </w:rPr>
        <w:t>1. 提升自然灾害防治能力</w:t>
      </w:r>
      <w:r>
        <w:tab/>
      </w:r>
      <w:r>
        <w:fldChar w:fldCharType="begin"/>
      </w:r>
      <w:r>
        <w:instrText xml:space="preserve"> PAGEREF _Toc16892 \h </w:instrText>
      </w:r>
      <w:r>
        <w:fldChar w:fldCharType="separate"/>
      </w:r>
      <w:r>
        <w:t>7</w:t>
      </w:r>
      <w:r>
        <w:fldChar w:fldCharType="end"/>
      </w:r>
      <w:r>
        <w:rPr>
          <w:szCs w:val="20"/>
        </w:rPr>
        <w:fldChar w:fldCharType="end"/>
      </w:r>
    </w:p>
    <w:p w14:paraId="3BA6E019">
      <w:pPr>
        <w:pStyle w:val="5"/>
        <w:tabs>
          <w:tab w:val="right" w:leader="dot" w:pos="8730"/>
        </w:tabs>
      </w:pPr>
      <w:r>
        <w:rPr>
          <w:szCs w:val="20"/>
        </w:rPr>
        <w:fldChar w:fldCharType="begin"/>
      </w:r>
      <w:r>
        <w:rPr>
          <w:szCs w:val="20"/>
        </w:rPr>
        <w:instrText xml:space="preserve"> HYPERLINK \l _Toc3092 </w:instrText>
      </w:r>
      <w:r>
        <w:rPr>
          <w:szCs w:val="20"/>
        </w:rPr>
        <w:fldChar w:fldCharType="separate"/>
      </w:r>
      <w:r>
        <w:rPr>
          <w:rFonts w:hint="eastAsia"/>
        </w:rPr>
        <w:t>2</w:t>
      </w:r>
      <w:r>
        <w:rPr>
          <w:rFonts w:hint="eastAsia"/>
          <w:lang w:eastAsia="zh-CN"/>
        </w:rPr>
        <w:t xml:space="preserve">. </w:t>
      </w:r>
      <w:r>
        <w:rPr>
          <w:rFonts w:hint="eastAsia"/>
        </w:rPr>
        <w:t>加强应急避难场所建设管理</w:t>
      </w:r>
      <w:r>
        <w:tab/>
      </w:r>
      <w:r>
        <w:fldChar w:fldCharType="begin"/>
      </w:r>
      <w:r>
        <w:instrText xml:space="preserve"> PAGEREF _Toc3092 \h </w:instrText>
      </w:r>
      <w:r>
        <w:fldChar w:fldCharType="separate"/>
      </w:r>
      <w:r>
        <w:t>8</w:t>
      </w:r>
      <w:r>
        <w:fldChar w:fldCharType="end"/>
      </w:r>
      <w:r>
        <w:rPr>
          <w:szCs w:val="20"/>
        </w:rPr>
        <w:fldChar w:fldCharType="end"/>
      </w:r>
    </w:p>
    <w:p w14:paraId="01033702">
      <w:pPr>
        <w:pStyle w:val="5"/>
        <w:tabs>
          <w:tab w:val="right" w:leader="dot" w:pos="8730"/>
        </w:tabs>
      </w:pPr>
      <w:r>
        <w:rPr>
          <w:szCs w:val="20"/>
        </w:rPr>
        <w:fldChar w:fldCharType="begin"/>
      </w:r>
      <w:r>
        <w:rPr>
          <w:szCs w:val="20"/>
        </w:rPr>
        <w:instrText xml:space="preserve"> HYPERLINK \l _Toc22019 </w:instrText>
      </w:r>
      <w:r>
        <w:rPr>
          <w:szCs w:val="20"/>
        </w:rPr>
        <w:fldChar w:fldCharType="separate"/>
      </w:r>
      <w:r>
        <w:rPr>
          <w:rFonts w:hint="eastAsia"/>
        </w:rPr>
        <w:t>3. 提升救灾保障水平</w:t>
      </w:r>
      <w:r>
        <w:tab/>
      </w:r>
      <w:r>
        <w:fldChar w:fldCharType="begin"/>
      </w:r>
      <w:r>
        <w:instrText xml:space="preserve"> PAGEREF _Toc22019 \h </w:instrText>
      </w:r>
      <w:r>
        <w:fldChar w:fldCharType="separate"/>
      </w:r>
      <w:r>
        <w:t>8</w:t>
      </w:r>
      <w:r>
        <w:fldChar w:fldCharType="end"/>
      </w:r>
      <w:r>
        <w:rPr>
          <w:szCs w:val="20"/>
        </w:rPr>
        <w:fldChar w:fldCharType="end"/>
      </w:r>
    </w:p>
    <w:p w14:paraId="5175D8BD">
      <w:pPr>
        <w:pStyle w:val="9"/>
        <w:tabs>
          <w:tab w:val="right" w:leader="dot" w:pos="8730"/>
        </w:tabs>
      </w:pPr>
      <w:r>
        <w:rPr>
          <w:szCs w:val="20"/>
        </w:rPr>
        <w:fldChar w:fldCharType="begin"/>
      </w:r>
      <w:r>
        <w:rPr>
          <w:szCs w:val="20"/>
        </w:rPr>
        <w:instrText xml:space="preserve"> HYPERLINK \l _Toc25736 </w:instrText>
      </w:r>
      <w:r>
        <w:rPr>
          <w:szCs w:val="20"/>
        </w:rPr>
        <w:fldChar w:fldCharType="separate"/>
      </w:r>
      <w:r>
        <w:rPr>
          <w:rFonts w:hint="eastAsia"/>
        </w:rPr>
        <w:t>（四）加强</w:t>
      </w:r>
      <w:r>
        <w:t>应急力量建设，提升</w:t>
      </w:r>
      <w:r>
        <w:rPr>
          <w:rFonts w:hint="eastAsia"/>
        </w:rPr>
        <w:t>关键领域应急救援</w:t>
      </w:r>
      <w:r>
        <w:t>能力</w:t>
      </w:r>
      <w:r>
        <w:tab/>
      </w:r>
      <w:r>
        <w:fldChar w:fldCharType="begin"/>
      </w:r>
      <w:r>
        <w:instrText xml:space="preserve"> PAGEREF _Toc25736 \h </w:instrText>
      </w:r>
      <w:r>
        <w:fldChar w:fldCharType="separate"/>
      </w:r>
      <w:r>
        <w:t>8</w:t>
      </w:r>
      <w:r>
        <w:fldChar w:fldCharType="end"/>
      </w:r>
      <w:r>
        <w:rPr>
          <w:szCs w:val="20"/>
        </w:rPr>
        <w:fldChar w:fldCharType="end"/>
      </w:r>
    </w:p>
    <w:p w14:paraId="1A6027A4">
      <w:pPr>
        <w:pStyle w:val="5"/>
        <w:tabs>
          <w:tab w:val="right" w:leader="dot" w:pos="8730"/>
        </w:tabs>
      </w:pPr>
      <w:r>
        <w:rPr>
          <w:szCs w:val="20"/>
        </w:rPr>
        <w:fldChar w:fldCharType="begin"/>
      </w:r>
      <w:r>
        <w:rPr>
          <w:szCs w:val="20"/>
        </w:rPr>
        <w:instrText xml:space="preserve"> HYPERLINK \l _Toc1328 </w:instrText>
      </w:r>
      <w:r>
        <w:rPr>
          <w:szCs w:val="20"/>
        </w:rPr>
        <w:fldChar w:fldCharType="separate"/>
      </w:r>
      <w:r>
        <w:rPr>
          <w:rFonts w:hint="eastAsia"/>
        </w:rPr>
        <w:t>1. 加强应急救援力量建设</w:t>
      </w:r>
      <w:r>
        <w:tab/>
      </w:r>
      <w:r>
        <w:fldChar w:fldCharType="begin"/>
      </w:r>
      <w:r>
        <w:instrText xml:space="preserve"> PAGEREF _Toc1328 \h </w:instrText>
      </w:r>
      <w:r>
        <w:fldChar w:fldCharType="separate"/>
      </w:r>
      <w:r>
        <w:t>8</w:t>
      </w:r>
      <w:r>
        <w:fldChar w:fldCharType="end"/>
      </w:r>
      <w:r>
        <w:rPr>
          <w:szCs w:val="20"/>
        </w:rPr>
        <w:fldChar w:fldCharType="end"/>
      </w:r>
    </w:p>
    <w:p w14:paraId="347AF211">
      <w:pPr>
        <w:pStyle w:val="5"/>
        <w:tabs>
          <w:tab w:val="right" w:leader="dot" w:pos="8730"/>
        </w:tabs>
      </w:pPr>
      <w:r>
        <w:rPr>
          <w:szCs w:val="20"/>
        </w:rPr>
        <w:fldChar w:fldCharType="begin"/>
      </w:r>
      <w:r>
        <w:rPr>
          <w:szCs w:val="20"/>
        </w:rPr>
        <w:instrText xml:space="preserve"> HYPERLINK \l _Toc19200 </w:instrText>
      </w:r>
      <w:r>
        <w:rPr>
          <w:szCs w:val="20"/>
        </w:rPr>
        <w:fldChar w:fldCharType="separate"/>
      </w:r>
      <w:r>
        <w:rPr>
          <w:rFonts w:hint="eastAsia"/>
        </w:rPr>
        <w:t>2. 加强应急救援物资储备</w:t>
      </w:r>
      <w:r>
        <w:tab/>
      </w:r>
      <w:r>
        <w:fldChar w:fldCharType="begin"/>
      </w:r>
      <w:r>
        <w:instrText xml:space="preserve"> PAGEREF _Toc19200 \h </w:instrText>
      </w:r>
      <w:r>
        <w:fldChar w:fldCharType="separate"/>
      </w:r>
      <w:r>
        <w:t>9</w:t>
      </w:r>
      <w:r>
        <w:fldChar w:fldCharType="end"/>
      </w:r>
      <w:r>
        <w:rPr>
          <w:szCs w:val="20"/>
        </w:rPr>
        <w:fldChar w:fldCharType="end"/>
      </w:r>
    </w:p>
    <w:p w14:paraId="4A92507E">
      <w:pPr>
        <w:pStyle w:val="5"/>
        <w:tabs>
          <w:tab w:val="right" w:leader="dot" w:pos="8730"/>
        </w:tabs>
      </w:pPr>
      <w:r>
        <w:rPr>
          <w:szCs w:val="20"/>
        </w:rPr>
        <w:fldChar w:fldCharType="begin"/>
      </w:r>
      <w:r>
        <w:rPr>
          <w:szCs w:val="20"/>
        </w:rPr>
        <w:instrText xml:space="preserve"> HYPERLINK \l _Toc7402 </w:instrText>
      </w:r>
      <w:r>
        <w:rPr>
          <w:szCs w:val="20"/>
        </w:rPr>
        <w:fldChar w:fldCharType="separate"/>
      </w:r>
      <w:r>
        <w:rPr>
          <w:rFonts w:hint="eastAsia"/>
        </w:rPr>
        <w:t>3. 强化应急救援装备配备</w:t>
      </w:r>
      <w:r>
        <w:tab/>
      </w:r>
      <w:r>
        <w:fldChar w:fldCharType="begin"/>
      </w:r>
      <w:r>
        <w:instrText xml:space="preserve"> PAGEREF _Toc7402 \h </w:instrText>
      </w:r>
      <w:r>
        <w:fldChar w:fldCharType="separate"/>
      </w:r>
      <w:r>
        <w:t>9</w:t>
      </w:r>
      <w:r>
        <w:fldChar w:fldCharType="end"/>
      </w:r>
      <w:r>
        <w:rPr>
          <w:szCs w:val="20"/>
        </w:rPr>
        <w:fldChar w:fldCharType="end"/>
      </w:r>
    </w:p>
    <w:p w14:paraId="18A036C1">
      <w:pPr>
        <w:pStyle w:val="5"/>
        <w:tabs>
          <w:tab w:val="right" w:leader="dot" w:pos="8730"/>
        </w:tabs>
      </w:pPr>
      <w:r>
        <w:rPr>
          <w:szCs w:val="20"/>
        </w:rPr>
        <w:fldChar w:fldCharType="begin"/>
      </w:r>
      <w:r>
        <w:rPr>
          <w:szCs w:val="20"/>
        </w:rPr>
        <w:instrText xml:space="preserve"> HYPERLINK \l _Toc11529 </w:instrText>
      </w:r>
      <w:r>
        <w:rPr>
          <w:szCs w:val="20"/>
        </w:rPr>
        <w:fldChar w:fldCharType="separate"/>
      </w:r>
      <w:r>
        <w:rPr>
          <w:rFonts w:hint="eastAsia"/>
        </w:rPr>
        <w:t>4. 提升应急训练演练水平</w:t>
      </w:r>
      <w:r>
        <w:tab/>
      </w:r>
      <w:r>
        <w:fldChar w:fldCharType="begin"/>
      </w:r>
      <w:r>
        <w:instrText xml:space="preserve"> PAGEREF _Toc11529 \h </w:instrText>
      </w:r>
      <w:r>
        <w:fldChar w:fldCharType="separate"/>
      </w:r>
      <w:r>
        <w:t>10</w:t>
      </w:r>
      <w:r>
        <w:fldChar w:fldCharType="end"/>
      </w:r>
      <w:r>
        <w:rPr>
          <w:szCs w:val="20"/>
        </w:rPr>
        <w:fldChar w:fldCharType="end"/>
      </w:r>
    </w:p>
    <w:p w14:paraId="7361D5AD">
      <w:pPr>
        <w:pStyle w:val="9"/>
        <w:tabs>
          <w:tab w:val="right" w:leader="dot" w:pos="8730"/>
        </w:tabs>
      </w:pPr>
      <w:r>
        <w:rPr>
          <w:szCs w:val="20"/>
        </w:rPr>
        <w:fldChar w:fldCharType="begin"/>
      </w:r>
      <w:r>
        <w:rPr>
          <w:szCs w:val="20"/>
        </w:rPr>
        <w:instrText xml:space="preserve"> HYPERLINK \l _Toc23361 </w:instrText>
      </w:r>
      <w:r>
        <w:rPr>
          <w:szCs w:val="20"/>
        </w:rPr>
        <w:fldChar w:fldCharType="separate"/>
      </w:r>
      <w:r>
        <w:t>（</w:t>
      </w:r>
      <w:r>
        <w:rPr>
          <w:rFonts w:hint="eastAsia"/>
        </w:rPr>
        <w:t>五</w:t>
      </w:r>
      <w:r>
        <w:t>）推进韧性</w:t>
      </w:r>
      <w:r>
        <w:rPr>
          <w:rFonts w:hint="eastAsia"/>
        </w:rPr>
        <w:t>城市</w:t>
      </w:r>
      <w:r>
        <w:t>建设，提升基础设施本质安全水平</w:t>
      </w:r>
      <w:r>
        <w:tab/>
      </w:r>
      <w:r>
        <w:fldChar w:fldCharType="begin"/>
      </w:r>
      <w:r>
        <w:instrText xml:space="preserve"> PAGEREF _Toc23361 \h </w:instrText>
      </w:r>
      <w:r>
        <w:fldChar w:fldCharType="separate"/>
      </w:r>
      <w:r>
        <w:t>11</w:t>
      </w:r>
      <w:r>
        <w:fldChar w:fldCharType="end"/>
      </w:r>
      <w:r>
        <w:rPr>
          <w:szCs w:val="20"/>
        </w:rPr>
        <w:fldChar w:fldCharType="end"/>
      </w:r>
    </w:p>
    <w:p w14:paraId="751EC778">
      <w:pPr>
        <w:pStyle w:val="5"/>
        <w:tabs>
          <w:tab w:val="right" w:leader="dot" w:pos="8730"/>
        </w:tabs>
      </w:pPr>
      <w:r>
        <w:rPr>
          <w:szCs w:val="20"/>
        </w:rPr>
        <w:fldChar w:fldCharType="begin"/>
      </w:r>
      <w:r>
        <w:rPr>
          <w:szCs w:val="20"/>
        </w:rPr>
        <w:instrText xml:space="preserve"> HYPERLINK \l _Toc9290 </w:instrText>
      </w:r>
      <w:r>
        <w:rPr>
          <w:szCs w:val="20"/>
        </w:rPr>
        <w:fldChar w:fldCharType="separate"/>
      </w:r>
      <w:r>
        <w:rPr>
          <w:rFonts w:hint="eastAsia"/>
        </w:rPr>
        <w:t>1. 落实韧性城市建设要求</w:t>
      </w:r>
      <w:r>
        <w:tab/>
      </w:r>
      <w:r>
        <w:fldChar w:fldCharType="begin"/>
      </w:r>
      <w:r>
        <w:instrText xml:space="preserve"> PAGEREF _Toc9290 \h </w:instrText>
      </w:r>
      <w:r>
        <w:fldChar w:fldCharType="separate"/>
      </w:r>
      <w:r>
        <w:t>11</w:t>
      </w:r>
      <w:r>
        <w:fldChar w:fldCharType="end"/>
      </w:r>
      <w:r>
        <w:rPr>
          <w:szCs w:val="20"/>
        </w:rPr>
        <w:fldChar w:fldCharType="end"/>
      </w:r>
    </w:p>
    <w:p w14:paraId="34915981">
      <w:pPr>
        <w:pStyle w:val="5"/>
        <w:tabs>
          <w:tab w:val="right" w:leader="dot" w:pos="8730"/>
        </w:tabs>
      </w:pPr>
      <w:r>
        <w:rPr>
          <w:szCs w:val="20"/>
        </w:rPr>
        <w:fldChar w:fldCharType="begin"/>
      </w:r>
      <w:r>
        <w:rPr>
          <w:szCs w:val="20"/>
        </w:rPr>
        <w:instrText xml:space="preserve"> HYPERLINK \l _Toc16334 </w:instrText>
      </w:r>
      <w:r>
        <w:rPr>
          <w:szCs w:val="20"/>
        </w:rPr>
        <w:fldChar w:fldCharType="separate"/>
      </w:r>
      <w:r>
        <w:rPr>
          <w:rFonts w:hint="eastAsia"/>
        </w:rPr>
        <w:t>2. 提升城市生命线安全水平</w:t>
      </w:r>
      <w:r>
        <w:tab/>
      </w:r>
      <w:r>
        <w:fldChar w:fldCharType="begin"/>
      </w:r>
      <w:r>
        <w:instrText xml:space="preserve"> PAGEREF _Toc16334 \h </w:instrText>
      </w:r>
      <w:r>
        <w:fldChar w:fldCharType="separate"/>
      </w:r>
      <w:r>
        <w:t>11</w:t>
      </w:r>
      <w:r>
        <w:fldChar w:fldCharType="end"/>
      </w:r>
      <w:r>
        <w:rPr>
          <w:szCs w:val="20"/>
        </w:rPr>
        <w:fldChar w:fldCharType="end"/>
      </w:r>
    </w:p>
    <w:p w14:paraId="3919365C">
      <w:pPr>
        <w:pStyle w:val="5"/>
        <w:tabs>
          <w:tab w:val="right" w:leader="dot" w:pos="8730"/>
        </w:tabs>
      </w:pPr>
      <w:r>
        <w:rPr>
          <w:szCs w:val="20"/>
        </w:rPr>
        <w:fldChar w:fldCharType="begin"/>
      </w:r>
      <w:r>
        <w:rPr>
          <w:szCs w:val="20"/>
        </w:rPr>
        <w:instrText xml:space="preserve"> HYPERLINK \l _Toc29784 </w:instrText>
      </w:r>
      <w:r>
        <w:rPr>
          <w:szCs w:val="20"/>
        </w:rPr>
        <w:fldChar w:fldCharType="separate"/>
      </w:r>
      <w:r>
        <w:rPr>
          <w:rFonts w:hint="eastAsia"/>
        </w:rPr>
        <w:t>3. 强化重要基础设施本质安全</w:t>
      </w:r>
      <w:r>
        <w:tab/>
      </w:r>
      <w:r>
        <w:fldChar w:fldCharType="begin"/>
      </w:r>
      <w:r>
        <w:instrText xml:space="preserve"> PAGEREF _Toc29784 \h </w:instrText>
      </w:r>
      <w:r>
        <w:fldChar w:fldCharType="separate"/>
      </w:r>
      <w:r>
        <w:t>11</w:t>
      </w:r>
      <w:r>
        <w:fldChar w:fldCharType="end"/>
      </w:r>
      <w:r>
        <w:rPr>
          <w:szCs w:val="20"/>
        </w:rPr>
        <w:fldChar w:fldCharType="end"/>
      </w:r>
    </w:p>
    <w:p w14:paraId="380FEBE7">
      <w:pPr>
        <w:pStyle w:val="5"/>
        <w:tabs>
          <w:tab w:val="right" w:leader="dot" w:pos="8730"/>
        </w:tabs>
      </w:pPr>
      <w:r>
        <w:rPr>
          <w:szCs w:val="20"/>
        </w:rPr>
        <w:fldChar w:fldCharType="begin"/>
      </w:r>
      <w:r>
        <w:rPr>
          <w:szCs w:val="20"/>
        </w:rPr>
        <w:instrText xml:space="preserve"> HYPERLINK \l _Toc16551 </w:instrText>
      </w:r>
      <w:r>
        <w:rPr>
          <w:szCs w:val="20"/>
        </w:rPr>
        <w:fldChar w:fldCharType="separate"/>
      </w:r>
      <w:r>
        <w:rPr>
          <w:rFonts w:hint="eastAsia"/>
        </w:rPr>
        <w:t>4. 提升平急转换能力</w:t>
      </w:r>
      <w:r>
        <w:tab/>
      </w:r>
      <w:r>
        <w:fldChar w:fldCharType="begin"/>
      </w:r>
      <w:r>
        <w:instrText xml:space="preserve"> PAGEREF _Toc16551 \h </w:instrText>
      </w:r>
      <w:r>
        <w:fldChar w:fldCharType="separate"/>
      </w:r>
      <w:r>
        <w:t>12</w:t>
      </w:r>
      <w:r>
        <w:fldChar w:fldCharType="end"/>
      </w:r>
      <w:r>
        <w:rPr>
          <w:szCs w:val="20"/>
        </w:rPr>
        <w:fldChar w:fldCharType="end"/>
      </w:r>
    </w:p>
    <w:p w14:paraId="3378C2B4">
      <w:pPr>
        <w:pStyle w:val="5"/>
        <w:tabs>
          <w:tab w:val="right" w:leader="dot" w:pos="8730"/>
        </w:tabs>
      </w:pPr>
      <w:r>
        <w:rPr>
          <w:szCs w:val="20"/>
        </w:rPr>
        <w:fldChar w:fldCharType="begin"/>
      </w:r>
      <w:r>
        <w:rPr>
          <w:szCs w:val="20"/>
        </w:rPr>
        <w:instrText xml:space="preserve"> HYPERLINK \l _Toc24674 </w:instrText>
      </w:r>
      <w:r>
        <w:rPr>
          <w:szCs w:val="20"/>
        </w:rPr>
        <w:fldChar w:fldCharType="separate"/>
      </w:r>
      <w:r>
        <w:rPr>
          <w:rFonts w:hint="eastAsia"/>
        </w:rPr>
        <w:t>5. 加强重点功能区安全韧性建设</w:t>
      </w:r>
      <w:r>
        <w:tab/>
      </w:r>
      <w:r>
        <w:fldChar w:fldCharType="begin"/>
      </w:r>
      <w:r>
        <w:instrText xml:space="preserve"> PAGEREF _Toc24674 \h </w:instrText>
      </w:r>
      <w:r>
        <w:fldChar w:fldCharType="separate"/>
      </w:r>
      <w:r>
        <w:t>12</w:t>
      </w:r>
      <w:r>
        <w:fldChar w:fldCharType="end"/>
      </w:r>
      <w:r>
        <w:rPr>
          <w:szCs w:val="20"/>
        </w:rPr>
        <w:fldChar w:fldCharType="end"/>
      </w:r>
    </w:p>
    <w:p w14:paraId="30083532">
      <w:pPr>
        <w:pStyle w:val="9"/>
        <w:tabs>
          <w:tab w:val="right" w:leader="dot" w:pos="8730"/>
        </w:tabs>
      </w:pPr>
      <w:r>
        <w:rPr>
          <w:szCs w:val="20"/>
        </w:rPr>
        <w:fldChar w:fldCharType="begin"/>
      </w:r>
      <w:r>
        <w:rPr>
          <w:szCs w:val="20"/>
        </w:rPr>
        <w:instrText xml:space="preserve"> HYPERLINK \l _Toc27628 </w:instrText>
      </w:r>
      <w:r>
        <w:rPr>
          <w:szCs w:val="20"/>
        </w:rPr>
        <w:fldChar w:fldCharType="separate"/>
      </w:r>
      <w:r>
        <w:rPr>
          <w:rFonts w:hint="eastAsia"/>
        </w:rPr>
        <w:t>（六）强化科技人才支撑，提升全域智慧应急水平</w:t>
      </w:r>
      <w:r>
        <w:tab/>
      </w:r>
      <w:r>
        <w:fldChar w:fldCharType="begin"/>
      </w:r>
      <w:r>
        <w:instrText xml:space="preserve"> PAGEREF _Toc27628 \h </w:instrText>
      </w:r>
      <w:r>
        <w:fldChar w:fldCharType="separate"/>
      </w:r>
      <w:r>
        <w:t>13</w:t>
      </w:r>
      <w:r>
        <w:fldChar w:fldCharType="end"/>
      </w:r>
      <w:r>
        <w:rPr>
          <w:szCs w:val="20"/>
        </w:rPr>
        <w:fldChar w:fldCharType="end"/>
      </w:r>
    </w:p>
    <w:p w14:paraId="5B357A01">
      <w:pPr>
        <w:pStyle w:val="5"/>
        <w:tabs>
          <w:tab w:val="right" w:leader="dot" w:pos="8730"/>
        </w:tabs>
      </w:pPr>
      <w:r>
        <w:rPr>
          <w:szCs w:val="20"/>
        </w:rPr>
        <w:fldChar w:fldCharType="begin"/>
      </w:r>
      <w:r>
        <w:rPr>
          <w:szCs w:val="20"/>
        </w:rPr>
        <w:instrText xml:space="preserve"> HYPERLINK \l _Toc24329 </w:instrText>
      </w:r>
      <w:r>
        <w:rPr>
          <w:szCs w:val="20"/>
        </w:rPr>
        <w:fldChar w:fldCharType="separate"/>
      </w:r>
      <w:r>
        <w:rPr>
          <w:rFonts w:hint="eastAsia"/>
        </w:rPr>
        <w:t>1. 建设智慧应急数据底座</w:t>
      </w:r>
      <w:r>
        <w:tab/>
      </w:r>
      <w:r>
        <w:fldChar w:fldCharType="begin"/>
      </w:r>
      <w:r>
        <w:instrText xml:space="preserve"> PAGEREF _Toc24329 \h </w:instrText>
      </w:r>
      <w:r>
        <w:fldChar w:fldCharType="separate"/>
      </w:r>
      <w:r>
        <w:t>13</w:t>
      </w:r>
      <w:r>
        <w:fldChar w:fldCharType="end"/>
      </w:r>
      <w:r>
        <w:rPr>
          <w:szCs w:val="20"/>
        </w:rPr>
        <w:fldChar w:fldCharType="end"/>
      </w:r>
    </w:p>
    <w:p w14:paraId="78298B95">
      <w:pPr>
        <w:pStyle w:val="5"/>
        <w:tabs>
          <w:tab w:val="right" w:leader="dot" w:pos="8730"/>
        </w:tabs>
      </w:pPr>
      <w:r>
        <w:rPr>
          <w:szCs w:val="20"/>
        </w:rPr>
        <w:fldChar w:fldCharType="begin"/>
      </w:r>
      <w:r>
        <w:rPr>
          <w:szCs w:val="20"/>
        </w:rPr>
        <w:instrText xml:space="preserve"> HYPERLINK \l _Toc693 </w:instrText>
      </w:r>
      <w:r>
        <w:rPr>
          <w:szCs w:val="20"/>
        </w:rPr>
        <w:fldChar w:fldCharType="separate"/>
      </w:r>
      <w:r>
        <w:rPr>
          <w:rFonts w:hint="eastAsia"/>
        </w:rPr>
        <w:t>2. 提升监测预警智能化水平</w:t>
      </w:r>
      <w:r>
        <w:tab/>
      </w:r>
      <w:r>
        <w:fldChar w:fldCharType="begin"/>
      </w:r>
      <w:r>
        <w:instrText xml:space="preserve"> PAGEREF _Toc693 \h </w:instrText>
      </w:r>
      <w:r>
        <w:fldChar w:fldCharType="separate"/>
      </w:r>
      <w:r>
        <w:t>13</w:t>
      </w:r>
      <w:r>
        <w:fldChar w:fldCharType="end"/>
      </w:r>
      <w:r>
        <w:rPr>
          <w:szCs w:val="20"/>
        </w:rPr>
        <w:fldChar w:fldCharType="end"/>
      </w:r>
    </w:p>
    <w:p w14:paraId="0936A3F5">
      <w:pPr>
        <w:pStyle w:val="5"/>
        <w:tabs>
          <w:tab w:val="right" w:leader="dot" w:pos="8730"/>
        </w:tabs>
      </w:pPr>
      <w:r>
        <w:rPr>
          <w:szCs w:val="20"/>
        </w:rPr>
        <w:fldChar w:fldCharType="begin"/>
      </w:r>
      <w:r>
        <w:rPr>
          <w:szCs w:val="20"/>
        </w:rPr>
        <w:instrText xml:space="preserve"> HYPERLINK \l _Toc9753 </w:instrText>
      </w:r>
      <w:r>
        <w:rPr>
          <w:szCs w:val="20"/>
        </w:rPr>
        <w:fldChar w:fldCharType="separate"/>
      </w:r>
      <w:r>
        <w:rPr>
          <w:rFonts w:hint="eastAsia"/>
        </w:rPr>
        <w:t>3. 强化数智应急科技支撑</w:t>
      </w:r>
      <w:r>
        <w:tab/>
      </w:r>
      <w:r>
        <w:fldChar w:fldCharType="begin"/>
      </w:r>
      <w:r>
        <w:instrText xml:space="preserve"> PAGEREF _Toc9753 \h </w:instrText>
      </w:r>
      <w:r>
        <w:fldChar w:fldCharType="separate"/>
      </w:r>
      <w:r>
        <w:t>13</w:t>
      </w:r>
      <w:r>
        <w:fldChar w:fldCharType="end"/>
      </w:r>
      <w:r>
        <w:rPr>
          <w:szCs w:val="20"/>
        </w:rPr>
        <w:fldChar w:fldCharType="end"/>
      </w:r>
    </w:p>
    <w:p w14:paraId="25047266">
      <w:pPr>
        <w:pStyle w:val="5"/>
        <w:tabs>
          <w:tab w:val="right" w:leader="dot" w:pos="8730"/>
        </w:tabs>
      </w:pPr>
      <w:r>
        <w:rPr>
          <w:szCs w:val="20"/>
        </w:rPr>
        <w:fldChar w:fldCharType="begin"/>
      </w:r>
      <w:r>
        <w:rPr>
          <w:szCs w:val="20"/>
        </w:rPr>
        <w:instrText xml:space="preserve"> HYPERLINK \l _Toc16486 </w:instrText>
      </w:r>
      <w:r>
        <w:rPr>
          <w:szCs w:val="20"/>
        </w:rPr>
        <w:fldChar w:fldCharType="separate"/>
      </w:r>
      <w:r>
        <w:rPr>
          <w:rFonts w:hint="eastAsia"/>
        </w:rPr>
        <w:t>4. 加强应急人才队伍建设</w:t>
      </w:r>
      <w:r>
        <w:tab/>
      </w:r>
      <w:r>
        <w:fldChar w:fldCharType="begin"/>
      </w:r>
      <w:r>
        <w:instrText xml:space="preserve"> PAGEREF _Toc16486 \h </w:instrText>
      </w:r>
      <w:r>
        <w:fldChar w:fldCharType="separate"/>
      </w:r>
      <w:r>
        <w:t>14</w:t>
      </w:r>
      <w:r>
        <w:fldChar w:fldCharType="end"/>
      </w:r>
      <w:r>
        <w:rPr>
          <w:szCs w:val="20"/>
        </w:rPr>
        <w:fldChar w:fldCharType="end"/>
      </w:r>
    </w:p>
    <w:p w14:paraId="613AD7CC">
      <w:pPr>
        <w:pStyle w:val="9"/>
        <w:tabs>
          <w:tab w:val="right" w:leader="dot" w:pos="8730"/>
        </w:tabs>
      </w:pPr>
      <w:r>
        <w:rPr>
          <w:szCs w:val="20"/>
        </w:rPr>
        <w:fldChar w:fldCharType="begin"/>
      </w:r>
      <w:r>
        <w:rPr>
          <w:szCs w:val="20"/>
        </w:rPr>
        <w:instrText xml:space="preserve"> HYPERLINK \l _Toc5383 </w:instrText>
      </w:r>
      <w:r>
        <w:rPr>
          <w:szCs w:val="20"/>
        </w:rPr>
        <w:fldChar w:fldCharType="separate"/>
      </w:r>
      <w:r>
        <w:rPr>
          <w:rFonts w:hint="eastAsia"/>
        </w:rPr>
        <w:t>（七）提升基层应急能力，持续加强全民安全教育</w:t>
      </w:r>
      <w:r>
        <w:tab/>
      </w:r>
      <w:r>
        <w:fldChar w:fldCharType="begin"/>
      </w:r>
      <w:r>
        <w:instrText xml:space="preserve"> PAGEREF _Toc5383 \h </w:instrText>
      </w:r>
      <w:r>
        <w:fldChar w:fldCharType="separate"/>
      </w:r>
      <w:r>
        <w:t>14</w:t>
      </w:r>
      <w:r>
        <w:fldChar w:fldCharType="end"/>
      </w:r>
      <w:r>
        <w:rPr>
          <w:szCs w:val="20"/>
        </w:rPr>
        <w:fldChar w:fldCharType="end"/>
      </w:r>
    </w:p>
    <w:p w14:paraId="551A2D07">
      <w:pPr>
        <w:pStyle w:val="5"/>
        <w:tabs>
          <w:tab w:val="right" w:leader="dot" w:pos="8730"/>
        </w:tabs>
      </w:pPr>
      <w:r>
        <w:rPr>
          <w:szCs w:val="20"/>
        </w:rPr>
        <w:fldChar w:fldCharType="begin"/>
      </w:r>
      <w:r>
        <w:rPr>
          <w:szCs w:val="20"/>
        </w:rPr>
        <w:instrText xml:space="preserve"> HYPERLINK \l _Toc22966 </w:instrText>
      </w:r>
      <w:r>
        <w:rPr>
          <w:szCs w:val="20"/>
        </w:rPr>
        <w:fldChar w:fldCharType="separate"/>
      </w:r>
      <w:r>
        <w:rPr>
          <w:rFonts w:hint="eastAsia"/>
        </w:rPr>
        <w:t>1. 健全基层应急组织体系</w:t>
      </w:r>
      <w:r>
        <w:tab/>
      </w:r>
      <w:r>
        <w:fldChar w:fldCharType="begin"/>
      </w:r>
      <w:r>
        <w:instrText xml:space="preserve"> PAGEREF _Toc22966 \h </w:instrText>
      </w:r>
      <w:r>
        <w:fldChar w:fldCharType="separate"/>
      </w:r>
      <w:r>
        <w:t>14</w:t>
      </w:r>
      <w:r>
        <w:fldChar w:fldCharType="end"/>
      </w:r>
      <w:r>
        <w:rPr>
          <w:szCs w:val="20"/>
        </w:rPr>
        <w:fldChar w:fldCharType="end"/>
      </w:r>
    </w:p>
    <w:p w14:paraId="03C64C1B">
      <w:pPr>
        <w:pStyle w:val="5"/>
        <w:tabs>
          <w:tab w:val="right" w:leader="dot" w:pos="8730"/>
        </w:tabs>
      </w:pPr>
      <w:r>
        <w:rPr>
          <w:szCs w:val="20"/>
        </w:rPr>
        <w:fldChar w:fldCharType="begin"/>
      </w:r>
      <w:r>
        <w:rPr>
          <w:szCs w:val="20"/>
        </w:rPr>
        <w:instrText xml:space="preserve"> HYPERLINK \l _Toc31839 </w:instrText>
      </w:r>
      <w:r>
        <w:rPr>
          <w:szCs w:val="20"/>
        </w:rPr>
        <w:fldChar w:fldCharType="separate"/>
      </w:r>
      <w:r>
        <w:rPr>
          <w:rFonts w:hint="eastAsia"/>
        </w:rPr>
        <w:t>2. 加强基层应急力量建设</w:t>
      </w:r>
      <w:r>
        <w:tab/>
      </w:r>
      <w:r>
        <w:fldChar w:fldCharType="begin"/>
      </w:r>
      <w:r>
        <w:instrText xml:space="preserve"> PAGEREF _Toc31839 \h </w:instrText>
      </w:r>
      <w:r>
        <w:fldChar w:fldCharType="separate"/>
      </w:r>
      <w:r>
        <w:t>15</w:t>
      </w:r>
      <w:r>
        <w:fldChar w:fldCharType="end"/>
      </w:r>
      <w:r>
        <w:rPr>
          <w:szCs w:val="20"/>
        </w:rPr>
        <w:fldChar w:fldCharType="end"/>
      </w:r>
    </w:p>
    <w:p w14:paraId="22A543F1">
      <w:pPr>
        <w:pStyle w:val="5"/>
        <w:tabs>
          <w:tab w:val="right" w:leader="dot" w:pos="8730"/>
        </w:tabs>
      </w:pPr>
      <w:r>
        <w:rPr>
          <w:szCs w:val="20"/>
        </w:rPr>
        <w:fldChar w:fldCharType="begin"/>
      </w:r>
      <w:r>
        <w:rPr>
          <w:szCs w:val="20"/>
        </w:rPr>
        <w:instrText xml:space="preserve"> HYPERLINK \l _Toc22771 </w:instrText>
      </w:r>
      <w:r>
        <w:rPr>
          <w:szCs w:val="20"/>
        </w:rPr>
        <w:fldChar w:fldCharType="separate"/>
      </w:r>
      <w:r>
        <w:rPr>
          <w:rFonts w:hint="eastAsia"/>
        </w:rPr>
        <w:t>3. 深化全民安全宣传教育</w:t>
      </w:r>
      <w:r>
        <w:tab/>
      </w:r>
      <w:r>
        <w:fldChar w:fldCharType="begin"/>
      </w:r>
      <w:r>
        <w:instrText xml:space="preserve"> PAGEREF _Toc22771 \h </w:instrText>
      </w:r>
      <w:r>
        <w:fldChar w:fldCharType="separate"/>
      </w:r>
      <w:r>
        <w:t>15</w:t>
      </w:r>
      <w:r>
        <w:fldChar w:fldCharType="end"/>
      </w:r>
      <w:r>
        <w:rPr>
          <w:szCs w:val="20"/>
        </w:rPr>
        <w:fldChar w:fldCharType="end"/>
      </w:r>
    </w:p>
    <w:p w14:paraId="24355D8F">
      <w:pPr>
        <w:pStyle w:val="8"/>
        <w:tabs>
          <w:tab w:val="right" w:leader="dot" w:pos="8730"/>
        </w:tabs>
      </w:pPr>
      <w:r>
        <w:rPr>
          <w:szCs w:val="20"/>
        </w:rPr>
        <w:fldChar w:fldCharType="begin"/>
      </w:r>
      <w:r>
        <w:rPr>
          <w:szCs w:val="20"/>
        </w:rPr>
        <w:instrText xml:space="preserve"> HYPERLINK \l _Toc29054 </w:instrText>
      </w:r>
      <w:r>
        <w:rPr>
          <w:szCs w:val="20"/>
        </w:rPr>
        <w:fldChar w:fldCharType="separate"/>
      </w:r>
      <w:r>
        <w:rPr>
          <w:rFonts w:hint="eastAsia"/>
        </w:rPr>
        <w:t>四、保障措施</w:t>
      </w:r>
      <w:r>
        <w:tab/>
      </w:r>
      <w:r>
        <w:fldChar w:fldCharType="begin"/>
      </w:r>
      <w:r>
        <w:instrText xml:space="preserve"> PAGEREF _Toc29054 \h </w:instrText>
      </w:r>
      <w:r>
        <w:fldChar w:fldCharType="separate"/>
      </w:r>
      <w:r>
        <w:t>16</w:t>
      </w:r>
      <w:r>
        <w:fldChar w:fldCharType="end"/>
      </w:r>
      <w:r>
        <w:rPr>
          <w:szCs w:val="20"/>
        </w:rPr>
        <w:fldChar w:fldCharType="end"/>
      </w:r>
    </w:p>
    <w:p w14:paraId="7227836E">
      <w:pPr>
        <w:spacing w:line="360" w:lineRule="auto"/>
        <w:rPr>
          <w:sz w:val="24"/>
          <w:szCs w:val="20"/>
        </w:rPr>
      </w:pPr>
      <w:r>
        <w:rPr>
          <w:szCs w:val="20"/>
        </w:rPr>
        <w:fldChar w:fldCharType="end"/>
      </w:r>
    </w:p>
    <w:p w14:paraId="1EF10554"/>
    <w:p w14:paraId="4CD16272">
      <w:pPr>
        <w:sectPr>
          <w:headerReference r:id="rId9" w:type="default"/>
          <w:pgSz w:w="11906" w:h="16838"/>
          <w:pgMar w:top="1701" w:right="1588" w:bottom="1474" w:left="1588" w:header="851" w:footer="850" w:gutter="0"/>
          <w:pgNumType w:fmt="decimal" w:start="1"/>
          <w:cols w:space="425" w:num="1"/>
          <w:docGrid w:type="lines" w:linePitch="435" w:charSpace="0"/>
        </w:sectPr>
      </w:pPr>
    </w:p>
    <w:p w14:paraId="19210498"/>
    <w:p w14:paraId="637F3ED0">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大兴区“十五五”时期应急体系建设规划</w:t>
      </w:r>
    </w:p>
    <w:p w14:paraId="2AB7EEA9"/>
    <w:p w14:paraId="770985C1">
      <w:pPr>
        <w:ind w:firstLine="640" w:firstLineChars="200"/>
      </w:pPr>
      <w:r>
        <w:rPr>
          <w:rFonts w:hint="eastAsia"/>
          <w:szCs w:val="32"/>
        </w:rPr>
        <w:t>以习近平新时代中国特色社会主义思想为指导，坚决贯彻落实党的二十大</w:t>
      </w:r>
      <w:r>
        <w:rPr>
          <w:szCs w:val="32"/>
        </w:rPr>
        <w:t>和二十届历次全会精神</w:t>
      </w:r>
      <w:r>
        <w:rPr>
          <w:rFonts w:hint="eastAsia"/>
          <w:szCs w:val="32"/>
        </w:rPr>
        <w:t>，贯彻总体国家安全观，统筹发展和安全，践行人民至上、生命至上理念，</w:t>
      </w:r>
      <w:bookmarkStart w:id="0" w:name="OLE_LINK1"/>
      <w:r>
        <w:rPr>
          <w:rFonts w:hint="eastAsia"/>
          <w:szCs w:val="32"/>
        </w:rPr>
        <w:t>努力实现高质量发展和高水平安全良性互动</w:t>
      </w:r>
      <w:bookmarkEnd w:id="0"/>
      <w:r>
        <w:rPr>
          <w:rFonts w:hint="eastAsia"/>
          <w:szCs w:val="32"/>
        </w:rPr>
        <w:t>，进一步推进全区应急管理体系和能力现代化建设，提升防灾减灾救灾能力，切实维护人民生命财产安全和社会大局稳定，</w:t>
      </w:r>
      <w:r>
        <w:rPr>
          <w:rFonts w:hint="eastAsia"/>
        </w:rPr>
        <w:t>为努力打造前沿开放、协同引领、改革创新、宜居宜业的现代化新国门</w:t>
      </w:r>
      <w:r>
        <w:rPr>
          <w:rFonts w:hint="eastAsia"/>
          <w:szCs w:val="32"/>
        </w:rPr>
        <w:t>提供坚实的安全保障，</w:t>
      </w:r>
      <w:r>
        <w:rPr>
          <w:rFonts w:hint="eastAsia"/>
        </w:rPr>
        <w:t>为</w:t>
      </w:r>
      <w:r>
        <w:t>建设更高水平</w:t>
      </w:r>
      <w:r>
        <w:rPr>
          <w:rFonts w:hint="eastAsia"/>
        </w:rPr>
        <w:t>的</w:t>
      </w:r>
      <w:r>
        <w:t>平安大兴</w:t>
      </w:r>
      <w:r>
        <w:rPr>
          <w:rFonts w:hint="eastAsia"/>
        </w:rPr>
        <w:t>贡献</w:t>
      </w:r>
      <w:r>
        <w:rPr>
          <w:rFonts w:hint="eastAsia"/>
          <w:szCs w:val="32"/>
        </w:rPr>
        <w:t>力量。</w:t>
      </w:r>
    </w:p>
    <w:p w14:paraId="1BC627CB">
      <w:pPr>
        <w:pStyle w:val="2"/>
        <w:rPr>
          <w:rFonts w:hint="eastAsia"/>
          <w:sz w:val="32"/>
          <w:szCs w:val="32"/>
        </w:rPr>
      </w:pPr>
      <w:bookmarkStart w:id="1" w:name="_Toc237361432"/>
      <w:bookmarkStart w:id="2" w:name="_Toc22751"/>
      <w:r>
        <w:rPr>
          <w:rFonts w:hint="eastAsia"/>
          <w:sz w:val="32"/>
          <w:szCs w:val="32"/>
        </w:rPr>
        <w:t>一、风险形势</w:t>
      </w:r>
      <w:bookmarkEnd w:id="1"/>
      <w:bookmarkEnd w:id="2"/>
    </w:p>
    <w:p w14:paraId="3A7C27C8">
      <w:pPr>
        <w:ind w:firstLine="640" w:firstLineChars="200"/>
        <w:rPr>
          <w:szCs w:val="32"/>
        </w:rPr>
      </w:pPr>
      <w:r>
        <w:rPr>
          <w:rFonts w:hint="eastAsia"/>
          <w:szCs w:val="32"/>
        </w:rPr>
        <w:t>“十五五”时期是基本实现社会主义现代化夯实基础、全面发力的关键时期，</w:t>
      </w:r>
      <w:r>
        <w:rPr>
          <w:szCs w:val="32"/>
        </w:rPr>
        <w:t>大兴区处于</w:t>
      </w:r>
      <w:r>
        <w:rPr>
          <w:rFonts w:hint="eastAsia"/>
          <w:szCs w:val="32"/>
        </w:rPr>
        <w:t>“6+5+3”</w:t>
      </w:r>
      <w:r>
        <w:rPr>
          <w:szCs w:val="32"/>
        </w:rPr>
        <w:t>产业发展布局</w:t>
      </w:r>
      <w:r>
        <w:rPr>
          <w:rFonts w:hint="eastAsia"/>
          <w:szCs w:val="32"/>
        </w:rPr>
        <w:t>深化铺开</w:t>
      </w:r>
      <w:r>
        <w:rPr>
          <w:szCs w:val="32"/>
        </w:rPr>
        <w:t>的关键阶段</w:t>
      </w:r>
      <w:r>
        <w:rPr>
          <w:rFonts w:hint="eastAsia"/>
          <w:szCs w:val="32"/>
        </w:rPr>
        <w:t>，</w:t>
      </w:r>
      <w:r>
        <w:rPr>
          <w:szCs w:val="32"/>
        </w:rPr>
        <w:t>应急管理工作面临传统风险与新业态风险交织叠加的严峻挑战。受全球气候变暖和</w:t>
      </w:r>
      <w:r>
        <w:rPr>
          <w:rFonts w:hint="eastAsia"/>
          <w:szCs w:val="32"/>
        </w:rPr>
        <w:t>“</w:t>
      </w:r>
      <w:r>
        <w:rPr>
          <w:szCs w:val="32"/>
        </w:rPr>
        <w:t>雨带北抬</w:t>
      </w:r>
      <w:r>
        <w:rPr>
          <w:rFonts w:hint="eastAsia"/>
          <w:szCs w:val="32"/>
        </w:rPr>
        <w:t>”</w:t>
      </w:r>
      <w:r>
        <w:rPr>
          <w:szCs w:val="32"/>
        </w:rPr>
        <w:t>影响，汛期暴雨致灾风险持续升高</w:t>
      </w:r>
      <w:r>
        <w:rPr>
          <w:rFonts w:hint="eastAsia"/>
          <w:szCs w:val="32"/>
        </w:rPr>
        <w:t>，永定河防汛形势更加严峻</w:t>
      </w:r>
      <w:r>
        <w:rPr>
          <w:szCs w:val="32"/>
        </w:rPr>
        <w:t>。危险化学品、建筑施工、道路交通等重点领域</w:t>
      </w:r>
      <w:r>
        <w:rPr>
          <w:rFonts w:hint="eastAsia"/>
          <w:szCs w:val="32"/>
        </w:rPr>
        <w:t>安全</w:t>
      </w:r>
      <w:r>
        <w:rPr>
          <w:szCs w:val="32"/>
        </w:rPr>
        <w:t>风险仍然</w:t>
      </w:r>
      <w:r>
        <w:rPr>
          <w:rFonts w:hint="eastAsia"/>
          <w:szCs w:val="32"/>
        </w:rPr>
        <w:t>突出，</w:t>
      </w:r>
      <w:r>
        <w:rPr>
          <w:szCs w:val="32"/>
        </w:rPr>
        <w:t>企业本质安全水平</w:t>
      </w:r>
      <w:r>
        <w:rPr>
          <w:rFonts w:hint="eastAsia"/>
          <w:szCs w:val="32"/>
        </w:rPr>
        <w:t>仍需提升。</w:t>
      </w:r>
      <w:r>
        <w:rPr>
          <w:szCs w:val="32"/>
        </w:rPr>
        <w:t>随着产业发展</w:t>
      </w:r>
      <w:r>
        <w:rPr>
          <w:rFonts w:hint="eastAsia"/>
          <w:szCs w:val="32"/>
        </w:rPr>
        <w:t>持续</w:t>
      </w:r>
      <w:r>
        <w:rPr>
          <w:szCs w:val="32"/>
        </w:rPr>
        <w:t>推进，大兴国际机场重大枢纽和</w:t>
      </w:r>
      <w:r>
        <w:rPr>
          <w:rFonts w:hint="eastAsia"/>
          <w:szCs w:val="32"/>
        </w:rPr>
        <w:t>周边</w:t>
      </w:r>
      <w:r>
        <w:rPr>
          <w:szCs w:val="32"/>
        </w:rPr>
        <w:t>功能区人流密集，超大客流和跨区域应急协同压力增大</w:t>
      </w:r>
      <w:r>
        <w:rPr>
          <w:rFonts w:hint="eastAsia"/>
          <w:szCs w:val="32"/>
        </w:rPr>
        <w:t>。</w:t>
      </w:r>
      <w:r>
        <w:rPr>
          <w:szCs w:val="32"/>
        </w:rPr>
        <w:t>临空经济区航空物流和航油储运规模持续扩大，生物医药基地实验室生物安全和危险化学品使用风险凸显，氢能示范区全链条氢安全风险防控要求</w:t>
      </w:r>
      <w:r>
        <w:rPr>
          <w:rFonts w:hint="eastAsia"/>
          <w:szCs w:val="32"/>
        </w:rPr>
        <w:t>提升</w:t>
      </w:r>
      <w:r>
        <w:rPr>
          <w:szCs w:val="32"/>
        </w:rPr>
        <w:t>，商业航天基地</w:t>
      </w:r>
      <w:r>
        <w:rPr>
          <w:rFonts w:hint="eastAsia"/>
          <w:szCs w:val="32"/>
        </w:rPr>
        <w:t>和</w:t>
      </w:r>
      <w:r>
        <w:rPr>
          <w:szCs w:val="32"/>
        </w:rPr>
        <w:t>集成电路产业园带来新风险</w:t>
      </w:r>
      <w:r>
        <w:rPr>
          <w:rFonts w:hint="eastAsia"/>
          <w:szCs w:val="32"/>
        </w:rPr>
        <w:t>将</w:t>
      </w:r>
      <w:r>
        <w:rPr>
          <w:szCs w:val="32"/>
        </w:rPr>
        <w:t>逐步显现，京南物流基地大型仓储火灾风险集中，人员密集场所和大型综合体火灾防控任务繁重。电动自行车、燃气、有限空间等城市运行风险防控压力持续加大。城乡结合部、老旧小区、农村自建房屋、人员密集场所等重点区域安全隐患尚未根治。基层应急能力仍存在短板，村（社区）应急力量薄弱</w:t>
      </w:r>
      <w:r>
        <w:rPr>
          <w:rFonts w:hint="eastAsia"/>
          <w:szCs w:val="32"/>
        </w:rPr>
        <w:t>，应急</w:t>
      </w:r>
      <w:r>
        <w:rPr>
          <w:szCs w:val="32"/>
        </w:rPr>
        <w:t>物资</w:t>
      </w:r>
      <w:r>
        <w:rPr>
          <w:rFonts w:hint="eastAsia"/>
          <w:szCs w:val="32"/>
        </w:rPr>
        <w:t>储备和应急</w:t>
      </w:r>
      <w:r>
        <w:rPr>
          <w:szCs w:val="32"/>
        </w:rPr>
        <w:t>装备</w:t>
      </w:r>
      <w:r>
        <w:rPr>
          <w:rFonts w:hint="eastAsia"/>
          <w:szCs w:val="32"/>
        </w:rPr>
        <w:t>配备需要进一步加强</w:t>
      </w:r>
      <w:r>
        <w:rPr>
          <w:szCs w:val="32"/>
        </w:rPr>
        <w:t>。</w:t>
      </w:r>
    </w:p>
    <w:p w14:paraId="6C8748EA">
      <w:pPr>
        <w:pStyle w:val="2"/>
        <w:rPr>
          <w:rFonts w:hint="eastAsia"/>
          <w:sz w:val="32"/>
          <w:szCs w:val="32"/>
        </w:rPr>
      </w:pPr>
      <w:bookmarkStart w:id="3" w:name="_Toc237361433"/>
      <w:bookmarkStart w:id="4" w:name="_Toc22362"/>
      <w:r>
        <w:rPr>
          <w:rFonts w:hint="eastAsia"/>
          <w:sz w:val="32"/>
          <w:szCs w:val="32"/>
        </w:rPr>
        <w:t>二</w:t>
      </w:r>
      <w:r>
        <w:rPr>
          <w:sz w:val="32"/>
          <w:szCs w:val="32"/>
        </w:rPr>
        <w:t>、</w:t>
      </w:r>
      <w:r>
        <w:rPr>
          <w:rFonts w:hint="eastAsia"/>
          <w:sz w:val="32"/>
          <w:szCs w:val="32"/>
        </w:rPr>
        <w:t>发展目标</w:t>
      </w:r>
      <w:bookmarkEnd w:id="3"/>
      <w:bookmarkEnd w:id="4"/>
    </w:p>
    <w:p w14:paraId="66DE448B">
      <w:pPr>
        <w:ind w:firstLine="640" w:firstLineChars="200"/>
      </w:pPr>
      <w:r>
        <w:rPr>
          <w:rFonts w:hint="eastAsia"/>
        </w:rPr>
        <w:t>到20</w:t>
      </w:r>
      <w:r>
        <w:t>30</w:t>
      </w:r>
      <w:r>
        <w:rPr>
          <w:rFonts w:hint="eastAsia"/>
        </w:rPr>
        <w:t>年，</w:t>
      </w:r>
      <w:r>
        <w:t>基本建成符合</w:t>
      </w:r>
      <w:r>
        <w:rPr>
          <w:rFonts w:hint="eastAsia"/>
        </w:rPr>
        <w:t>大兴</w:t>
      </w:r>
      <w:r>
        <w:t>区情的大安全大应急框架以及相应的</w:t>
      </w:r>
      <w:r>
        <w:rPr>
          <w:rFonts w:hint="eastAsia"/>
        </w:rPr>
        <w:t>应急指挥机制</w:t>
      </w:r>
      <w:r>
        <w:t>，</w:t>
      </w:r>
      <w:r>
        <w:rPr>
          <w:rFonts w:hint="eastAsia"/>
        </w:rPr>
        <w:t>公共安全治理模式转向事前预防</w:t>
      </w:r>
      <w:r>
        <w:rPr>
          <w:rFonts w:hint="eastAsia"/>
          <w:lang w:eastAsia="zh-CN"/>
        </w:rPr>
        <w:t>，</w:t>
      </w:r>
      <w:r>
        <w:rPr>
          <w:rFonts w:hint="eastAsia"/>
        </w:rPr>
        <w:t>实现关口前移，对重点行业领域的安全监管更加高效，安全生产、防灾减灾形势持续向好，重大突发公共事件处置保障能力显著提高</w:t>
      </w:r>
      <w:r>
        <w:rPr>
          <w:rFonts w:hint="eastAsia"/>
          <w:lang w:eastAsia="zh-CN"/>
        </w:rPr>
        <w:t>，</w:t>
      </w:r>
      <w:r>
        <w:rPr>
          <w:rFonts w:hint="eastAsia"/>
        </w:rPr>
        <w:t>保障体系更加健全，基层应急基础和力量得到有效强化，区域应急力量建设取得显著成效，城市韧性不断提升。到2035年，建成与大兴区“</w:t>
      </w:r>
      <w:r>
        <w:t>三区一门户</w:t>
      </w:r>
      <w:r>
        <w:rPr>
          <w:rFonts w:hint="eastAsia"/>
        </w:rPr>
        <w:t>”功能定位相适应、与“协同发展示范区、繁荣开放国门新城”要求相匹配、具有大兴特色的现代化</w:t>
      </w:r>
      <w:bookmarkStart w:id="5" w:name="OLE_LINK4"/>
      <w:bookmarkStart w:id="6" w:name="OLE_LINK5"/>
      <w:r>
        <w:rPr>
          <w:rFonts w:hint="eastAsia"/>
        </w:rPr>
        <w:t>应急管理体系和能力</w:t>
      </w:r>
      <w:bookmarkEnd w:id="5"/>
      <w:bookmarkEnd w:id="6"/>
      <w:r>
        <w:rPr>
          <w:rFonts w:hint="eastAsia"/>
        </w:rPr>
        <w:t>。</w:t>
      </w:r>
      <w:r>
        <w:t>全面实现依法应急、科学应急、数智应急，实现高质量发展和高水平安全良性互动。</w:t>
      </w:r>
    </w:p>
    <w:p w14:paraId="614F60F9">
      <w:pPr>
        <w:jc w:val="center"/>
        <w:rPr>
          <w:b/>
          <w:bCs/>
          <w:sz w:val="24"/>
          <w:szCs w:val="20"/>
        </w:rPr>
      </w:pPr>
      <w:r>
        <w:rPr>
          <w:rFonts w:hint="eastAsia"/>
          <w:b/>
          <w:bCs/>
          <w:sz w:val="24"/>
          <w:szCs w:val="20"/>
        </w:rPr>
        <w:t>表1 大兴区“十五五”时期应急体系建设核心指标</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5811"/>
        <w:gridCol w:w="1921"/>
      </w:tblGrid>
      <w:tr w14:paraId="50EB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14:paraId="795466BE">
            <w:pPr>
              <w:spacing w:line="240" w:lineRule="auto"/>
              <w:jc w:val="center"/>
              <w:rPr>
                <w:sz w:val="24"/>
                <w:szCs w:val="20"/>
              </w:rPr>
            </w:pPr>
            <w:r>
              <w:rPr>
                <w:rFonts w:hint="eastAsia"/>
                <w:sz w:val="24"/>
                <w:szCs w:val="20"/>
              </w:rPr>
              <w:t>序号</w:t>
            </w:r>
          </w:p>
        </w:tc>
        <w:tc>
          <w:tcPr>
            <w:tcW w:w="5811" w:type="dxa"/>
            <w:vAlign w:val="center"/>
          </w:tcPr>
          <w:p w14:paraId="1DB52121">
            <w:pPr>
              <w:spacing w:line="240" w:lineRule="auto"/>
              <w:jc w:val="center"/>
              <w:rPr>
                <w:sz w:val="24"/>
                <w:szCs w:val="20"/>
              </w:rPr>
            </w:pPr>
            <w:r>
              <w:rPr>
                <w:rFonts w:hint="eastAsia"/>
                <w:sz w:val="24"/>
                <w:szCs w:val="20"/>
              </w:rPr>
              <w:t>指标内容</w:t>
            </w:r>
          </w:p>
        </w:tc>
        <w:tc>
          <w:tcPr>
            <w:tcW w:w="1921" w:type="dxa"/>
            <w:vAlign w:val="center"/>
          </w:tcPr>
          <w:p w14:paraId="41896FD0">
            <w:pPr>
              <w:spacing w:line="240" w:lineRule="auto"/>
              <w:jc w:val="center"/>
              <w:rPr>
                <w:sz w:val="24"/>
                <w:szCs w:val="20"/>
              </w:rPr>
            </w:pPr>
            <w:r>
              <w:rPr>
                <w:rFonts w:hint="eastAsia"/>
                <w:sz w:val="24"/>
                <w:szCs w:val="20"/>
              </w:rPr>
              <w:t>预期值</w:t>
            </w:r>
          </w:p>
        </w:tc>
      </w:tr>
      <w:tr w14:paraId="29EA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14:paraId="1E806ED1">
            <w:pPr>
              <w:spacing w:line="240" w:lineRule="auto"/>
              <w:jc w:val="center"/>
              <w:rPr>
                <w:sz w:val="24"/>
                <w:szCs w:val="20"/>
              </w:rPr>
            </w:pPr>
            <w:r>
              <w:rPr>
                <w:rFonts w:hint="eastAsia"/>
                <w:sz w:val="24"/>
                <w:szCs w:val="20"/>
              </w:rPr>
              <w:t>1</w:t>
            </w:r>
          </w:p>
        </w:tc>
        <w:tc>
          <w:tcPr>
            <w:tcW w:w="5811" w:type="dxa"/>
            <w:vAlign w:val="center"/>
          </w:tcPr>
          <w:p w14:paraId="5A33FFD9">
            <w:pPr>
              <w:spacing w:line="240" w:lineRule="auto"/>
              <w:jc w:val="center"/>
              <w:rPr>
                <w:sz w:val="24"/>
                <w:szCs w:val="20"/>
              </w:rPr>
            </w:pPr>
            <w:r>
              <w:rPr>
                <w:rFonts w:hint="eastAsia"/>
                <w:sz w:val="24"/>
                <w:szCs w:val="20"/>
              </w:rPr>
              <w:t>单位地区生产总值生产安全事故死亡率（人/百亿元）</w:t>
            </w:r>
          </w:p>
        </w:tc>
        <w:tc>
          <w:tcPr>
            <w:tcW w:w="1921" w:type="dxa"/>
            <w:vAlign w:val="center"/>
          </w:tcPr>
          <w:p w14:paraId="554F3083">
            <w:pPr>
              <w:spacing w:line="240" w:lineRule="auto"/>
              <w:jc w:val="center"/>
              <w:rPr>
                <w:sz w:val="24"/>
                <w:szCs w:val="20"/>
              </w:rPr>
            </w:pPr>
            <w:r>
              <w:rPr>
                <w:sz w:val="24"/>
                <w:szCs w:val="20"/>
              </w:rPr>
              <w:t>&lt;</w:t>
            </w:r>
            <w:r>
              <w:rPr>
                <w:rFonts w:hint="eastAsia"/>
                <w:sz w:val="24"/>
                <w:szCs w:val="20"/>
              </w:rPr>
              <w:t>0.8</w:t>
            </w:r>
          </w:p>
        </w:tc>
      </w:tr>
      <w:tr w14:paraId="54CB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14:paraId="7FD29007">
            <w:pPr>
              <w:spacing w:line="240" w:lineRule="auto"/>
              <w:jc w:val="center"/>
              <w:rPr>
                <w:sz w:val="24"/>
                <w:szCs w:val="20"/>
              </w:rPr>
            </w:pPr>
            <w:r>
              <w:rPr>
                <w:rFonts w:hint="eastAsia"/>
                <w:sz w:val="24"/>
                <w:szCs w:val="20"/>
              </w:rPr>
              <w:t>2</w:t>
            </w:r>
          </w:p>
        </w:tc>
        <w:tc>
          <w:tcPr>
            <w:tcW w:w="5811" w:type="dxa"/>
            <w:vAlign w:val="center"/>
          </w:tcPr>
          <w:p w14:paraId="7EB17D28">
            <w:pPr>
              <w:spacing w:line="240" w:lineRule="auto"/>
              <w:jc w:val="center"/>
              <w:rPr>
                <w:sz w:val="24"/>
                <w:szCs w:val="20"/>
              </w:rPr>
            </w:pPr>
            <w:r>
              <w:rPr>
                <w:rFonts w:hint="eastAsia"/>
                <w:sz w:val="24"/>
                <w:szCs w:val="20"/>
              </w:rPr>
              <w:t>年均每百万人口因自然灾害死亡率</w:t>
            </w:r>
          </w:p>
        </w:tc>
        <w:tc>
          <w:tcPr>
            <w:tcW w:w="1921" w:type="dxa"/>
            <w:vAlign w:val="center"/>
          </w:tcPr>
          <w:p w14:paraId="6B39D507">
            <w:pPr>
              <w:spacing w:line="240" w:lineRule="auto"/>
              <w:jc w:val="center"/>
              <w:rPr>
                <w:sz w:val="24"/>
                <w:szCs w:val="20"/>
              </w:rPr>
            </w:pPr>
            <w:r>
              <w:rPr>
                <w:sz w:val="24"/>
                <w:szCs w:val="20"/>
              </w:rPr>
              <w:t>&lt;</w:t>
            </w:r>
            <w:r>
              <w:rPr>
                <w:rFonts w:hint="eastAsia"/>
                <w:sz w:val="24"/>
                <w:szCs w:val="20"/>
              </w:rPr>
              <w:t>1</w:t>
            </w:r>
          </w:p>
        </w:tc>
      </w:tr>
      <w:tr w14:paraId="3D3B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14:paraId="03C67F8B">
            <w:pPr>
              <w:spacing w:line="240" w:lineRule="auto"/>
              <w:jc w:val="center"/>
              <w:rPr>
                <w:sz w:val="24"/>
                <w:szCs w:val="20"/>
              </w:rPr>
            </w:pPr>
            <w:r>
              <w:rPr>
                <w:rFonts w:hint="eastAsia"/>
                <w:sz w:val="24"/>
                <w:szCs w:val="20"/>
              </w:rPr>
              <w:t>3</w:t>
            </w:r>
          </w:p>
        </w:tc>
        <w:tc>
          <w:tcPr>
            <w:tcW w:w="5811" w:type="dxa"/>
            <w:vAlign w:val="center"/>
          </w:tcPr>
          <w:p w14:paraId="4030F9A8">
            <w:pPr>
              <w:spacing w:line="240" w:lineRule="auto"/>
              <w:jc w:val="center"/>
              <w:rPr>
                <w:sz w:val="24"/>
                <w:szCs w:val="20"/>
              </w:rPr>
            </w:pPr>
            <w:r>
              <w:rPr>
                <w:sz w:val="24"/>
                <w:szCs w:val="20"/>
              </w:rPr>
              <w:t>年均每十万人受灾人次</w:t>
            </w:r>
          </w:p>
        </w:tc>
        <w:tc>
          <w:tcPr>
            <w:tcW w:w="1921" w:type="dxa"/>
            <w:vAlign w:val="center"/>
          </w:tcPr>
          <w:p w14:paraId="6AB5C2A6">
            <w:pPr>
              <w:spacing w:line="240" w:lineRule="auto"/>
              <w:jc w:val="center"/>
              <w:rPr>
                <w:sz w:val="24"/>
                <w:szCs w:val="20"/>
              </w:rPr>
            </w:pPr>
            <w:r>
              <w:rPr>
                <w:sz w:val="24"/>
                <w:szCs w:val="20"/>
              </w:rPr>
              <w:t>&lt;10000</w:t>
            </w:r>
          </w:p>
        </w:tc>
      </w:tr>
      <w:tr w14:paraId="67CF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14:paraId="4DFD64A9">
            <w:pPr>
              <w:spacing w:line="240" w:lineRule="auto"/>
              <w:jc w:val="center"/>
              <w:rPr>
                <w:sz w:val="24"/>
                <w:szCs w:val="20"/>
              </w:rPr>
            </w:pPr>
            <w:r>
              <w:rPr>
                <w:rFonts w:hint="eastAsia"/>
                <w:sz w:val="24"/>
                <w:szCs w:val="20"/>
              </w:rPr>
              <w:t>4</w:t>
            </w:r>
          </w:p>
        </w:tc>
        <w:tc>
          <w:tcPr>
            <w:tcW w:w="5811" w:type="dxa"/>
            <w:vAlign w:val="center"/>
          </w:tcPr>
          <w:p w14:paraId="75C26E8F">
            <w:pPr>
              <w:spacing w:line="240" w:lineRule="auto"/>
              <w:jc w:val="center"/>
              <w:rPr>
                <w:sz w:val="24"/>
                <w:szCs w:val="20"/>
              </w:rPr>
            </w:pPr>
            <w:r>
              <w:rPr>
                <w:rFonts w:hint="eastAsia"/>
                <w:sz w:val="24"/>
                <w:szCs w:val="20"/>
              </w:rPr>
              <w:t>年均因自然灾害直接经济损失占地区生产总值比例</w:t>
            </w:r>
          </w:p>
        </w:tc>
        <w:tc>
          <w:tcPr>
            <w:tcW w:w="1921" w:type="dxa"/>
            <w:vAlign w:val="center"/>
          </w:tcPr>
          <w:p w14:paraId="6DCA20DE">
            <w:pPr>
              <w:spacing w:line="240" w:lineRule="auto"/>
              <w:jc w:val="center"/>
              <w:rPr>
                <w:sz w:val="24"/>
                <w:szCs w:val="20"/>
              </w:rPr>
            </w:pPr>
            <w:r>
              <w:rPr>
                <w:sz w:val="24"/>
                <w:szCs w:val="20"/>
              </w:rPr>
              <w:t>&lt;</w:t>
            </w:r>
            <w:r>
              <w:rPr>
                <w:rFonts w:hint="eastAsia"/>
                <w:sz w:val="24"/>
                <w:szCs w:val="20"/>
              </w:rPr>
              <w:t>1%</w:t>
            </w:r>
          </w:p>
        </w:tc>
      </w:tr>
      <w:tr w14:paraId="3C07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vAlign w:val="center"/>
          </w:tcPr>
          <w:p w14:paraId="35948E6C">
            <w:pPr>
              <w:spacing w:line="240" w:lineRule="auto"/>
              <w:jc w:val="center"/>
              <w:rPr>
                <w:sz w:val="24"/>
                <w:szCs w:val="20"/>
              </w:rPr>
            </w:pPr>
            <w:r>
              <w:rPr>
                <w:rFonts w:hint="eastAsia"/>
                <w:sz w:val="24"/>
                <w:szCs w:val="20"/>
              </w:rPr>
              <w:t>5</w:t>
            </w:r>
          </w:p>
        </w:tc>
        <w:tc>
          <w:tcPr>
            <w:tcW w:w="5811" w:type="dxa"/>
            <w:vAlign w:val="center"/>
          </w:tcPr>
          <w:p w14:paraId="272A117E">
            <w:pPr>
              <w:spacing w:line="240" w:lineRule="auto"/>
              <w:jc w:val="center"/>
              <w:rPr>
                <w:sz w:val="24"/>
                <w:szCs w:val="20"/>
              </w:rPr>
            </w:pPr>
            <w:r>
              <w:rPr>
                <w:sz w:val="24"/>
                <w:szCs w:val="20"/>
              </w:rPr>
              <w:t>人均应急避难场所面积</w:t>
            </w:r>
            <w:r>
              <w:rPr>
                <w:rFonts w:hint="eastAsia"/>
                <w:sz w:val="24"/>
                <w:szCs w:val="20"/>
              </w:rPr>
              <w:t>（平方米）</w:t>
            </w:r>
          </w:p>
        </w:tc>
        <w:tc>
          <w:tcPr>
            <w:tcW w:w="1921" w:type="dxa"/>
            <w:vAlign w:val="center"/>
          </w:tcPr>
          <w:p w14:paraId="28655B35">
            <w:pPr>
              <w:spacing w:line="240" w:lineRule="auto"/>
              <w:jc w:val="center"/>
              <w:rPr>
                <w:sz w:val="24"/>
                <w:szCs w:val="20"/>
              </w:rPr>
            </w:pPr>
            <w:r>
              <w:rPr>
                <w:rFonts w:hint="eastAsia"/>
                <w:sz w:val="24"/>
                <w:szCs w:val="20"/>
              </w:rPr>
              <w:t>1.8</w:t>
            </w:r>
          </w:p>
        </w:tc>
      </w:tr>
    </w:tbl>
    <w:p w14:paraId="51B6517C"/>
    <w:p w14:paraId="462907B8">
      <w:pPr>
        <w:pStyle w:val="2"/>
        <w:rPr>
          <w:rFonts w:hint="eastAsia"/>
          <w:sz w:val="32"/>
          <w:szCs w:val="32"/>
        </w:rPr>
      </w:pPr>
      <w:bookmarkStart w:id="7" w:name="_Toc237361434"/>
      <w:bookmarkStart w:id="8" w:name="_Toc17797"/>
      <w:r>
        <w:rPr>
          <w:rFonts w:hint="eastAsia"/>
          <w:sz w:val="32"/>
          <w:szCs w:val="32"/>
        </w:rPr>
        <w:t>三、主要任务</w:t>
      </w:r>
      <w:bookmarkEnd w:id="7"/>
      <w:bookmarkEnd w:id="8"/>
    </w:p>
    <w:p w14:paraId="250C7BC1">
      <w:pPr>
        <w:pStyle w:val="3"/>
        <w:rPr>
          <w:rFonts w:hint="eastAsia" w:ascii="楷体_GB2312" w:hAnsi="楷体_GB2312" w:eastAsia="楷体_GB2312" w:cs="楷体_GB2312"/>
          <w:b w:val="0"/>
          <w:bCs w:val="0"/>
        </w:rPr>
      </w:pPr>
      <w:bookmarkStart w:id="9" w:name="_Toc7838"/>
      <w:bookmarkStart w:id="10" w:name="_Toc237361435"/>
      <w:r>
        <w:rPr>
          <w:rFonts w:hint="eastAsia" w:ascii="楷体_GB2312" w:hAnsi="楷体_GB2312" w:eastAsia="楷体_GB2312" w:cs="楷体_GB2312"/>
          <w:b w:val="0"/>
          <w:bCs w:val="0"/>
        </w:rPr>
        <w:t>（一）立足大安全大应急，完善统一高效应急指挥体系</w:t>
      </w:r>
      <w:bookmarkEnd w:id="9"/>
      <w:bookmarkEnd w:id="10"/>
    </w:p>
    <w:p w14:paraId="1066239D">
      <w:pPr>
        <w:pStyle w:val="4"/>
        <w:rPr>
          <w:rFonts w:hint="eastAsia"/>
          <w:b w:val="0"/>
          <w:bCs w:val="0"/>
        </w:rPr>
      </w:pPr>
      <w:bookmarkStart w:id="11" w:name="_Toc18235"/>
      <w:r>
        <w:rPr>
          <w:rFonts w:hint="eastAsia"/>
          <w:b w:val="0"/>
          <w:bCs w:val="0"/>
        </w:rPr>
        <w:t>1. 强化统筹协调机制</w:t>
      </w:r>
      <w:bookmarkEnd w:id="11"/>
    </w:p>
    <w:p w14:paraId="3F632C5A">
      <w:pPr>
        <w:ind w:firstLine="640" w:firstLineChars="200"/>
      </w:pPr>
      <w:r>
        <w:rPr>
          <w:rFonts w:hint="eastAsia"/>
        </w:rPr>
        <w:t>健全区应急委决策议事、专项指挥部专业调度、各部门分工负责的工作机制，</w:t>
      </w:r>
      <w:r>
        <w:t>优化相应类别突发事件应急指挥机构。</w:t>
      </w:r>
      <w:r>
        <w:rPr>
          <w:rFonts w:hint="eastAsia"/>
        </w:rPr>
        <w:t>健全区安委会</w:t>
      </w:r>
      <w:r>
        <w:t>运行体系</w:t>
      </w:r>
      <w:r>
        <w:rPr>
          <w:rFonts w:hint="eastAsia"/>
        </w:rPr>
        <w:t>，根据市级专业委员会调整情况和未来风险变化情况，调整区级专业委员会设置。</w:t>
      </w:r>
      <w:r>
        <w:t>综合运用调度通报、约谈提醒、警示教育等方式，完善政策制度闭环落地机制。</w:t>
      </w:r>
      <w:r>
        <w:rPr>
          <w:rFonts w:hint="eastAsia"/>
        </w:rPr>
        <w:t>严格落实安全生产党政同责和“三管三必须”要求，健全灾害事故信息共享、会商研判、联合指挥、协同处置机制，实现从单一灾种应对向全灾种、大应急转变。</w:t>
      </w:r>
    </w:p>
    <w:p w14:paraId="7103585C">
      <w:pPr>
        <w:pStyle w:val="4"/>
        <w:rPr>
          <w:rFonts w:hint="eastAsia"/>
          <w:b w:val="0"/>
          <w:bCs w:val="0"/>
        </w:rPr>
      </w:pPr>
      <w:bookmarkStart w:id="12" w:name="_Toc5531"/>
      <w:r>
        <w:rPr>
          <w:rFonts w:hint="eastAsia"/>
          <w:b w:val="0"/>
          <w:bCs w:val="0"/>
        </w:rPr>
        <w:t>2. 提升应急指挥效能</w:t>
      </w:r>
      <w:bookmarkEnd w:id="12"/>
    </w:p>
    <w:p w14:paraId="4096E301">
      <w:pPr>
        <w:ind w:firstLine="640" w:firstLineChars="200"/>
      </w:pPr>
      <w:r>
        <w:rPr>
          <w:rFonts w:hint="eastAsia"/>
        </w:rPr>
        <w:t>完善大安全大应急框架下应急指挥机制，规范区级灾害事故现场指挥部组建运行，明确总指挥、专业指挥和各工作组职责，实现统一指挥、分级响应、专业处置。</w:t>
      </w:r>
      <w:r>
        <w:t>聚焦大兴机场临空经济区、国际氢能示范区、生物医药基地、中日创新合作示范区、商业航天产业基地</w:t>
      </w:r>
      <w:r>
        <w:rPr>
          <w:rFonts w:hint="eastAsia"/>
        </w:rPr>
        <w:t>、</w:t>
      </w:r>
      <w:r>
        <w:rPr>
          <w:rFonts w:hint="eastAsia"/>
          <w:lang w:eastAsia="zh-CN"/>
        </w:rPr>
        <w:t>京南物流基地</w:t>
      </w:r>
      <w:r>
        <w:t>等重点功能区，单独设置或明确专属应急指挥机构，实行 “园区统筹、专业主导、企业联动</w:t>
      </w:r>
      <w:r>
        <w:rPr>
          <w:rFonts w:hint="eastAsia"/>
        </w:rPr>
        <w:t>”</w:t>
      </w:r>
      <w:r>
        <w:t>模式，确保重大风险、重点区域指挥体系直达一线、反应灵敏。</w:t>
      </w:r>
      <w:r>
        <w:rPr>
          <w:rFonts w:hint="eastAsia"/>
        </w:rPr>
        <w:t>推动实现区内各级应急队伍、物资、装备等应急资源统筹调度。完善断路、断网、断电等情况下的现场指挥保障方案，确保指挥不间断。</w:t>
      </w:r>
    </w:p>
    <w:p w14:paraId="7E3590F0">
      <w:pPr>
        <w:pStyle w:val="4"/>
        <w:rPr>
          <w:rFonts w:hint="eastAsia"/>
          <w:b w:val="0"/>
          <w:bCs w:val="0"/>
        </w:rPr>
      </w:pPr>
      <w:bookmarkStart w:id="13" w:name="_Toc26117"/>
      <w:r>
        <w:rPr>
          <w:rFonts w:hint="eastAsia"/>
          <w:b w:val="0"/>
          <w:bCs w:val="0"/>
        </w:rPr>
        <w:t>3. 强化京津冀跨区域协同</w:t>
      </w:r>
      <w:bookmarkEnd w:id="13"/>
    </w:p>
    <w:p w14:paraId="6E188C22">
      <w:pPr>
        <w:ind w:firstLine="640" w:firstLineChars="200"/>
      </w:pPr>
      <w:r>
        <w:rPr>
          <w:rFonts w:hint="eastAsia"/>
        </w:rPr>
        <w:t>落实北京市有关京津冀应急管理协同发展的要求，加强与河北省毗邻地区的应急合作，根据北京市安排参加危险化学品道路运输、防汛抢险等领域跨区域应急演练。探索建立统一指挥、信息互通、资源共享、协同处置的跨区域应急合作模式。</w:t>
      </w:r>
    </w:p>
    <w:p w14:paraId="10BCD7A3">
      <w:pPr>
        <w:pStyle w:val="4"/>
        <w:rPr>
          <w:rFonts w:hint="eastAsia"/>
          <w:b w:val="0"/>
          <w:bCs w:val="0"/>
        </w:rPr>
      </w:pPr>
      <w:bookmarkStart w:id="14" w:name="_Toc17815"/>
      <w:r>
        <w:rPr>
          <w:rFonts w:hint="eastAsia"/>
          <w:b w:val="0"/>
          <w:bCs w:val="0"/>
        </w:rPr>
        <w:t>4. 优化应急预案体系</w:t>
      </w:r>
      <w:bookmarkEnd w:id="14"/>
    </w:p>
    <w:p w14:paraId="05BC4782">
      <w:pPr>
        <w:ind w:firstLine="640" w:firstLineChars="200"/>
      </w:pPr>
      <w:r>
        <w:rPr>
          <w:rFonts w:hint="eastAsia"/>
        </w:rPr>
        <w:t>完成区级突发事件总体应急预案和各专项应急预案修订，加强预案之间的衔接配套，形成覆盖全区域、全灾种、全层级的应急预案体系。强化预案针对性和可操作性，针对未来“6+5+3”产业</w:t>
      </w:r>
      <w:r>
        <w:rPr>
          <w:szCs w:val="32"/>
        </w:rPr>
        <w:t>发展</w:t>
      </w:r>
      <w:r>
        <w:rPr>
          <w:rFonts w:hint="eastAsia"/>
          <w:szCs w:val="32"/>
        </w:rPr>
        <w:t>可能引起的</w:t>
      </w:r>
      <w:r>
        <w:rPr>
          <w:rFonts w:hint="eastAsia"/>
        </w:rPr>
        <w:t>新型风险、危险化学品泄漏、大型综合体火灾、极端暴雨内涝等典型场景编制专项预案和现场处置方案。推行预案电子化、卡片化管理，制作简明实用的指挥手册和响应流程图。加强预案演练评估，区级每年定期组织综合应急演练，各乡镇（街道）、各重点行业领域每年定期组织专项演练，重点企业定期开展现场处置演练，实现以练促防、以练备战。</w:t>
      </w:r>
    </w:p>
    <w:p w14:paraId="40CB4D45">
      <w:pPr>
        <w:pStyle w:val="3"/>
        <w:rPr>
          <w:rFonts w:hint="eastAsia" w:ascii="楷体_GB2312" w:hAnsi="楷体_GB2312" w:eastAsia="楷体_GB2312" w:cs="楷体_GB2312"/>
          <w:b w:val="0"/>
          <w:bCs w:val="0"/>
        </w:rPr>
      </w:pPr>
      <w:bookmarkStart w:id="15" w:name="_Toc27166"/>
      <w:bookmarkStart w:id="16" w:name="_Toc237361436"/>
      <w:r>
        <w:rPr>
          <w:rFonts w:hint="eastAsia" w:ascii="楷体_GB2312" w:hAnsi="楷体_GB2312" w:eastAsia="楷体_GB2312" w:cs="楷体_GB2312"/>
          <w:b w:val="0"/>
          <w:bCs w:val="0"/>
        </w:rPr>
        <w:t>（二）深化风险源头防控，加快治理模式转向事前预防</w:t>
      </w:r>
      <w:bookmarkEnd w:id="15"/>
      <w:bookmarkEnd w:id="16"/>
    </w:p>
    <w:p w14:paraId="189DC4C9">
      <w:pPr>
        <w:pStyle w:val="4"/>
        <w:rPr>
          <w:rFonts w:hint="eastAsia"/>
          <w:b w:val="0"/>
          <w:bCs w:val="0"/>
        </w:rPr>
      </w:pPr>
      <w:bookmarkStart w:id="17" w:name="_Toc20935"/>
      <w:r>
        <w:rPr>
          <w:rFonts w:hint="eastAsia"/>
          <w:b w:val="0"/>
          <w:bCs w:val="0"/>
        </w:rPr>
        <w:t>1. 强化重点产业领域安全风险防控</w:t>
      </w:r>
      <w:bookmarkEnd w:id="17"/>
    </w:p>
    <w:p w14:paraId="3F57D208">
      <w:pPr>
        <w:ind w:firstLine="640" w:firstLineChars="200"/>
      </w:pPr>
      <w:r>
        <w:rPr>
          <w:rFonts w:hint="eastAsia"/>
        </w:rPr>
        <w:t>围绕“6+5+3”产业发展布局，系统辨识和精准管控各类产业安全风险，建立产业安全风险清单和管控责任清单，实现风险防控与产业发展同规划、同部署、同推进。</w:t>
      </w:r>
    </w:p>
    <w:p w14:paraId="37F92C0E">
      <w:pPr>
        <w:ind w:firstLine="640" w:firstLineChars="200"/>
      </w:pPr>
      <w:r>
        <w:rPr>
          <w:rFonts w:hint="eastAsia"/>
        </w:rPr>
        <w:t>临空经济领域：针对大兴国际机场及临空经济区航空燃油储运、航空物流、跨境电商等业态，重点防控航油管道泄漏、仓储物流火灾等风险。加强航油储运设施安全监测和智能化管理，完善机场区域应急疏散和救援协同机制。</w:t>
      </w:r>
    </w:p>
    <w:p w14:paraId="5A629252">
      <w:pPr>
        <w:ind w:firstLine="640" w:firstLineChars="200"/>
      </w:pPr>
      <w:r>
        <w:rPr>
          <w:rFonts w:hint="eastAsia"/>
        </w:rPr>
        <w:t>生物医药领域：针对生物医药基地研发实验室、中试车间、药品生产企业，重点防控危险化学品使用、生物安全、特种设备、有限空间作业等风险。加强涉及氨、</w:t>
      </w:r>
      <w:r>
        <w:t>苯酚</w:t>
      </w:r>
      <w:r>
        <w:rPr>
          <w:rFonts w:hint="eastAsia"/>
        </w:rPr>
        <w:t>、甲醇、</w:t>
      </w:r>
      <w:r>
        <w:t>丙酮</w:t>
      </w:r>
      <w:r>
        <w:rPr>
          <w:rFonts w:hint="eastAsia"/>
        </w:rPr>
        <w:t>等有毒有害和易燃易爆危险化学品的实验室安全管理，严格落实实验废弃物管理的相关要求。推动医药企业安全生产标准化建设，提升园区一体化应急处置能力。</w:t>
      </w:r>
    </w:p>
    <w:p w14:paraId="01ACF9B4">
      <w:pPr>
        <w:ind w:firstLine="640" w:firstLineChars="200"/>
      </w:pPr>
      <w:r>
        <w:rPr>
          <w:rFonts w:hint="eastAsia"/>
        </w:rPr>
        <w:t>氢能领域：针对氢能示范区制氢、储氢、加氢、用氢全链条，重点防控氢气泄漏、爆炸、火灾等风险。健全氢能安全标准规范和管理制度，加强加氢站、氢运输车辆、氢燃料电池系统安全监管，建设氢能安全监测预警平台，推广氢气泄漏检测、紧急切断、防爆泄爆等技术装备。开展氢能安全风险评估和应急演练，提升氢能事故专业处置能力。</w:t>
      </w:r>
    </w:p>
    <w:p w14:paraId="442436E7">
      <w:pPr>
        <w:ind w:firstLine="640" w:firstLineChars="200"/>
      </w:pPr>
      <w:r>
        <w:rPr>
          <w:rFonts w:hint="eastAsia"/>
        </w:rPr>
        <w:t>数字经济领域：针对数据中心、云计算、人工智能等业态，重点防控电气火灾、网络安全、数据安全等风险。加强大型数据中心消防、供电、制冷系统安全管理，强化关键信息基础设施安全保护，建立健全数据安全管理制度和应急处置机制。</w:t>
      </w:r>
    </w:p>
    <w:p w14:paraId="32AF5B20">
      <w:pPr>
        <w:ind w:firstLine="640" w:firstLineChars="200"/>
      </w:pPr>
      <w:r>
        <w:rPr>
          <w:rFonts w:hint="eastAsia"/>
        </w:rPr>
        <w:t>针对荟聚商务科技集聚区、国家新媒体产业基地、念坛金融商务区等未来的人员密集区域，重点防控大型商业综合体火灾、踩踏、高层建筑消防、地下空间安全等风险；针对京南物流基地大型仓储、冷链物流、电商仓库，重点防控火灾、堆垛坍塌、叉车作业等风险，</w:t>
      </w:r>
      <w:r>
        <w:rPr>
          <w:rFonts w:hint="eastAsia"/>
          <w:lang w:eastAsia="zh-CN"/>
        </w:rPr>
        <w:t>探索并推广</w:t>
      </w:r>
      <w:bookmarkStart w:id="52" w:name="_GoBack"/>
      <w:bookmarkEnd w:id="52"/>
      <w:r>
        <w:rPr>
          <w:rFonts w:hint="eastAsia"/>
        </w:rPr>
        <w:t>智慧仓储安全管理系统。</w:t>
      </w:r>
    </w:p>
    <w:p w14:paraId="7129E034">
      <w:pPr>
        <w:pStyle w:val="4"/>
        <w:rPr>
          <w:rFonts w:hint="eastAsia"/>
          <w:b w:val="0"/>
          <w:bCs w:val="0"/>
        </w:rPr>
      </w:pPr>
      <w:bookmarkStart w:id="18" w:name="_Toc32319"/>
      <w:r>
        <w:rPr>
          <w:rFonts w:hint="eastAsia"/>
          <w:b w:val="0"/>
          <w:bCs w:val="0"/>
        </w:rPr>
        <w:t>2. 深化重点行业领域安全整治</w:t>
      </w:r>
      <w:bookmarkEnd w:id="18"/>
    </w:p>
    <w:p w14:paraId="7FBDF2FD">
      <w:pPr>
        <w:ind w:firstLine="640" w:firstLineChars="200"/>
      </w:pPr>
      <w:r>
        <w:rPr>
          <w:rFonts w:hint="eastAsia"/>
        </w:rPr>
        <w:t>进一步巩固安全生产治本攻坚三年行动成果，聚焦危险化学品、建筑施工、道路交通、燃气、特种设备、有限空间等重点行业领域，持续开展风险隐患排查整治。危险化学品领域，深化</w:t>
      </w:r>
      <w:r>
        <w:rPr>
          <w:rFonts w:hint="eastAsia"/>
          <w:lang w:eastAsia="zh-CN"/>
        </w:rPr>
        <w:t>“工业互联网+危化安全生产”</w:t>
      </w:r>
      <w:r>
        <w:rPr>
          <w:rFonts w:hint="eastAsia"/>
        </w:rPr>
        <w:t>建设，推动重大危险源企业智能化管控升级，加强危险化学品使用、经营、运输、废弃处置全链条监管。建筑施工领域，强化深基坑、起重机械等危大工程安全管控，推行智慧工地和智能化监测，加强限额以下小型工程安全管理。道路交通领域，深化电动自行车违法整治，加强危险货物运输车辆动态监管，推动重点车辆智能监控设备安装应用。城市运行领域，加强燃气、供排水、电力、热力等城市生命线安全管理，推进老化管网更新改造，推广燃气安全型配件和智能监测设备。特种设备领域，强化电梯、压力容器、大型游乐设施等安全监管。</w:t>
      </w:r>
    </w:p>
    <w:p w14:paraId="5F8F2F42">
      <w:pPr>
        <w:pStyle w:val="4"/>
        <w:rPr>
          <w:rFonts w:hint="eastAsia"/>
          <w:b w:val="0"/>
          <w:bCs w:val="0"/>
        </w:rPr>
      </w:pPr>
      <w:bookmarkStart w:id="19" w:name="_Toc25840"/>
      <w:r>
        <w:rPr>
          <w:rFonts w:hint="eastAsia"/>
          <w:b w:val="0"/>
          <w:bCs w:val="0"/>
        </w:rPr>
        <w:t>3. 推动安全监管模式创新</w:t>
      </w:r>
      <w:bookmarkEnd w:id="19"/>
    </w:p>
    <w:p w14:paraId="60A2A27E">
      <w:pPr>
        <w:ind w:firstLine="640" w:firstLineChars="200"/>
      </w:pPr>
      <w:r>
        <w:rPr>
          <w:rFonts w:hint="eastAsia"/>
        </w:rPr>
        <w:t>深化安全生产非现场监管，依托企安安系统推动企业隐患自查自改全覆盖</w:t>
      </w:r>
      <w:r>
        <w:rPr>
          <w:rFonts w:hint="eastAsia"/>
          <w:lang w:eastAsia="zh-CN"/>
        </w:rPr>
        <w:t>。</w:t>
      </w:r>
      <w:r>
        <w:rPr>
          <w:rFonts w:hint="eastAsia"/>
        </w:rPr>
        <w:t>综合运用视频监控、物联感知、AI识别等技术手段，实现风险实时监测、智能预警、远程督办。完善</w:t>
      </w:r>
      <w:r>
        <w:rPr>
          <w:rFonts w:hint="eastAsia"/>
          <w:lang w:eastAsia="zh-CN"/>
        </w:rPr>
        <w:t>“互联网+执法”</w:t>
      </w:r>
      <w:r>
        <w:rPr>
          <w:rFonts w:hint="eastAsia"/>
        </w:rPr>
        <w:t>系统，推行</w:t>
      </w:r>
      <w:r>
        <w:rPr>
          <w:rFonts w:hint="eastAsia"/>
          <w:lang w:eastAsia="zh-CN"/>
        </w:rPr>
        <w:t>“综合查一次”</w:t>
      </w:r>
      <w:r>
        <w:rPr>
          <w:rFonts w:hint="eastAsia"/>
        </w:rPr>
        <w:t>和联合执法，提升执法精准性和有效性。健全重大事故隐患动态清零机制，完善隐患排查、整改、验收闭环管理。严格落实安全生产领域禁限控目录，强化建设项目安全设施</w:t>
      </w:r>
      <w:r>
        <w:rPr>
          <w:rFonts w:hint="eastAsia"/>
          <w:lang w:eastAsia="zh-CN"/>
        </w:rPr>
        <w:t>“三同时”</w:t>
      </w:r>
      <w:r>
        <w:rPr>
          <w:rFonts w:hint="eastAsia"/>
        </w:rPr>
        <w:t>审查，从源头降低安全生产风险。推动安全生产责任保险扩面提质，发挥保险机构事故预防服务作用。</w:t>
      </w:r>
    </w:p>
    <w:p w14:paraId="6E3930C5">
      <w:pPr>
        <w:pStyle w:val="4"/>
        <w:rPr>
          <w:rFonts w:hint="eastAsia"/>
          <w:b w:val="0"/>
          <w:bCs w:val="0"/>
        </w:rPr>
      </w:pPr>
      <w:bookmarkStart w:id="20" w:name="_Toc26950"/>
      <w:r>
        <w:rPr>
          <w:rFonts w:hint="eastAsia"/>
          <w:b w:val="0"/>
          <w:bCs w:val="0"/>
        </w:rPr>
        <w:t>4. 强化城市安全风险评估</w:t>
      </w:r>
      <w:bookmarkEnd w:id="20"/>
    </w:p>
    <w:p w14:paraId="1F41E919">
      <w:pPr>
        <w:ind w:firstLine="640" w:firstLineChars="200"/>
      </w:pPr>
      <w:r>
        <w:rPr>
          <w:rFonts w:hint="eastAsia"/>
        </w:rPr>
        <w:t>定期开展城市安全风险综合评估，更新完善城市安全风险电子地图，实现风险源动态管理。针对产业园区、交通枢纽、人员密集场所、城市基础设施等重点区域开展专项风险评估，落实差异化管控措施。建立重大风险联防联控机制，对跨部门、跨区域、跨行业的重大风险实行清单化管理、挂牌督办。完善安全风险发布和预警机制，及时向社会公众提示风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5BCD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4CAAA57F">
            <w:pPr>
              <w:jc w:val="center"/>
              <w:rPr>
                <w:rFonts w:hint="eastAsia" w:ascii="黑体" w:hAnsi="黑体" w:eastAsia="黑体"/>
                <w:sz w:val="28"/>
                <w:szCs w:val="21"/>
              </w:rPr>
            </w:pPr>
            <w:r>
              <w:rPr>
                <w:rFonts w:hint="eastAsia" w:ascii="黑体" w:hAnsi="黑体" w:eastAsia="黑体"/>
                <w:sz w:val="28"/>
                <w:szCs w:val="21"/>
              </w:rPr>
              <w:t xml:space="preserve">专栏1 </w:t>
            </w:r>
            <w:r>
              <w:rPr>
                <w:rFonts w:ascii="黑体" w:hAnsi="黑体" w:eastAsia="黑体"/>
                <w:sz w:val="28"/>
                <w:szCs w:val="21"/>
              </w:rPr>
              <w:t>产业</w:t>
            </w:r>
            <w:r>
              <w:rPr>
                <w:rFonts w:hint="eastAsia" w:ascii="黑体" w:hAnsi="黑体" w:eastAsia="黑体"/>
                <w:sz w:val="28"/>
                <w:szCs w:val="21"/>
              </w:rPr>
              <w:t>园区</w:t>
            </w:r>
            <w:r>
              <w:rPr>
                <w:rFonts w:ascii="黑体" w:hAnsi="黑体" w:eastAsia="黑体"/>
                <w:sz w:val="28"/>
                <w:szCs w:val="21"/>
              </w:rPr>
              <w:t>安全保障工程</w:t>
            </w:r>
          </w:p>
        </w:tc>
      </w:tr>
      <w:tr w14:paraId="1F00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5E7D530E">
            <w:pPr>
              <w:ind w:firstLine="560" w:firstLineChars="200"/>
              <w:rPr>
                <w:sz w:val="28"/>
                <w:szCs w:val="21"/>
              </w:rPr>
            </w:pPr>
            <w:r>
              <w:rPr>
                <w:rFonts w:hint="eastAsia"/>
                <w:sz w:val="28"/>
                <w:szCs w:val="21"/>
              </w:rPr>
              <w:t>1. 氢能安全防控体系建设。推动建设氢能安全监测预警平台，覆盖加氢站、制氢厂、氢运输车辆等关键节点，配备氢气泄漏检测、紧急切断、视频监控等设备。编制氢能安全应急处置指南，组建氢能专业处置小组，配备专业防护和处置装备。</w:t>
            </w:r>
          </w:p>
          <w:p w14:paraId="518E6093">
            <w:pPr>
              <w:ind w:firstLine="560" w:firstLineChars="200"/>
              <w:rPr>
                <w:sz w:val="28"/>
                <w:szCs w:val="21"/>
              </w:rPr>
            </w:pPr>
            <w:r>
              <w:rPr>
                <w:rFonts w:hint="eastAsia"/>
                <w:sz w:val="28"/>
                <w:szCs w:val="21"/>
              </w:rPr>
              <w:t>2. 生物医药基地安全提升工程。推动生物医药基地实验室危险化学品和生物安全智能化管理，建设园区应急物资储备点，配备专业洗消、侦检、防护装备。定期开展园区安全风险评估。</w:t>
            </w:r>
          </w:p>
          <w:p w14:paraId="1D83713D">
            <w:pPr>
              <w:ind w:firstLine="560" w:firstLineChars="200"/>
              <w:rPr>
                <w:sz w:val="28"/>
                <w:szCs w:val="21"/>
              </w:rPr>
            </w:pPr>
            <w:r>
              <w:rPr>
                <w:rFonts w:hint="eastAsia"/>
                <w:sz w:val="28"/>
                <w:szCs w:val="21"/>
              </w:rPr>
              <w:t>3. 物流仓储消防安全提升。在京南物流基地等大型仓储园区推广智能火灾探测、自动灭火、电气火灾监控系统，推动老旧仓库消防设施改造升级。</w:t>
            </w:r>
          </w:p>
          <w:p w14:paraId="502426AC">
            <w:pPr>
              <w:ind w:firstLine="560" w:firstLineChars="200"/>
              <w:rPr>
                <w:sz w:val="28"/>
                <w:szCs w:val="21"/>
              </w:rPr>
            </w:pPr>
            <w:r>
              <w:rPr>
                <w:rFonts w:hint="eastAsia"/>
                <w:sz w:val="28"/>
                <w:szCs w:val="21"/>
              </w:rPr>
              <w:t>4. 产业园区智慧安全监管。推动</w:t>
            </w:r>
            <w:r>
              <w:rPr>
                <w:sz w:val="28"/>
                <w:szCs w:val="21"/>
              </w:rPr>
              <w:t>商业航天产业基地</w:t>
            </w:r>
            <w:r>
              <w:rPr>
                <w:rFonts w:hint="eastAsia"/>
                <w:sz w:val="28"/>
                <w:szCs w:val="21"/>
              </w:rPr>
              <w:t>、集成电路产业园等重点产业园区建设智慧安全监管平台，整合企业风险隐患、重点部位监控、物联感知数据，实现园区安全风险可视化、智能化管控。</w:t>
            </w:r>
          </w:p>
        </w:tc>
      </w:tr>
    </w:tbl>
    <w:p w14:paraId="26A2F3F3">
      <w:pPr>
        <w:pStyle w:val="3"/>
        <w:rPr>
          <w:rFonts w:hint="eastAsia" w:ascii="楷体_GB2312" w:hAnsi="楷体_GB2312" w:eastAsia="楷体_GB2312" w:cs="楷体_GB2312"/>
          <w:b w:val="0"/>
          <w:bCs w:val="0"/>
        </w:rPr>
      </w:pPr>
      <w:bookmarkStart w:id="21" w:name="_Toc31990"/>
      <w:bookmarkStart w:id="22" w:name="_Toc237361437"/>
      <w:r>
        <w:rPr>
          <w:rFonts w:hint="eastAsia" w:ascii="楷体_GB2312" w:hAnsi="楷体_GB2312" w:eastAsia="楷体_GB2312" w:cs="楷体_GB2312"/>
          <w:b w:val="0"/>
          <w:bCs w:val="0"/>
        </w:rPr>
        <w:t>（三）强化灾害防治体系，提升防灾减灾救灾能力</w:t>
      </w:r>
      <w:bookmarkEnd w:id="21"/>
      <w:bookmarkEnd w:id="22"/>
    </w:p>
    <w:p w14:paraId="608D71B4">
      <w:pPr>
        <w:pStyle w:val="4"/>
        <w:rPr>
          <w:rFonts w:hint="eastAsia"/>
          <w:b w:val="0"/>
          <w:bCs w:val="0"/>
        </w:rPr>
      </w:pPr>
      <w:bookmarkStart w:id="23" w:name="_Toc16892"/>
      <w:r>
        <w:rPr>
          <w:rFonts w:hint="eastAsia"/>
          <w:b w:val="0"/>
          <w:bCs w:val="0"/>
        </w:rPr>
        <w:t>1. 提升自然灾害防治能力</w:t>
      </w:r>
      <w:bookmarkEnd w:id="23"/>
    </w:p>
    <w:p w14:paraId="25F7FF14">
      <w:pPr>
        <w:ind w:firstLine="640" w:firstLineChars="200"/>
      </w:pPr>
      <w:r>
        <w:t>持续健全防汛工作体系。常态化修订各级防汛应急预案，突出前端应急准备和末端应急响应，动态优化防灾避险措施，</w:t>
      </w:r>
      <w:r>
        <w:rPr>
          <w:rFonts w:hint="eastAsia"/>
        </w:rPr>
        <w:t>治理下凹桥、低洼院落、老旧小区等易涝积水点，完善一点一策应急预案和现场处置方案。落实“</w:t>
      </w:r>
      <w:r>
        <w:t>七包七落实</w:t>
      </w:r>
      <w:r>
        <w:rPr>
          <w:rFonts w:hint="eastAsia"/>
        </w:rPr>
        <w:t>”</w:t>
      </w:r>
      <w:r>
        <w:t>和分级包保责任</w:t>
      </w:r>
      <w:r>
        <w:rPr>
          <w:rFonts w:hint="eastAsia"/>
        </w:rPr>
        <w:t>，</w:t>
      </w:r>
      <w:r>
        <w:t>深化重点人群管护机制。健全汛期培训演练、值班值守、宣传动员长效机制，构建全社会联防联控格局。</w:t>
      </w:r>
    </w:p>
    <w:p w14:paraId="4B4B11D1">
      <w:pPr>
        <w:pStyle w:val="4"/>
        <w:rPr>
          <w:rFonts w:hint="eastAsia"/>
          <w:b w:val="0"/>
          <w:bCs w:val="0"/>
        </w:rPr>
      </w:pPr>
      <w:bookmarkStart w:id="24" w:name="_Toc3092"/>
      <w:r>
        <w:rPr>
          <w:rFonts w:hint="eastAsia"/>
          <w:b w:val="0"/>
          <w:bCs w:val="0"/>
        </w:rPr>
        <w:t>2</w:t>
      </w:r>
      <w:r>
        <w:rPr>
          <w:rFonts w:hint="eastAsia"/>
          <w:b w:val="0"/>
          <w:bCs w:val="0"/>
          <w:lang w:eastAsia="zh-CN"/>
        </w:rPr>
        <w:t xml:space="preserve">. </w:t>
      </w:r>
      <w:r>
        <w:rPr>
          <w:rFonts w:hint="eastAsia"/>
          <w:b w:val="0"/>
          <w:bCs w:val="0"/>
        </w:rPr>
        <w:t>加强应急避难场所建设管理</w:t>
      </w:r>
      <w:bookmarkEnd w:id="24"/>
    </w:p>
    <w:p w14:paraId="138CB29F">
      <w:pPr>
        <w:ind w:firstLine="640" w:firstLineChars="200"/>
      </w:pPr>
      <w:r>
        <w:rPr>
          <w:rFonts w:hint="eastAsia"/>
        </w:rPr>
        <w:t>将应急避难场所纳入城市建设规划，结合公园、绿地、广场、学校、体育场馆等公共设施，均衡布局各类应急避难场所。推进应急避难场所标准化建设，完善供水、供电、厕所、标识、物资储备等配套设施，加强日常维护管理。到2030年，人均应急避难场所面积达到1.8平方米以上，每个乡镇（街道）至少有1处综合性应急避难场所，形成布局合理、功能完善、管理规范的应急避难场所体系。</w:t>
      </w:r>
    </w:p>
    <w:p w14:paraId="70D612AA">
      <w:pPr>
        <w:pStyle w:val="4"/>
        <w:rPr>
          <w:rFonts w:hint="eastAsia"/>
          <w:b w:val="0"/>
          <w:bCs w:val="0"/>
        </w:rPr>
      </w:pPr>
      <w:bookmarkStart w:id="25" w:name="_Toc22019"/>
      <w:r>
        <w:rPr>
          <w:rFonts w:hint="eastAsia"/>
          <w:b w:val="0"/>
          <w:bCs w:val="0"/>
        </w:rPr>
        <w:t>3. 提升救灾保障水平</w:t>
      </w:r>
      <w:bookmarkEnd w:id="25"/>
    </w:p>
    <w:p w14:paraId="424A0CFC">
      <w:pPr>
        <w:ind w:firstLine="640" w:firstLineChars="200"/>
      </w:pPr>
      <w:r>
        <w:rPr>
          <w:rFonts w:hint="eastAsia"/>
        </w:rPr>
        <w:t>健全自然灾害救助体系，完善灾情统计报送、核查评估和会商核定机制，加强灾害信息员队伍建设。落实自然灾害救助政策，保障受灾群众基本生活。完善灾后恢复重建机制，统筹做好倒损住房恢复重建、过渡期救助、冬春生活救助等工作。引导企事业单位和家庭储备必要的应急物资，提升全民防灾避险意识和自救互救能力。</w:t>
      </w:r>
    </w:p>
    <w:p w14:paraId="2A60CDFC">
      <w:pPr>
        <w:pStyle w:val="3"/>
        <w:rPr>
          <w:rFonts w:hint="eastAsia" w:ascii="楷体_GB2312" w:hAnsi="楷体_GB2312" w:eastAsia="楷体_GB2312" w:cs="楷体_GB2312"/>
          <w:b w:val="0"/>
          <w:bCs w:val="0"/>
        </w:rPr>
      </w:pPr>
      <w:bookmarkStart w:id="26" w:name="_Toc25736"/>
      <w:bookmarkStart w:id="27" w:name="_Toc237361438"/>
      <w:r>
        <w:rPr>
          <w:rFonts w:hint="eastAsia" w:ascii="楷体_GB2312" w:hAnsi="楷体_GB2312" w:eastAsia="楷体_GB2312" w:cs="楷体_GB2312"/>
          <w:b w:val="0"/>
          <w:bCs w:val="0"/>
        </w:rPr>
        <w:t>（四）加强应急力量建设，提升关键领域应急救援能力</w:t>
      </w:r>
      <w:bookmarkEnd w:id="26"/>
      <w:bookmarkEnd w:id="27"/>
    </w:p>
    <w:p w14:paraId="0F750DB7">
      <w:pPr>
        <w:pStyle w:val="4"/>
        <w:rPr>
          <w:rFonts w:hint="eastAsia"/>
          <w:b w:val="0"/>
          <w:bCs w:val="0"/>
        </w:rPr>
      </w:pPr>
      <w:bookmarkStart w:id="28" w:name="_Toc1328"/>
      <w:r>
        <w:rPr>
          <w:rFonts w:hint="eastAsia"/>
          <w:b w:val="0"/>
          <w:bCs w:val="0"/>
        </w:rPr>
        <w:t>1. 加强应急救援力量建设</w:t>
      </w:r>
      <w:bookmarkEnd w:id="28"/>
    </w:p>
    <w:p w14:paraId="5826C0AC">
      <w:pPr>
        <w:ind w:firstLine="640" w:firstLineChars="200"/>
      </w:pPr>
      <w:r>
        <w:rPr>
          <w:rFonts w:hint="eastAsia"/>
        </w:rPr>
        <w:t>持续强化区级专业应急救援队伍，坚持培育社会应急力量，逐步形成较强的大应急、快响应、硬处置能力。建强区级危险化学品专业救援队伍，重点支持氢能应急救援、生物医药事故救援、物流集聚区应急救援特色队伍建设，实现区域全覆盖、专业全配套。每年开展专业技能培训、比武竞赛、联合演练，配备高性能救援装备，提升复杂条件下攻坚处置能力。社会应急力量规范发展，健全社会应急力量登记备案、分类分级、培训考核、调度使用、保障激励机制。建强应急志愿者队伍，推动志愿者实名注册，实现规范化管理、专业化培训、实战化使用，在风险排查、宣传教育、转移安置、后勤保障等方面发挥重要作用。</w:t>
      </w:r>
    </w:p>
    <w:p w14:paraId="171BFD8C">
      <w:pPr>
        <w:pStyle w:val="4"/>
        <w:rPr>
          <w:rFonts w:hint="eastAsia"/>
          <w:b w:val="0"/>
          <w:bCs w:val="0"/>
        </w:rPr>
      </w:pPr>
      <w:bookmarkStart w:id="29" w:name="_Toc19200"/>
      <w:r>
        <w:rPr>
          <w:rFonts w:hint="eastAsia"/>
          <w:b w:val="0"/>
          <w:bCs w:val="0"/>
        </w:rPr>
        <w:t>2. 加强应急救援物资储备</w:t>
      </w:r>
      <w:bookmarkEnd w:id="29"/>
    </w:p>
    <w:p w14:paraId="6DECB294">
      <w:pPr>
        <w:ind w:firstLine="640" w:firstLineChars="200"/>
      </w:pPr>
      <w:r>
        <w:rPr>
          <w:rFonts w:hint="eastAsia"/>
        </w:rPr>
        <w:t>按照分级储备、合理布局、规模适度、动态更新原则，健全区级、乡镇（街道）、村（社区）三级应急物资储备体系，优化物资储备品种和规模。区级重点保障生活救助、抢险救援、专业处置等物资需求，生活类救灾物资储备规模满足不低于6000人应急生活保障需求并留有冗余。乡镇（街道）和村（社区）重点储备防汛排涝、初期灭火、人员转移、临时安置等常用物资，实现基层物资储备点全覆盖。针对“6+5+3”产业布局风险特点，在临空经济区、生物医药基地、氢能示范区、商业航天基地、物流园区等重点区域储备相对应的应急物资和专业处置器材。创新物资储备方式，完善实物储备、协议储备、产能储备相结合的储备模式，与大型商超、物流企业、生产企业建立应急物资代储和紧急调拨机制。完善应急物资管理信息系统，实现物资台账、位置、数量动态管理和统一调度。健全应急物资紧急运输和配送机制，确保重大突发事件发生后应急物资及时送达现场。</w:t>
      </w:r>
    </w:p>
    <w:p w14:paraId="2D969678">
      <w:pPr>
        <w:pStyle w:val="4"/>
        <w:rPr>
          <w:rFonts w:hint="eastAsia"/>
          <w:b w:val="0"/>
          <w:bCs w:val="0"/>
        </w:rPr>
      </w:pPr>
      <w:bookmarkStart w:id="30" w:name="_Toc7402"/>
      <w:r>
        <w:rPr>
          <w:rFonts w:hint="eastAsia"/>
          <w:b w:val="0"/>
          <w:bCs w:val="0"/>
        </w:rPr>
        <w:t>3. 强化应急救援装备配备</w:t>
      </w:r>
      <w:bookmarkEnd w:id="30"/>
    </w:p>
    <w:p w14:paraId="46F4D4EF">
      <w:pPr>
        <w:ind w:firstLine="640" w:firstLineChars="200"/>
      </w:pPr>
      <w:r>
        <w:rPr>
          <w:rFonts w:hint="eastAsia"/>
        </w:rPr>
        <w:t>针对大兴区灾害事故特点和应急救援需求，按照实用管用、适度超前原则，加强应急救援装备配备。重点配备应急指挥、通信保障、抢险救援、危险化学品处置、防汛排涝、个人防护等装备。在危险化学品和氢能事故处置方面，配备防化洗消、侦检堵漏、防爆输转、正压防护等专业装备；在防汛排涝方面，配备大流量排水泵、冲锋舟、橡皮艇、救生器材等装备；在建筑坍塌方面，配备生命探测、破拆顶升、支撑支护等装备。为基层应急队伍配备轻便实用、易于操作的应急装备，提升先期处置能力。加强装备日常管理和维护保养，定期开展装备操作培训和实战演练，确保装备完好可用。推动应急装备现代化、智能化、轻型化。推广应用救援机器人、智能防护装备等先进适用装备。</w:t>
      </w:r>
    </w:p>
    <w:p w14:paraId="29ACBF41">
      <w:pPr>
        <w:pStyle w:val="4"/>
        <w:rPr>
          <w:rFonts w:hint="eastAsia"/>
          <w:b w:val="0"/>
          <w:bCs w:val="0"/>
        </w:rPr>
      </w:pPr>
      <w:bookmarkStart w:id="31" w:name="_Toc11529"/>
      <w:r>
        <w:rPr>
          <w:rFonts w:hint="eastAsia"/>
          <w:b w:val="0"/>
          <w:bCs w:val="0"/>
        </w:rPr>
        <w:t>4. 提升应急训练演练水平</w:t>
      </w:r>
      <w:bookmarkEnd w:id="31"/>
    </w:p>
    <w:p w14:paraId="012553CB">
      <w:pPr>
        <w:ind w:firstLine="640" w:firstLineChars="200"/>
      </w:pPr>
      <w:r>
        <w:rPr>
          <w:rFonts w:hint="eastAsia"/>
        </w:rPr>
        <w:t>依托企业训练基地和社会资源，开展专业化、实战化训练。加强应急指挥人员、救援队伍、基层干部培训，提升指挥决策和实战处置能力。针对典型灾害事故场景，组织开展跨部门、跨区域联合应急演练，提升协同作战能力。建立应急演练评估机制，通过演练检验预案、锻炼队伍、磨合机制、完善准备</w:t>
      </w:r>
      <w:r>
        <w:rPr>
          <w:rFonts w:hint="eastAsia"/>
          <w:lang w:eastAsia="zh-CN"/>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6D18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20" w:type="dxa"/>
          </w:tcPr>
          <w:p w14:paraId="3F22ADCF">
            <w:pPr>
              <w:jc w:val="center"/>
              <w:rPr>
                <w:rFonts w:hint="eastAsia" w:ascii="黑体" w:hAnsi="黑体" w:eastAsia="黑体"/>
                <w:sz w:val="28"/>
                <w:szCs w:val="21"/>
              </w:rPr>
            </w:pPr>
            <w:r>
              <w:rPr>
                <w:rFonts w:hint="eastAsia" w:ascii="黑体" w:hAnsi="黑体" w:eastAsia="黑体"/>
                <w:sz w:val="28"/>
                <w:szCs w:val="21"/>
              </w:rPr>
              <w:t>专栏2 危险化学品</w:t>
            </w:r>
            <w:r>
              <w:rPr>
                <w:rFonts w:ascii="黑体" w:hAnsi="黑体" w:eastAsia="黑体"/>
                <w:sz w:val="28"/>
                <w:szCs w:val="21"/>
              </w:rPr>
              <w:t>应急救援</w:t>
            </w:r>
            <w:r>
              <w:rPr>
                <w:rFonts w:hint="eastAsia" w:ascii="黑体" w:hAnsi="黑体" w:eastAsia="黑体"/>
                <w:sz w:val="28"/>
                <w:szCs w:val="21"/>
              </w:rPr>
              <w:t>能力</w:t>
            </w:r>
            <w:r>
              <w:rPr>
                <w:rFonts w:ascii="黑体" w:hAnsi="黑体" w:eastAsia="黑体"/>
                <w:sz w:val="28"/>
                <w:szCs w:val="21"/>
              </w:rPr>
              <w:t>提升工程</w:t>
            </w:r>
          </w:p>
        </w:tc>
      </w:tr>
      <w:tr w14:paraId="5431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20" w:type="dxa"/>
          </w:tcPr>
          <w:p w14:paraId="1D005EB4">
            <w:pPr>
              <w:ind w:firstLine="560" w:firstLineChars="200"/>
              <w:rPr>
                <w:sz w:val="28"/>
                <w:szCs w:val="21"/>
              </w:rPr>
            </w:pPr>
            <w:r>
              <w:rPr>
                <w:sz w:val="28"/>
                <w:szCs w:val="21"/>
              </w:rPr>
              <w:t>依托区内重点危化相关企业（生物医药基地企业、氢能示范区</w:t>
            </w:r>
            <w:r>
              <w:rPr>
                <w:rFonts w:hint="eastAsia"/>
                <w:sz w:val="28"/>
                <w:szCs w:val="21"/>
              </w:rPr>
              <w:t>、集成电路产业园、</w:t>
            </w:r>
            <w:r>
              <w:rPr>
                <w:sz w:val="28"/>
                <w:szCs w:val="21"/>
              </w:rPr>
              <w:t>商业航天产业基地企业及其他危化品生产、</w:t>
            </w:r>
            <w:r>
              <w:rPr>
                <w:rFonts w:hint="eastAsia"/>
                <w:sz w:val="28"/>
                <w:szCs w:val="21"/>
              </w:rPr>
              <w:t>使用、</w:t>
            </w:r>
            <w:r>
              <w:rPr>
                <w:sz w:val="28"/>
                <w:szCs w:val="21"/>
              </w:rPr>
              <w:t>储存、运输企业）的专业力量、场地设施和部分资源，共同组建一支“专常兼备、反应灵敏、作风过硬、本领高强”的区级危险化学品专业应急救援队伍，为队伍配备大型化学事故抢险救援消防车、防化洗消车、大流量泡沫/干粉消防车、防爆侦检车、器材运输保障车、指挥通讯车、个人防护装备、侦检监测设备、堵漏输转设备、灭火设备、洗消设备、医疗急救装备、通信指挥设备、氢能专用模块等。承担大兴区行政区域内发生的危险化学品生产安全事故（火灾、爆炸、泄漏、中毒等），以及涉及危险化学品的交通、物流等次生、衍生事故的专业化应急救援处置任务，重点攻坚急难险重的复杂危化品事故。服务范围覆盖大兴区行政区域，重点保障生物医药基地、氢能示范区、物流基地、</w:t>
            </w:r>
            <w:r>
              <w:rPr>
                <w:rFonts w:hint="eastAsia"/>
                <w:sz w:val="28"/>
                <w:szCs w:val="21"/>
              </w:rPr>
              <w:t>集成电路产业园</w:t>
            </w:r>
            <w:r>
              <w:rPr>
                <w:sz w:val="28"/>
                <w:szCs w:val="21"/>
              </w:rPr>
              <w:t>及其他危化品相关企业聚集区。</w:t>
            </w:r>
          </w:p>
        </w:tc>
      </w:tr>
    </w:tbl>
    <w:p w14:paraId="42A5D981">
      <w:pPr>
        <w:pStyle w:val="3"/>
        <w:rPr>
          <w:rFonts w:hint="eastAsia" w:ascii="楷体_GB2312" w:hAnsi="楷体_GB2312" w:eastAsia="楷体_GB2312" w:cs="楷体_GB2312"/>
          <w:b w:val="0"/>
          <w:bCs w:val="0"/>
        </w:rPr>
      </w:pPr>
      <w:bookmarkStart w:id="32" w:name="_Toc23361"/>
      <w:bookmarkStart w:id="33" w:name="_Toc237361439"/>
      <w:r>
        <w:rPr>
          <w:rFonts w:hint="eastAsia" w:ascii="楷体_GB2312" w:hAnsi="楷体_GB2312" w:eastAsia="楷体_GB2312" w:cs="楷体_GB2312"/>
          <w:b w:val="0"/>
          <w:bCs w:val="0"/>
        </w:rPr>
        <w:t>（五）推进韧性城市建设，提升基础设施本质安全水平</w:t>
      </w:r>
      <w:bookmarkEnd w:id="32"/>
      <w:bookmarkEnd w:id="33"/>
    </w:p>
    <w:p w14:paraId="1D1272FA">
      <w:pPr>
        <w:pStyle w:val="4"/>
        <w:rPr>
          <w:rFonts w:hint="eastAsia"/>
          <w:b w:val="0"/>
          <w:bCs w:val="0"/>
        </w:rPr>
      </w:pPr>
      <w:bookmarkStart w:id="34" w:name="_Toc9290"/>
      <w:r>
        <w:rPr>
          <w:rFonts w:hint="eastAsia"/>
          <w:b w:val="0"/>
          <w:bCs w:val="0"/>
        </w:rPr>
        <w:t>1. 落实韧性城市建设要求</w:t>
      </w:r>
      <w:bookmarkEnd w:id="34"/>
    </w:p>
    <w:p w14:paraId="3B5E1BBE">
      <w:pPr>
        <w:ind w:firstLine="640" w:firstLineChars="200"/>
      </w:pPr>
      <w:r>
        <w:rPr>
          <w:rFonts w:hint="eastAsia"/>
        </w:rPr>
        <w:t>深入落实北京市韧性城市建设部署和专项规划，围绕应急指挥、应急通信、应急供水、应急能源、应急抢修、应急避难、应急医疗、平急两用、应急物资、应急交通等十个一要求，因地制宜推进大兴区韧性城市三大组团建设，补齐韧性设施短板。推动韧性城市建设与城市更新、老旧小区改造、重点功能区建设有机结合，提升城市基础设施抗灾能力和快速恢复能力。</w:t>
      </w:r>
    </w:p>
    <w:p w14:paraId="423A6ADB">
      <w:pPr>
        <w:pStyle w:val="4"/>
        <w:rPr>
          <w:rFonts w:hint="eastAsia"/>
          <w:b w:val="0"/>
          <w:bCs w:val="0"/>
        </w:rPr>
      </w:pPr>
      <w:bookmarkStart w:id="35" w:name="_Toc16334"/>
      <w:r>
        <w:rPr>
          <w:rFonts w:hint="eastAsia"/>
          <w:b w:val="0"/>
          <w:bCs w:val="0"/>
        </w:rPr>
        <w:t>2. 提升城市生命线安全水平</w:t>
      </w:r>
      <w:bookmarkEnd w:id="35"/>
    </w:p>
    <w:p w14:paraId="459A2588">
      <w:pPr>
        <w:ind w:firstLine="640" w:firstLineChars="200"/>
      </w:pPr>
      <w:r>
        <w:rPr>
          <w:rFonts w:hint="eastAsia"/>
        </w:rPr>
        <w:t>加强燃气、供排水、电力、热力、通信等城市生命线工程安全管理，推进老化管网更新改造和隐患治理。强化燃气安全管理，推进燃气安全型配件安装和智能燃气表更换，加强餐饮场所等燃气使用重点单位安全检查，整治燃气管道占压、违规施工等问题。加强排水设施建设和运行管理，提升城市排涝能力。强化电力设施安全防护，提升重要区域、重要用户应急供电保障能力。</w:t>
      </w:r>
    </w:p>
    <w:p w14:paraId="413337AE">
      <w:pPr>
        <w:pStyle w:val="4"/>
        <w:rPr>
          <w:rFonts w:hint="eastAsia"/>
          <w:b w:val="0"/>
          <w:bCs w:val="0"/>
        </w:rPr>
      </w:pPr>
      <w:bookmarkStart w:id="36" w:name="_Toc29784"/>
      <w:r>
        <w:rPr>
          <w:rFonts w:hint="eastAsia"/>
          <w:b w:val="0"/>
          <w:bCs w:val="0"/>
        </w:rPr>
        <w:t>3. 强化重要基础设施本质安全</w:t>
      </w:r>
      <w:bookmarkEnd w:id="36"/>
    </w:p>
    <w:p w14:paraId="549AF204">
      <w:pPr>
        <w:ind w:firstLine="640" w:firstLineChars="200"/>
      </w:pPr>
      <w:r>
        <w:rPr>
          <w:rFonts w:hint="eastAsia"/>
        </w:rPr>
        <w:t>提升交通、水利、能源、通信、市政等重要基础设施抗灾设防标准，加强关键设施冗余备份和应急保障能力建设。针对大兴国际机场、轨道交通、大型桥梁、重要水厂、变电站、通信枢纽等关键设施，完善突发事件应急预案和应急保障方案，加强安全防护和应急演练。推进重要基础设施安全监测系统建设，提升设施运行状态感知和风险预警能力。</w:t>
      </w:r>
    </w:p>
    <w:p w14:paraId="2A2ACC19">
      <w:pPr>
        <w:pStyle w:val="4"/>
        <w:rPr>
          <w:rFonts w:hint="eastAsia"/>
          <w:b w:val="0"/>
          <w:bCs w:val="0"/>
        </w:rPr>
      </w:pPr>
      <w:bookmarkStart w:id="37" w:name="_Toc16551"/>
      <w:r>
        <w:rPr>
          <w:rFonts w:hint="eastAsia"/>
          <w:b w:val="0"/>
          <w:bCs w:val="0"/>
        </w:rPr>
        <w:t>4. 提升平急转换能力</w:t>
      </w:r>
      <w:bookmarkEnd w:id="37"/>
    </w:p>
    <w:p w14:paraId="40EB7823">
      <w:pPr>
        <w:ind w:firstLine="640" w:firstLineChars="200"/>
      </w:pPr>
      <w:r>
        <w:rPr>
          <w:rFonts w:hint="eastAsia"/>
        </w:rPr>
        <w:t>完善大型公共设施平急两用改造机制，推动体育场馆、会展中心、学校、宾馆等公共建筑预留应急功能接口，在突发事件发生时可快速转换为应急避难、医疗救治、物资中转等场所。建立健全平急转换预案和启用机制，明确转换流程、责任主体和保障措施。加强应急医疗救治能力储备，提升突发事件医疗救治保障能力。</w:t>
      </w:r>
    </w:p>
    <w:p w14:paraId="083ED749">
      <w:pPr>
        <w:pStyle w:val="4"/>
        <w:rPr>
          <w:rFonts w:hint="eastAsia"/>
          <w:b w:val="0"/>
          <w:bCs w:val="0"/>
        </w:rPr>
      </w:pPr>
      <w:bookmarkStart w:id="38" w:name="_Toc24674"/>
      <w:r>
        <w:rPr>
          <w:rFonts w:hint="eastAsia"/>
          <w:b w:val="0"/>
          <w:bCs w:val="0"/>
        </w:rPr>
        <w:t>5. 加强重点功能区安全韧性建设</w:t>
      </w:r>
      <w:bookmarkEnd w:id="38"/>
    </w:p>
    <w:p w14:paraId="62B576F7">
      <w:pPr>
        <w:ind w:firstLine="640" w:firstLineChars="200"/>
      </w:pPr>
      <w:r>
        <w:rPr>
          <w:rFonts w:hint="eastAsia"/>
        </w:rPr>
        <w:t>围绕临空经济区、生物医药基地、氢能示范区、商业航天基地等重点功能区，统筹推进安全韧性设施建设，提升区域整体防灾减灾和应急处置能力。推动重点园区建设专职应急救援队伍、物资储备站点和应急避难场所，实现安全风险联防联控、应急资源共建共享。结合花园城市永定湾、大兴国际旅游度假区等重点区域建设，同步规划建设安全应急和韧性设施。</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0929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06B9D6AC">
            <w:pPr>
              <w:jc w:val="center"/>
              <w:rPr>
                <w:rFonts w:hint="eastAsia" w:ascii="黑体" w:hAnsi="黑体" w:eastAsia="黑体"/>
                <w:sz w:val="28"/>
                <w:szCs w:val="21"/>
              </w:rPr>
            </w:pPr>
            <w:r>
              <w:rPr>
                <w:rFonts w:hint="eastAsia" w:ascii="黑体" w:hAnsi="黑体" w:eastAsia="黑体"/>
                <w:sz w:val="28"/>
                <w:szCs w:val="21"/>
              </w:rPr>
              <w:t>专栏3</w:t>
            </w:r>
            <w:r>
              <w:rPr>
                <w:rFonts w:ascii="黑体" w:hAnsi="黑体" w:eastAsia="黑体"/>
                <w:sz w:val="28"/>
                <w:szCs w:val="21"/>
              </w:rPr>
              <w:t xml:space="preserve"> 韧性城市与基础设施安全工程</w:t>
            </w:r>
          </w:p>
        </w:tc>
      </w:tr>
      <w:tr w14:paraId="5C5B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20" w:type="dxa"/>
          </w:tcPr>
          <w:p w14:paraId="4276302E">
            <w:pPr>
              <w:ind w:firstLine="560" w:firstLineChars="200"/>
              <w:rPr>
                <w:sz w:val="28"/>
                <w:szCs w:val="21"/>
              </w:rPr>
            </w:pPr>
            <w:r>
              <w:rPr>
                <w:rFonts w:hint="eastAsia"/>
                <w:sz w:val="28"/>
                <w:szCs w:val="21"/>
              </w:rPr>
              <w:t>1. 城市生命线安全监测。推动建设区级城市生命线安全运行监测平台，对燃气、供排水、热力等重点管网和桥梁、隧道等重要设施部署物联感知设备，实现风险智能识别和预警。</w:t>
            </w:r>
          </w:p>
          <w:p w14:paraId="69D8AF29">
            <w:pPr>
              <w:ind w:firstLine="560" w:firstLineChars="200"/>
              <w:rPr>
                <w:sz w:val="28"/>
                <w:szCs w:val="21"/>
              </w:rPr>
            </w:pPr>
            <w:r>
              <w:rPr>
                <w:rFonts w:hint="eastAsia"/>
                <w:sz w:val="28"/>
                <w:szCs w:val="21"/>
              </w:rPr>
              <w:t>2. 重要设施本质安全提升。对重点水厂、变电站、燃气场站、通信枢纽等重要基础设施开展安全评估和抗灾能力提升，完善备用电源、应急通信、冗余备份等保障措施。</w:t>
            </w:r>
          </w:p>
          <w:p w14:paraId="20E6BB43">
            <w:pPr>
              <w:ind w:firstLine="560" w:firstLineChars="200"/>
              <w:rPr>
                <w:sz w:val="28"/>
                <w:szCs w:val="21"/>
              </w:rPr>
            </w:pPr>
            <w:r>
              <w:rPr>
                <w:rFonts w:hint="eastAsia"/>
                <w:sz w:val="28"/>
                <w:szCs w:val="21"/>
              </w:rPr>
              <w:t>3. 平急两用设施建设。推动一批大型公共建筑按照平急两用要求预留应急功能接口，建设或改造1-2处区级平急两用应急保障基地。</w:t>
            </w:r>
          </w:p>
        </w:tc>
      </w:tr>
    </w:tbl>
    <w:p w14:paraId="4ED5B2E9">
      <w:pPr>
        <w:pStyle w:val="3"/>
        <w:rPr>
          <w:rFonts w:hint="eastAsia" w:ascii="楷体_GB2312" w:hAnsi="楷体_GB2312" w:eastAsia="楷体_GB2312" w:cs="楷体_GB2312"/>
          <w:b w:val="0"/>
          <w:bCs w:val="0"/>
        </w:rPr>
      </w:pPr>
      <w:bookmarkStart w:id="39" w:name="_Toc237361440"/>
      <w:bookmarkStart w:id="40" w:name="_Toc27628"/>
      <w:r>
        <w:rPr>
          <w:rFonts w:hint="eastAsia" w:ascii="楷体_GB2312" w:hAnsi="楷体_GB2312" w:eastAsia="楷体_GB2312" w:cs="楷体_GB2312"/>
          <w:b w:val="0"/>
          <w:bCs w:val="0"/>
        </w:rPr>
        <w:t>（六）强化科技人才支撑，提升全域智慧应急水平</w:t>
      </w:r>
      <w:bookmarkEnd w:id="39"/>
      <w:bookmarkEnd w:id="40"/>
    </w:p>
    <w:p w14:paraId="4EBF1F46">
      <w:pPr>
        <w:pStyle w:val="4"/>
        <w:rPr>
          <w:rFonts w:hint="eastAsia"/>
          <w:b w:val="0"/>
          <w:bCs w:val="0"/>
        </w:rPr>
      </w:pPr>
      <w:bookmarkStart w:id="41" w:name="_Toc24329"/>
      <w:r>
        <w:rPr>
          <w:rFonts w:hint="eastAsia"/>
          <w:b w:val="0"/>
          <w:bCs w:val="0"/>
        </w:rPr>
        <w:t>1. 建设智慧应急数据底座</w:t>
      </w:r>
      <w:bookmarkEnd w:id="41"/>
    </w:p>
    <w:p w14:paraId="260F0744">
      <w:pPr>
        <w:ind w:firstLine="640" w:firstLineChars="200"/>
      </w:pPr>
      <w:r>
        <w:rPr>
          <w:rFonts w:hint="eastAsia"/>
        </w:rPr>
        <w:t>推动建设区级应急管理数据平台，形成统一的应急数据资源池。依托城市大脑，构建应急管理一张图，汇聚风险源、防护目标、救援力量、物资装备、避难场所、基础设施等空间数据，实现应急资源可视化管理。推动建立数据共享机制，实现跨部门、跨层级数据互联互通和业务协同。</w:t>
      </w:r>
    </w:p>
    <w:p w14:paraId="739C696B">
      <w:pPr>
        <w:pStyle w:val="4"/>
        <w:rPr>
          <w:rFonts w:hint="eastAsia"/>
          <w:b w:val="0"/>
          <w:bCs w:val="0"/>
        </w:rPr>
      </w:pPr>
      <w:bookmarkStart w:id="42" w:name="_Toc693"/>
      <w:r>
        <w:rPr>
          <w:rFonts w:hint="eastAsia"/>
          <w:b w:val="0"/>
          <w:bCs w:val="0"/>
        </w:rPr>
        <w:t>2. 提升监测预警智能化水平</w:t>
      </w:r>
      <w:bookmarkEnd w:id="42"/>
    </w:p>
    <w:p w14:paraId="14773799">
      <w:pPr>
        <w:ind w:firstLine="640" w:firstLineChars="200"/>
      </w:pPr>
      <w:r>
        <w:rPr>
          <w:rFonts w:hint="eastAsia"/>
        </w:rPr>
        <w:t>推动危险化学品、燃气、有限空间等重点领域物联感知设备部署，实现风险实时监测。运用人工智能、大数据分析技术，建设灾害事故智能预警模型，提升风险识别、趋势研判和预警发布精准度。完善预警信息发布系统，整合短信、电视、广播、新媒体、应急广播等发布渠道，实现预警信息快速、精准、靶向发布，提升对重点区域、重点人群的覆盖能力。</w:t>
      </w:r>
    </w:p>
    <w:p w14:paraId="7487C659">
      <w:pPr>
        <w:pStyle w:val="4"/>
        <w:rPr>
          <w:rFonts w:hint="eastAsia"/>
          <w:b w:val="0"/>
          <w:bCs w:val="0"/>
        </w:rPr>
      </w:pPr>
      <w:bookmarkStart w:id="43" w:name="_Toc9753"/>
      <w:r>
        <w:rPr>
          <w:rFonts w:hint="eastAsia"/>
          <w:b w:val="0"/>
          <w:bCs w:val="0"/>
        </w:rPr>
        <w:t>3. 强化数智应急科技支撑</w:t>
      </w:r>
      <w:bookmarkEnd w:id="43"/>
    </w:p>
    <w:p w14:paraId="36138BEE">
      <w:pPr>
        <w:ind w:firstLine="640" w:firstLineChars="200"/>
      </w:pPr>
      <w:r>
        <w:rPr>
          <w:rFonts w:hint="eastAsia"/>
        </w:rPr>
        <w:t>推动开发灾害事故辅助决策系统，实现态势研判、力量调度、物资调配、疏散路线规划等智能辅助。推广机器人、智能穿戴设备在应急救援中的应用，提升现场侦察、危险作业、人员搜救等能力。依托大兴区高校、科研院所和科技企业资源，推动应急管理领域科技创新和成果转化，鼓励研发推广应用先进安全应急装备和技术。</w:t>
      </w:r>
    </w:p>
    <w:p w14:paraId="40C8B126">
      <w:pPr>
        <w:pStyle w:val="4"/>
        <w:rPr>
          <w:rFonts w:hint="eastAsia"/>
          <w:b w:val="0"/>
          <w:bCs w:val="0"/>
        </w:rPr>
      </w:pPr>
      <w:bookmarkStart w:id="44" w:name="_Toc16486"/>
      <w:r>
        <w:rPr>
          <w:rFonts w:hint="eastAsia"/>
          <w:b w:val="0"/>
          <w:bCs w:val="0"/>
        </w:rPr>
        <w:t>4. 加强应急人才队伍建设</w:t>
      </w:r>
      <w:bookmarkEnd w:id="44"/>
    </w:p>
    <w:p w14:paraId="76680EEB">
      <w:pPr>
        <w:ind w:firstLine="640" w:firstLineChars="200"/>
      </w:pPr>
      <w:r>
        <w:rPr>
          <w:rFonts w:hint="eastAsia"/>
        </w:rPr>
        <w:t>开展应急管理干部大培训大练兵，提升专业素养和履职能力。加强注册安全工程师、注册消防工程师等专业人才培养使用，充实基层和重点企业安全管理力量。</w:t>
      </w:r>
      <w:r>
        <w:t>加强高危行业领域生产经营单位主要负责人和从业人员安全生产培训，探索建立从业人员安全准入和退出机制。</w:t>
      </w:r>
      <w:r>
        <w:rPr>
          <w:rFonts w:hint="eastAsia"/>
        </w:rPr>
        <w:t>完善应急专家库建设，健全专家咨询和技术支撑机制。</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624F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2A7A366E">
            <w:pPr>
              <w:jc w:val="center"/>
              <w:rPr>
                <w:rFonts w:hint="eastAsia" w:ascii="黑体" w:hAnsi="黑体" w:eastAsia="黑体"/>
                <w:sz w:val="28"/>
                <w:szCs w:val="21"/>
              </w:rPr>
            </w:pPr>
            <w:r>
              <w:rPr>
                <w:rFonts w:ascii="黑体" w:hAnsi="黑体" w:eastAsia="黑体"/>
                <w:sz w:val="28"/>
                <w:szCs w:val="21"/>
              </w:rPr>
              <w:t>专栏</w:t>
            </w:r>
            <w:r>
              <w:rPr>
                <w:rFonts w:hint="eastAsia" w:ascii="黑体" w:hAnsi="黑体" w:eastAsia="黑体"/>
                <w:sz w:val="28"/>
                <w:szCs w:val="21"/>
              </w:rPr>
              <w:t>4</w:t>
            </w:r>
            <w:r>
              <w:rPr>
                <w:rFonts w:ascii="黑体" w:hAnsi="黑体" w:eastAsia="黑体"/>
                <w:sz w:val="28"/>
                <w:szCs w:val="21"/>
              </w:rPr>
              <w:t xml:space="preserve"> 智慧应急建设工程</w:t>
            </w:r>
          </w:p>
        </w:tc>
      </w:tr>
      <w:tr w14:paraId="52B0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4339A95D">
            <w:pPr>
              <w:ind w:firstLine="560" w:firstLineChars="200"/>
              <w:rPr>
                <w:sz w:val="28"/>
                <w:szCs w:val="21"/>
              </w:rPr>
            </w:pPr>
            <w:r>
              <w:rPr>
                <w:rFonts w:hint="eastAsia"/>
                <w:sz w:val="28"/>
                <w:szCs w:val="21"/>
              </w:rPr>
              <w:t>1. 智能监测预警网络建设工程。在危险化学品、燃气、内涝、有限空间等重点领域部署物联感知和监控设备，推动建设统一的智能监测预警平台，实现风险智能识别和自动预警。</w:t>
            </w:r>
          </w:p>
          <w:p w14:paraId="2321A849">
            <w:pPr>
              <w:ind w:firstLine="560" w:firstLineChars="200"/>
              <w:rPr>
                <w:sz w:val="28"/>
                <w:szCs w:val="21"/>
              </w:rPr>
            </w:pPr>
            <w:r>
              <w:rPr>
                <w:rFonts w:hint="eastAsia"/>
                <w:sz w:val="28"/>
                <w:szCs w:val="21"/>
              </w:rPr>
              <w:t>2. 应急指挥智能化工程。升级应急指挥平台，完善</w:t>
            </w:r>
            <w:r>
              <w:rPr>
                <w:sz w:val="28"/>
                <w:szCs w:val="21"/>
              </w:rPr>
              <w:t>平台分析研判与应急演练基础支撑条件</w:t>
            </w:r>
            <w:r>
              <w:rPr>
                <w:rFonts w:hint="eastAsia"/>
                <w:sz w:val="28"/>
                <w:szCs w:val="21"/>
              </w:rPr>
              <w:t>，配备应急通信、移动指挥等装备，提升现场指挥和科技救援能力。</w:t>
            </w:r>
          </w:p>
          <w:p w14:paraId="1E485F22">
            <w:pPr>
              <w:ind w:firstLine="560" w:firstLineChars="200"/>
              <w:rPr>
                <w:sz w:val="28"/>
                <w:szCs w:val="21"/>
              </w:rPr>
            </w:pPr>
            <w:r>
              <w:rPr>
                <w:rFonts w:hint="eastAsia"/>
                <w:sz w:val="28"/>
                <w:szCs w:val="21"/>
              </w:rPr>
              <w:t>3. 应急科技应用示范。在氢能安全、城市生命线等领域开展智慧应急应用试点，推动新技术新产品在应急管理领域落地应用。</w:t>
            </w:r>
          </w:p>
        </w:tc>
      </w:tr>
    </w:tbl>
    <w:p w14:paraId="286FAF97">
      <w:pPr>
        <w:pStyle w:val="3"/>
        <w:rPr>
          <w:rFonts w:hint="eastAsia" w:ascii="楷体_GB2312" w:hAnsi="楷体_GB2312" w:eastAsia="楷体_GB2312" w:cs="楷体_GB2312"/>
          <w:b w:val="0"/>
          <w:bCs w:val="0"/>
        </w:rPr>
      </w:pPr>
      <w:bookmarkStart w:id="45" w:name="_Toc237361441"/>
      <w:bookmarkStart w:id="46" w:name="_Toc5383"/>
      <w:r>
        <w:rPr>
          <w:rFonts w:hint="eastAsia" w:ascii="楷体_GB2312" w:hAnsi="楷体_GB2312" w:eastAsia="楷体_GB2312" w:cs="楷体_GB2312"/>
          <w:b w:val="0"/>
          <w:bCs w:val="0"/>
        </w:rPr>
        <w:t>（七）提升基层应急能力，持续加强全民安全教育</w:t>
      </w:r>
      <w:bookmarkEnd w:id="45"/>
      <w:bookmarkEnd w:id="46"/>
    </w:p>
    <w:p w14:paraId="1D327488">
      <w:pPr>
        <w:pStyle w:val="4"/>
        <w:rPr>
          <w:rFonts w:hint="eastAsia"/>
          <w:b w:val="0"/>
          <w:bCs w:val="0"/>
        </w:rPr>
      </w:pPr>
      <w:bookmarkStart w:id="47" w:name="_Toc22966"/>
      <w:r>
        <w:rPr>
          <w:rFonts w:hint="eastAsia"/>
          <w:b w:val="0"/>
          <w:bCs w:val="0"/>
        </w:rPr>
        <w:t>1. 健全基层应急组织体系</w:t>
      </w:r>
      <w:bookmarkEnd w:id="47"/>
    </w:p>
    <w:p w14:paraId="4370E89F">
      <w:pPr>
        <w:ind w:firstLine="640" w:firstLineChars="200"/>
      </w:pPr>
      <w:r>
        <w:t>健全基层应急管理机制。推动完善乡镇（街道）应急管理工作组织体系，</w:t>
      </w:r>
      <w:r>
        <w:rPr>
          <w:rFonts w:hint="eastAsia"/>
        </w:rPr>
        <w:t>配齐配强工作人员，明确值班值守、信息报告、先期处置、转移安置等职责。加强基层干部应急管理能力建设，落实</w:t>
      </w:r>
      <w:r>
        <w:t>乡镇（街道）干部</w:t>
      </w:r>
      <w:r>
        <w:rPr>
          <w:rFonts w:hint="eastAsia"/>
        </w:rPr>
        <w:t>定期</w:t>
      </w:r>
      <w:r>
        <w:t>培训</w:t>
      </w:r>
      <w:r>
        <w:rPr>
          <w:rFonts w:hint="eastAsia"/>
        </w:rPr>
        <w:t>和</w:t>
      </w:r>
      <w:r>
        <w:t>村（社区）“两委”及专职工作者全员轮训</w:t>
      </w:r>
      <w:r>
        <w:rPr>
          <w:rFonts w:hint="eastAsia"/>
        </w:rPr>
        <w:t>，规范基层应急预案编制和演练，提升基层应急响应和处置能力。</w:t>
      </w:r>
    </w:p>
    <w:p w14:paraId="45BD7AFA">
      <w:pPr>
        <w:pStyle w:val="4"/>
        <w:rPr>
          <w:rFonts w:hint="eastAsia"/>
          <w:b w:val="0"/>
          <w:bCs w:val="0"/>
        </w:rPr>
      </w:pPr>
      <w:bookmarkStart w:id="48" w:name="_Toc31839"/>
      <w:r>
        <w:rPr>
          <w:rFonts w:hint="eastAsia"/>
          <w:b w:val="0"/>
          <w:bCs w:val="0"/>
        </w:rPr>
        <w:t>2. 加强基层应急力量建设</w:t>
      </w:r>
      <w:bookmarkEnd w:id="48"/>
    </w:p>
    <w:p w14:paraId="72DC835D">
      <w:pPr>
        <w:ind w:firstLine="640" w:firstLineChars="200"/>
      </w:pPr>
      <w:r>
        <w:rPr>
          <w:rFonts w:hint="eastAsia"/>
        </w:rPr>
        <w:t>鼓励有条件的</w:t>
      </w:r>
      <w:r>
        <w:t>乡镇（街道）</w:t>
      </w:r>
      <w:r>
        <w:rPr>
          <w:rFonts w:hint="eastAsia"/>
        </w:rPr>
        <w:t>建设不少于</w:t>
      </w:r>
      <w:r>
        <w:t>50人的应急志愿服务队</w:t>
      </w:r>
      <w:r>
        <w:rPr>
          <w:rFonts w:hint="eastAsia"/>
        </w:rPr>
        <w:t>，承担防汛抢险、初期火灾扑救、人员转移等任务。鼓励村（社区）</w:t>
      </w:r>
      <w:r>
        <w:t>培育应急响应人队伍</w:t>
      </w:r>
      <w:r>
        <w:rPr>
          <w:rFonts w:hint="eastAsia"/>
        </w:rPr>
        <w:t>。加强基层应急队伍培训演练和装备配备，提升实战能力。将基层应急力量纳入区级应急调度体系，实现统一调度、协同作战。完善应急志愿者管理机制，规范应急志愿者招募、培训、调度和保障，发展壮大应急志愿者队伍。</w:t>
      </w:r>
    </w:p>
    <w:p w14:paraId="32CF4C47">
      <w:pPr>
        <w:pStyle w:val="4"/>
        <w:rPr>
          <w:rFonts w:hint="eastAsia"/>
          <w:b w:val="0"/>
          <w:bCs w:val="0"/>
        </w:rPr>
      </w:pPr>
      <w:bookmarkStart w:id="49" w:name="_Toc22771"/>
      <w:r>
        <w:rPr>
          <w:rFonts w:hint="eastAsia"/>
          <w:b w:val="0"/>
          <w:bCs w:val="0"/>
        </w:rPr>
        <w:t>3. 深化全民安全宣传教育</w:t>
      </w:r>
      <w:bookmarkEnd w:id="49"/>
    </w:p>
    <w:p w14:paraId="142D4EA9">
      <w:pPr>
        <w:ind w:firstLine="640" w:firstLineChars="200"/>
      </w:pPr>
      <w:r>
        <w:rPr>
          <w:rFonts w:hint="eastAsia"/>
        </w:rPr>
        <w:t>实施全民安全素养提升行动，持续开展安全宣传“五进”工作。整合防灾减灾日、安全生产月、消防宣传月等宣传资源，利用安全科普教育基地和体验场馆。加强对老年人、儿童、外来务工人员等重点群体的安全宣传教育，推广沉浸式、体验式安全教育。将安全应急知识纳入教育体系和干部培训内容。加强事故灾害警示曝光，营造“人人讲安全、个个会应急”的社会氛围。</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149F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592053BF">
            <w:pPr>
              <w:jc w:val="center"/>
              <w:rPr>
                <w:rFonts w:hint="eastAsia" w:ascii="黑体" w:hAnsi="黑体" w:eastAsia="黑体"/>
                <w:sz w:val="28"/>
                <w:szCs w:val="21"/>
              </w:rPr>
            </w:pPr>
            <w:r>
              <w:rPr>
                <w:rFonts w:ascii="黑体" w:hAnsi="黑体" w:eastAsia="黑体"/>
                <w:sz w:val="28"/>
                <w:szCs w:val="21"/>
              </w:rPr>
              <w:t>专栏</w:t>
            </w:r>
            <w:r>
              <w:rPr>
                <w:rFonts w:hint="eastAsia" w:ascii="黑体" w:hAnsi="黑体" w:eastAsia="黑体"/>
                <w:sz w:val="28"/>
                <w:szCs w:val="21"/>
              </w:rPr>
              <w:t>5</w:t>
            </w:r>
            <w:r>
              <w:rPr>
                <w:rFonts w:ascii="黑体" w:hAnsi="黑体" w:eastAsia="黑体"/>
                <w:sz w:val="28"/>
                <w:szCs w:val="21"/>
              </w:rPr>
              <w:t xml:space="preserve"> 基层应急能力提升工程</w:t>
            </w:r>
          </w:p>
        </w:tc>
      </w:tr>
      <w:tr w14:paraId="098B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Pr>
          <w:p w14:paraId="4E0FDAEC">
            <w:pPr>
              <w:ind w:firstLine="560" w:firstLineChars="200"/>
              <w:rPr>
                <w:sz w:val="28"/>
                <w:szCs w:val="21"/>
              </w:rPr>
            </w:pPr>
            <w:r>
              <w:rPr>
                <w:rFonts w:hint="eastAsia"/>
                <w:sz w:val="28"/>
                <w:szCs w:val="21"/>
              </w:rPr>
              <w:t>1. 乡镇（街道）应急能力标准化建设。制定或落实市级乡镇（街道）应急能力建设标准，推动有条件的乡镇（街道）逐步建成标准化基层</w:t>
            </w:r>
            <w:r>
              <w:rPr>
                <w:sz w:val="28"/>
                <w:szCs w:val="21"/>
              </w:rPr>
              <w:t>应急志愿服务队</w:t>
            </w:r>
            <w:r>
              <w:rPr>
                <w:rFonts w:hint="eastAsia"/>
                <w:sz w:val="28"/>
                <w:szCs w:val="21"/>
              </w:rPr>
              <w:t>，建设标准化应急指挥场所和物资储备点。</w:t>
            </w:r>
          </w:p>
          <w:p w14:paraId="185E90A0">
            <w:pPr>
              <w:ind w:firstLine="560" w:firstLineChars="200"/>
              <w:rPr>
                <w:sz w:val="28"/>
                <w:szCs w:val="21"/>
              </w:rPr>
            </w:pPr>
            <w:r>
              <w:rPr>
                <w:rFonts w:hint="eastAsia"/>
                <w:sz w:val="28"/>
                <w:szCs w:val="21"/>
              </w:rPr>
              <w:t>2. 村（社区）应急响应人培育。为每个村（社区）配备若干名应急响应人，开展应急技能培训，配备个人防护、通信、初期处置等装备，赋予信息报告、先期处置、组织转移等职责。</w:t>
            </w:r>
          </w:p>
          <w:p w14:paraId="7BCA72C1">
            <w:pPr>
              <w:ind w:firstLine="560" w:firstLineChars="200"/>
              <w:rPr>
                <w:sz w:val="28"/>
                <w:szCs w:val="21"/>
              </w:rPr>
            </w:pPr>
            <w:r>
              <w:rPr>
                <w:rFonts w:hint="eastAsia"/>
                <w:sz w:val="28"/>
                <w:szCs w:val="21"/>
              </w:rPr>
              <w:t>3. 安全科普阵地建设。完善区级安全科普教育基地，在乡镇（街道）、社区建设安全宣传角和体验点，打造线上线下相结合的安全宣传矩阵。</w:t>
            </w:r>
          </w:p>
          <w:p w14:paraId="10338BFC">
            <w:pPr>
              <w:ind w:firstLine="560" w:firstLineChars="200"/>
              <w:rPr>
                <w:sz w:val="28"/>
                <w:szCs w:val="21"/>
              </w:rPr>
            </w:pPr>
            <w:r>
              <w:rPr>
                <w:rFonts w:hint="eastAsia"/>
                <w:sz w:val="28"/>
                <w:szCs w:val="21"/>
              </w:rPr>
              <w:t>4. 基层应急装备配备。为基层应急队伍配备防汛抢险、初期灭火、破拆救生、个人防护、通信照明等装备，提升基层先期处置能力。</w:t>
            </w:r>
          </w:p>
        </w:tc>
      </w:tr>
    </w:tbl>
    <w:p w14:paraId="41468497">
      <w:pPr>
        <w:pStyle w:val="2"/>
        <w:rPr>
          <w:rFonts w:hint="eastAsia"/>
          <w:sz w:val="32"/>
          <w:szCs w:val="32"/>
        </w:rPr>
      </w:pPr>
      <w:bookmarkStart w:id="50" w:name="_Toc237361442"/>
      <w:bookmarkStart w:id="51" w:name="_Toc29054"/>
      <w:r>
        <w:rPr>
          <w:rFonts w:hint="eastAsia"/>
          <w:sz w:val="32"/>
          <w:szCs w:val="32"/>
        </w:rPr>
        <w:t>四、保障措施</w:t>
      </w:r>
      <w:bookmarkEnd w:id="50"/>
      <w:bookmarkEnd w:id="51"/>
    </w:p>
    <w:p w14:paraId="10DCC81D">
      <w:pPr>
        <w:overflowPunct w:val="0"/>
        <w:ind w:firstLine="640" w:firstLineChars="200"/>
        <w:rPr>
          <w:rFonts w:cs="Times New Roman"/>
        </w:rPr>
      </w:pPr>
      <w:r>
        <w:rPr>
          <w:rFonts w:cs="Times New Roman"/>
        </w:rPr>
        <w:t>坚持党政同责、一岗双责</w:t>
      </w:r>
      <w:r>
        <w:rPr>
          <w:rFonts w:hint="eastAsia" w:cs="Times New Roman"/>
        </w:rPr>
        <w:t>，</w:t>
      </w:r>
      <w:r>
        <w:rPr>
          <w:rFonts w:cs="Times New Roman"/>
        </w:rPr>
        <w:t>抓好规划贯彻落实。各部门结合实际制定实施方案，明确责任分工，细化工作目标，制定实施路线图。建立重点地区、行业领域、企业单位等多方共同推进机制，确保各项任务按期完成。鼓励探索创新，选择重点</w:t>
      </w:r>
      <w:r>
        <w:rPr>
          <w:rFonts w:hint="eastAsia" w:cs="Times New Roman"/>
        </w:rPr>
        <w:t>领域</w:t>
      </w:r>
      <w:r>
        <w:rPr>
          <w:rFonts w:cs="Times New Roman"/>
        </w:rPr>
        <w:t>和典型企业开展试点，通过试点积累经验，总结成效并推广应用，发挥示范引领作用，有力推动规划全面落地。建立动态监测和定期评估机制</w:t>
      </w:r>
      <w:r>
        <w:rPr>
          <w:rFonts w:hint="eastAsia" w:cs="Times New Roman"/>
        </w:rPr>
        <w:t>，</w:t>
      </w:r>
      <w:r>
        <w:rPr>
          <w:rFonts w:cs="Times New Roman"/>
        </w:rPr>
        <w:t>分析实施效果，推动解决问题。</w:t>
      </w:r>
    </w:p>
    <w:p w14:paraId="13C7C751">
      <w:pPr>
        <w:ind w:firstLine="640" w:firstLineChars="200"/>
      </w:pPr>
    </w:p>
    <w:sectPr>
      <w:pgSz w:w="11906" w:h="16838"/>
      <w:pgMar w:top="1701" w:right="1588" w:bottom="1474" w:left="1588" w:header="851" w:footer="850" w:gutter="0"/>
      <w:pgNumType w:fmt="decimal" w:start="1"/>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华康饰艺体W5">
    <w:panose1 w:val="04020509000000000000"/>
    <w:charset w:val="86"/>
    <w:family w:val="auto"/>
    <w:pitch w:val="default"/>
    <w:sig w:usb0="800002BF" w:usb1="184F6CFA"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F821">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61066580"/>
                          </w:sdtPr>
                          <w:sdtContent>
                            <w:p w14:paraId="160FC8B4">
                              <w:pPr>
                                <w:pStyle w:val="6"/>
                                <w:jc w:val="center"/>
                              </w:pPr>
                              <w:r>
                                <w:fldChar w:fldCharType="begin"/>
                              </w:r>
                              <w:r>
                                <w:instrText xml:space="preserve">PAGE   \* MERGEFORMAT</w:instrText>
                              </w:r>
                              <w:r>
                                <w:fldChar w:fldCharType="separate"/>
                              </w:r>
                              <w:r>
                                <w:rPr>
                                  <w:lang w:val="zh-CN"/>
                                </w:rPr>
                                <w:t>II</w:t>
                              </w:r>
                              <w:r>
                                <w:fldChar w:fldCharType="end"/>
                              </w:r>
                            </w:p>
                          </w:sdtContent>
                        </w:sdt>
                        <w:p w14:paraId="7893784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961066580"/>
                    </w:sdtPr>
                    <w:sdtContent>
                      <w:p w14:paraId="160FC8B4">
                        <w:pPr>
                          <w:pStyle w:val="6"/>
                          <w:jc w:val="center"/>
                        </w:pPr>
                        <w:r>
                          <w:fldChar w:fldCharType="begin"/>
                        </w:r>
                        <w:r>
                          <w:instrText xml:space="preserve">PAGE   \* MERGEFORMAT</w:instrText>
                        </w:r>
                        <w:r>
                          <w:fldChar w:fldCharType="separate"/>
                        </w:r>
                        <w:r>
                          <w:rPr>
                            <w:lang w:val="zh-CN"/>
                          </w:rPr>
                          <w:t>II</w:t>
                        </w:r>
                        <w:r>
                          <w:fldChar w:fldCharType="end"/>
                        </w:r>
                      </w:p>
                    </w:sdtContent>
                  </w:sdt>
                  <w:p w14:paraId="78937848"/>
                </w:txbxContent>
              </v:textbox>
            </v:shape>
          </w:pict>
        </mc:Fallback>
      </mc:AlternateContent>
    </w:r>
  </w:p>
  <w:p w14:paraId="573D331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B30E">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0AFC1">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02350">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3F765">
    <w:pPr>
      <w:pStyle w:val="7"/>
      <w:pBdr>
        <w:bottom w:val="none" w:color="auto" w:sz="0" w:space="1"/>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221"/>
    <w:rsid w:val="00002090"/>
    <w:rsid w:val="000029E9"/>
    <w:rsid w:val="00004FB2"/>
    <w:rsid w:val="00004FC1"/>
    <w:rsid w:val="0000516B"/>
    <w:rsid w:val="000056D0"/>
    <w:rsid w:val="00006875"/>
    <w:rsid w:val="0001298B"/>
    <w:rsid w:val="0001510D"/>
    <w:rsid w:val="00015AD4"/>
    <w:rsid w:val="0002191D"/>
    <w:rsid w:val="0002297C"/>
    <w:rsid w:val="00022BBE"/>
    <w:rsid w:val="0002347F"/>
    <w:rsid w:val="00025AFF"/>
    <w:rsid w:val="00026C39"/>
    <w:rsid w:val="0002730B"/>
    <w:rsid w:val="00030A42"/>
    <w:rsid w:val="0003204D"/>
    <w:rsid w:val="00032F72"/>
    <w:rsid w:val="00033244"/>
    <w:rsid w:val="00037C06"/>
    <w:rsid w:val="00037CC8"/>
    <w:rsid w:val="00040328"/>
    <w:rsid w:val="00044B56"/>
    <w:rsid w:val="00051EE5"/>
    <w:rsid w:val="000557ED"/>
    <w:rsid w:val="000636BB"/>
    <w:rsid w:val="00063895"/>
    <w:rsid w:val="00063EAA"/>
    <w:rsid w:val="00065046"/>
    <w:rsid w:val="00067821"/>
    <w:rsid w:val="00067F96"/>
    <w:rsid w:val="000710CA"/>
    <w:rsid w:val="0007132C"/>
    <w:rsid w:val="00071D53"/>
    <w:rsid w:val="0007307C"/>
    <w:rsid w:val="00082D8C"/>
    <w:rsid w:val="000842B8"/>
    <w:rsid w:val="00087878"/>
    <w:rsid w:val="0009006B"/>
    <w:rsid w:val="000941B2"/>
    <w:rsid w:val="000966DC"/>
    <w:rsid w:val="00097C0C"/>
    <w:rsid w:val="00097CF7"/>
    <w:rsid w:val="000A247F"/>
    <w:rsid w:val="000A3C10"/>
    <w:rsid w:val="000A3C7C"/>
    <w:rsid w:val="000B3FE0"/>
    <w:rsid w:val="000B6196"/>
    <w:rsid w:val="000B659B"/>
    <w:rsid w:val="000C0625"/>
    <w:rsid w:val="000C3038"/>
    <w:rsid w:val="000C37DD"/>
    <w:rsid w:val="000C5F29"/>
    <w:rsid w:val="000D01FD"/>
    <w:rsid w:val="000D1B60"/>
    <w:rsid w:val="000D1CC4"/>
    <w:rsid w:val="000D20B1"/>
    <w:rsid w:val="000D31CB"/>
    <w:rsid w:val="000D4B8C"/>
    <w:rsid w:val="000D5335"/>
    <w:rsid w:val="000D5E5E"/>
    <w:rsid w:val="000D704F"/>
    <w:rsid w:val="000E2D31"/>
    <w:rsid w:val="000E2F61"/>
    <w:rsid w:val="000E5E6F"/>
    <w:rsid w:val="000F0511"/>
    <w:rsid w:val="000F68EC"/>
    <w:rsid w:val="00101F77"/>
    <w:rsid w:val="00104026"/>
    <w:rsid w:val="00104BF0"/>
    <w:rsid w:val="00106484"/>
    <w:rsid w:val="00107F16"/>
    <w:rsid w:val="00111D49"/>
    <w:rsid w:val="00111D5F"/>
    <w:rsid w:val="0011352F"/>
    <w:rsid w:val="00113887"/>
    <w:rsid w:val="001146CE"/>
    <w:rsid w:val="00114C15"/>
    <w:rsid w:val="001163E6"/>
    <w:rsid w:val="001175FB"/>
    <w:rsid w:val="00117A60"/>
    <w:rsid w:val="00121BAF"/>
    <w:rsid w:val="00124817"/>
    <w:rsid w:val="00127688"/>
    <w:rsid w:val="00132C57"/>
    <w:rsid w:val="00143F04"/>
    <w:rsid w:val="00144334"/>
    <w:rsid w:val="0014650C"/>
    <w:rsid w:val="00156333"/>
    <w:rsid w:val="0015685C"/>
    <w:rsid w:val="001606BB"/>
    <w:rsid w:val="00161B29"/>
    <w:rsid w:val="00162329"/>
    <w:rsid w:val="00164913"/>
    <w:rsid w:val="00164CA4"/>
    <w:rsid w:val="00166BB7"/>
    <w:rsid w:val="001717D9"/>
    <w:rsid w:val="00173079"/>
    <w:rsid w:val="0017394C"/>
    <w:rsid w:val="00174D36"/>
    <w:rsid w:val="001769C6"/>
    <w:rsid w:val="00176DBF"/>
    <w:rsid w:val="001842C8"/>
    <w:rsid w:val="00186EBC"/>
    <w:rsid w:val="001874B2"/>
    <w:rsid w:val="00190D53"/>
    <w:rsid w:val="00192EA1"/>
    <w:rsid w:val="001975CF"/>
    <w:rsid w:val="001976A6"/>
    <w:rsid w:val="001A1715"/>
    <w:rsid w:val="001A1DCE"/>
    <w:rsid w:val="001A2772"/>
    <w:rsid w:val="001B12C8"/>
    <w:rsid w:val="001B2414"/>
    <w:rsid w:val="001B2758"/>
    <w:rsid w:val="001B2BB8"/>
    <w:rsid w:val="001B449E"/>
    <w:rsid w:val="001C1A9E"/>
    <w:rsid w:val="001C25C2"/>
    <w:rsid w:val="001C441B"/>
    <w:rsid w:val="001C7FF5"/>
    <w:rsid w:val="001D0167"/>
    <w:rsid w:val="001D1FFB"/>
    <w:rsid w:val="001D5646"/>
    <w:rsid w:val="001D5DE4"/>
    <w:rsid w:val="001D6B5B"/>
    <w:rsid w:val="001E16B8"/>
    <w:rsid w:val="001E5352"/>
    <w:rsid w:val="001E5A3E"/>
    <w:rsid w:val="001E72AF"/>
    <w:rsid w:val="001E77C4"/>
    <w:rsid w:val="001F23DE"/>
    <w:rsid w:val="001F2483"/>
    <w:rsid w:val="001F5226"/>
    <w:rsid w:val="001F793D"/>
    <w:rsid w:val="00200320"/>
    <w:rsid w:val="00204521"/>
    <w:rsid w:val="0020504B"/>
    <w:rsid w:val="00207E0D"/>
    <w:rsid w:val="00213221"/>
    <w:rsid w:val="00216789"/>
    <w:rsid w:val="00217BED"/>
    <w:rsid w:val="00221AB3"/>
    <w:rsid w:val="00222AF6"/>
    <w:rsid w:val="00223CDA"/>
    <w:rsid w:val="00224E29"/>
    <w:rsid w:val="00225766"/>
    <w:rsid w:val="00225A12"/>
    <w:rsid w:val="00226F31"/>
    <w:rsid w:val="002273BC"/>
    <w:rsid w:val="00230501"/>
    <w:rsid w:val="00233E01"/>
    <w:rsid w:val="002342BD"/>
    <w:rsid w:val="002344E7"/>
    <w:rsid w:val="00237A9E"/>
    <w:rsid w:val="00240287"/>
    <w:rsid w:val="00242B10"/>
    <w:rsid w:val="002469D3"/>
    <w:rsid w:val="00251124"/>
    <w:rsid w:val="002514C7"/>
    <w:rsid w:val="00254C3D"/>
    <w:rsid w:val="002556F4"/>
    <w:rsid w:val="002564B1"/>
    <w:rsid w:val="00260CB1"/>
    <w:rsid w:val="00262124"/>
    <w:rsid w:val="002661ED"/>
    <w:rsid w:val="002760FE"/>
    <w:rsid w:val="00282C98"/>
    <w:rsid w:val="00286984"/>
    <w:rsid w:val="00292241"/>
    <w:rsid w:val="002924E9"/>
    <w:rsid w:val="00293145"/>
    <w:rsid w:val="00293FF5"/>
    <w:rsid w:val="002A50D4"/>
    <w:rsid w:val="002B0219"/>
    <w:rsid w:val="002B0E54"/>
    <w:rsid w:val="002B3AFC"/>
    <w:rsid w:val="002B6AA1"/>
    <w:rsid w:val="002B73B7"/>
    <w:rsid w:val="002B77E1"/>
    <w:rsid w:val="002C0A3F"/>
    <w:rsid w:val="002C0CB4"/>
    <w:rsid w:val="002C3C6B"/>
    <w:rsid w:val="002D0BA7"/>
    <w:rsid w:val="002D44D5"/>
    <w:rsid w:val="002D4660"/>
    <w:rsid w:val="002D570D"/>
    <w:rsid w:val="002D6585"/>
    <w:rsid w:val="002D6878"/>
    <w:rsid w:val="002D7B9E"/>
    <w:rsid w:val="002F33F6"/>
    <w:rsid w:val="002F7003"/>
    <w:rsid w:val="003008E0"/>
    <w:rsid w:val="00300D4D"/>
    <w:rsid w:val="00313504"/>
    <w:rsid w:val="00313CD0"/>
    <w:rsid w:val="0031534D"/>
    <w:rsid w:val="00315DBD"/>
    <w:rsid w:val="003161A1"/>
    <w:rsid w:val="00323B18"/>
    <w:rsid w:val="00323F8E"/>
    <w:rsid w:val="003253C3"/>
    <w:rsid w:val="00326929"/>
    <w:rsid w:val="00326D1E"/>
    <w:rsid w:val="00344B29"/>
    <w:rsid w:val="003461F0"/>
    <w:rsid w:val="00350E3A"/>
    <w:rsid w:val="003519DD"/>
    <w:rsid w:val="00353158"/>
    <w:rsid w:val="0035498C"/>
    <w:rsid w:val="0035558C"/>
    <w:rsid w:val="003560DE"/>
    <w:rsid w:val="00357550"/>
    <w:rsid w:val="003621A0"/>
    <w:rsid w:val="003641E3"/>
    <w:rsid w:val="003642D6"/>
    <w:rsid w:val="00366320"/>
    <w:rsid w:val="00370E01"/>
    <w:rsid w:val="0037143E"/>
    <w:rsid w:val="003727F9"/>
    <w:rsid w:val="00374E12"/>
    <w:rsid w:val="00375167"/>
    <w:rsid w:val="00375EB9"/>
    <w:rsid w:val="003779FD"/>
    <w:rsid w:val="0038211C"/>
    <w:rsid w:val="0038452B"/>
    <w:rsid w:val="00387E1E"/>
    <w:rsid w:val="00390687"/>
    <w:rsid w:val="00391D82"/>
    <w:rsid w:val="00394D49"/>
    <w:rsid w:val="003953D9"/>
    <w:rsid w:val="00395613"/>
    <w:rsid w:val="0039614E"/>
    <w:rsid w:val="0039620B"/>
    <w:rsid w:val="003A137F"/>
    <w:rsid w:val="003A2676"/>
    <w:rsid w:val="003A47EB"/>
    <w:rsid w:val="003A4D8D"/>
    <w:rsid w:val="003B1047"/>
    <w:rsid w:val="003B1BF2"/>
    <w:rsid w:val="003B3D5E"/>
    <w:rsid w:val="003B5A08"/>
    <w:rsid w:val="003B5ADD"/>
    <w:rsid w:val="003B603F"/>
    <w:rsid w:val="003C0EBB"/>
    <w:rsid w:val="003C20F3"/>
    <w:rsid w:val="003C577D"/>
    <w:rsid w:val="003C7ACF"/>
    <w:rsid w:val="003D1A76"/>
    <w:rsid w:val="003D209B"/>
    <w:rsid w:val="003D3917"/>
    <w:rsid w:val="003F0665"/>
    <w:rsid w:val="003F17D9"/>
    <w:rsid w:val="003F385D"/>
    <w:rsid w:val="003F48E1"/>
    <w:rsid w:val="003F66EA"/>
    <w:rsid w:val="003F6D64"/>
    <w:rsid w:val="004015D2"/>
    <w:rsid w:val="004065A8"/>
    <w:rsid w:val="00414328"/>
    <w:rsid w:val="00415009"/>
    <w:rsid w:val="00415AF4"/>
    <w:rsid w:val="0041700A"/>
    <w:rsid w:val="00417C37"/>
    <w:rsid w:val="0042211D"/>
    <w:rsid w:val="00423F7E"/>
    <w:rsid w:val="00424CA2"/>
    <w:rsid w:val="00426A0C"/>
    <w:rsid w:val="00432AC6"/>
    <w:rsid w:val="004333AD"/>
    <w:rsid w:val="0043656F"/>
    <w:rsid w:val="00443B9A"/>
    <w:rsid w:val="0044407A"/>
    <w:rsid w:val="00444FB2"/>
    <w:rsid w:val="004465C2"/>
    <w:rsid w:val="004471D0"/>
    <w:rsid w:val="00450B25"/>
    <w:rsid w:val="00454490"/>
    <w:rsid w:val="0045471F"/>
    <w:rsid w:val="00454AB5"/>
    <w:rsid w:val="00455BD5"/>
    <w:rsid w:val="00455DF3"/>
    <w:rsid w:val="00456C05"/>
    <w:rsid w:val="00460642"/>
    <w:rsid w:val="00461423"/>
    <w:rsid w:val="004636B8"/>
    <w:rsid w:val="00463AF3"/>
    <w:rsid w:val="00464F4D"/>
    <w:rsid w:val="00465084"/>
    <w:rsid w:val="00465298"/>
    <w:rsid w:val="0047001C"/>
    <w:rsid w:val="0047414A"/>
    <w:rsid w:val="00481676"/>
    <w:rsid w:val="00483556"/>
    <w:rsid w:val="00484AC2"/>
    <w:rsid w:val="004869F7"/>
    <w:rsid w:val="00492F0D"/>
    <w:rsid w:val="0049495A"/>
    <w:rsid w:val="00495EB1"/>
    <w:rsid w:val="004970A3"/>
    <w:rsid w:val="004A0FB6"/>
    <w:rsid w:val="004A16C2"/>
    <w:rsid w:val="004A5472"/>
    <w:rsid w:val="004B472E"/>
    <w:rsid w:val="004B7CF1"/>
    <w:rsid w:val="004C1CC6"/>
    <w:rsid w:val="004C53C4"/>
    <w:rsid w:val="004C6FCC"/>
    <w:rsid w:val="004D15B3"/>
    <w:rsid w:val="004D185D"/>
    <w:rsid w:val="004D79F9"/>
    <w:rsid w:val="004E7860"/>
    <w:rsid w:val="004F004A"/>
    <w:rsid w:val="004F0174"/>
    <w:rsid w:val="004F1A70"/>
    <w:rsid w:val="004F464D"/>
    <w:rsid w:val="004F526E"/>
    <w:rsid w:val="004F708D"/>
    <w:rsid w:val="004F7A4D"/>
    <w:rsid w:val="005032E1"/>
    <w:rsid w:val="00504684"/>
    <w:rsid w:val="005052D1"/>
    <w:rsid w:val="00505A28"/>
    <w:rsid w:val="00515ED0"/>
    <w:rsid w:val="0051710D"/>
    <w:rsid w:val="00523674"/>
    <w:rsid w:val="00524A38"/>
    <w:rsid w:val="00525E54"/>
    <w:rsid w:val="00526379"/>
    <w:rsid w:val="005269DF"/>
    <w:rsid w:val="00527CC7"/>
    <w:rsid w:val="00530F6B"/>
    <w:rsid w:val="00532437"/>
    <w:rsid w:val="005330EC"/>
    <w:rsid w:val="00535952"/>
    <w:rsid w:val="0054211B"/>
    <w:rsid w:val="00544FCD"/>
    <w:rsid w:val="00546A0E"/>
    <w:rsid w:val="00546DD3"/>
    <w:rsid w:val="005534A4"/>
    <w:rsid w:val="005548F0"/>
    <w:rsid w:val="00554A84"/>
    <w:rsid w:val="005572A0"/>
    <w:rsid w:val="00566CCF"/>
    <w:rsid w:val="00567BE2"/>
    <w:rsid w:val="005710BD"/>
    <w:rsid w:val="00572252"/>
    <w:rsid w:val="0057234B"/>
    <w:rsid w:val="00573343"/>
    <w:rsid w:val="00573C42"/>
    <w:rsid w:val="00573F5C"/>
    <w:rsid w:val="005775DD"/>
    <w:rsid w:val="00577E17"/>
    <w:rsid w:val="005815AF"/>
    <w:rsid w:val="00582347"/>
    <w:rsid w:val="00587DBC"/>
    <w:rsid w:val="00597753"/>
    <w:rsid w:val="005A0F79"/>
    <w:rsid w:val="005A1C95"/>
    <w:rsid w:val="005A1F53"/>
    <w:rsid w:val="005A3D0A"/>
    <w:rsid w:val="005A65B0"/>
    <w:rsid w:val="005B0D6F"/>
    <w:rsid w:val="005B2FCF"/>
    <w:rsid w:val="005B60AE"/>
    <w:rsid w:val="005B6935"/>
    <w:rsid w:val="005B749A"/>
    <w:rsid w:val="005C0F28"/>
    <w:rsid w:val="005C4394"/>
    <w:rsid w:val="005D63B7"/>
    <w:rsid w:val="005E3AD1"/>
    <w:rsid w:val="005F05BB"/>
    <w:rsid w:val="005F2521"/>
    <w:rsid w:val="005F428E"/>
    <w:rsid w:val="005F4DA4"/>
    <w:rsid w:val="005F6658"/>
    <w:rsid w:val="005F7D77"/>
    <w:rsid w:val="0060463A"/>
    <w:rsid w:val="006049B6"/>
    <w:rsid w:val="006075DB"/>
    <w:rsid w:val="00615D18"/>
    <w:rsid w:val="00620524"/>
    <w:rsid w:val="006205ED"/>
    <w:rsid w:val="00621940"/>
    <w:rsid w:val="00622631"/>
    <w:rsid w:val="006237F5"/>
    <w:rsid w:val="006264EB"/>
    <w:rsid w:val="00627403"/>
    <w:rsid w:val="00627A3C"/>
    <w:rsid w:val="00630991"/>
    <w:rsid w:val="00631EEA"/>
    <w:rsid w:val="0063405E"/>
    <w:rsid w:val="00636459"/>
    <w:rsid w:val="0063742D"/>
    <w:rsid w:val="00637C1D"/>
    <w:rsid w:val="00642175"/>
    <w:rsid w:val="00643086"/>
    <w:rsid w:val="00644107"/>
    <w:rsid w:val="00645BB5"/>
    <w:rsid w:val="00645BBA"/>
    <w:rsid w:val="00646587"/>
    <w:rsid w:val="0066107C"/>
    <w:rsid w:val="006617BB"/>
    <w:rsid w:val="00663C64"/>
    <w:rsid w:val="00664810"/>
    <w:rsid w:val="006659EF"/>
    <w:rsid w:val="006677A5"/>
    <w:rsid w:val="00667C3D"/>
    <w:rsid w:val="00672920"/>
    <w:rsid w:val="00672E14"/>
    <w:rsid w:val="00676188"/>
    <w:rsid w:val="00676A33"/>
    <w:rsid w:val="00676BA6"/>
    <w:rsid w:val="00676CAE"/>
    <w:rsid w:val="006772B1"/>
    <w:rsid w:val="00677650"/>
    <w:rsid w:val="00677FE5"/>
    <w:rsid w:val="00680496"/>
    <w:rsid w:val="00680637"/>
    <w:rsid w:val="006818EC"/>
    <w:rsid w:val="00682E67"/>
    <w:rsid w:val="006849D7"/>
    <w:rsid w:val="00684E89"/>
    <w:rsid w:val="00684F61"/>
    <w:rsid w:val="00685703"/>
    <w:rsid w:val="00685713"/>
    <w:rsid w:val="0068651A"/>
    <w:rsid w:val="00691BFB"/>
    <w:rsid w:val="00694A70"/>
    <w:rsid w:val="006A4494"/>
    <w:rsid w:val="006B2185"/>
    <w:rsid w:val="006B23C9"/>
    <w:rsid w:val="006B339E"/>
    <w:rsid w:val="006B5F8B"/>
    <w:rsid w:val="006C0ABA"/>
    <w:rsid w:val="006C2097"/>
    <w:rsid w:val="006C4543"/>
    <w:rsid w:val="006D2955"/>
    <w:rsid w:val="006D47A9"/>
    <w:rsid w:val="006D4FC4"/>
    <w:rsid w:val="006D784B"/>
    <w:rsid w:val="006D7F05"/>
    <w:rsid w:val="006E0B0D"/>
    <w:rsid w:val="006E21DA"/>
    <w:rsid w:val="006E3BF0"/>
    <w:rsid w:val="006E3EE6"/>
    <w:rsid w:val="006F1773"/>
    <w:rsid w:val="006F1B40"/>
    <w:rsid w:val="006F79A1"/>
    <w:rsid w:val="007011D0"/>
    <w:rsid w:val="007053EA"/>
    <w:rsid w:val="00707FD3"/>
    <w:rsid w:val="007156BD"/>
    <w:rsid w:val="00715E4A"/>
    <w:rsid w:val="00723945"/>
    <w:rsid w:val="00724B86"/>
    <w:rsid w:val="00734814"/>
    <w:rsid w:val="007378C3"/>
    <w:rsid w:val="0074486D"/>
    <w:rsid w:val="0074611D"/>
    <w:rsid w:val="00746EAC"/>
    <w:rsid w:val="007477DB"/>
    <w:rsid w:val="00750876"/>
    <w:rsid w:val="00752983"/>
    <w:rsid w:val="00752E27"/>
    <w:rsid w:val="007553C9"/>
    <w:rsid w:val="0075780F"/>
    <w:rsid w:val="00757D67"/>
    <w:rsid w:val="00761B42"/>
    <w:rsid w:val="0077093D"/>
    <w:rsid w:val="007726D5"/>
    <w:rsid w:val="007729F6"/>
    <w:rsid w:val="00772A4B"/>
    <w:rsid w:val="00772D42"/>
    <w:rsid w:val="00773230"/>
    <w:rsid w:val="00777026"/>
    <w:rsid w:val="00780C72"/>
    <w:rsid w:val="00781D39"/>
    <w:rsid w:val="0078341A"/>
    <w:rsid w:val="007836E1"/>
    <w:rsid w:val="00783F06"/>
    <w:rsid w:val="0079369B"/>
    <w:rsid w:val="00793AC9"/>
    <w:rsid w:val="0079763B"/>
    <w:rsid w:val="00797FBB"/>
    <w:rsid w:val="007A0081"/>
    <w:rsid w:val="007A0140"/>
    <w:rsid w:val="007A483E"/>
    <w:rsid w:val="007A4EEE"/>
    <w:rsid w:val="007A5707"/>
    <w:rsid w:val="007B238C"/>
    <w:rsid w:val="007B2A79"/>
    <w:rsid w:val="007B3303"/>
    <w:rsid w:val="007B74CA"/>
    <w:rsid w:val="007B7578"/>
    <w:rsid w:val="007C03C9"/>
    <w:rsid w:val="007C443F"/>
    <w:rsid w:val="007C5849"/>
    <w:rsid w:val="007C77B8"/>
    <w:rsid w:val="007D458B"/>
    <w:rsid w:val="007D5BEE"/>
    <w:rsid w:val="007D688C"/>
    <w:rsid w:val="007D68DD"/>
    <w:rsid w:val="007E01E9"/>
    <w:rsid w:val="007E0B1D"/>
    <w:rsid w:val="007E0EAA"/>
    <w:rsid w:val="007E7332"/>
    <w:rsid w:val="007F19E0"/>
    <w:rsid w:val="007F4F7C"/>
    <w:rsid w:val="007F63DE"/>
    <w:rsid w:val="007F6819"/>
    <w:rsid w:val="007F6F5E"/>
    <w:rsid w:val="008068E7"/>
    <w:rsid w:val="00807B74"/>
    <w:rsid w:val="008115D5"/>
    <w:rsid w:val="00811BB6"/>
    <w:rsid w:val="00812618"/>
    <w:rsid w:val="00812A62"/>
    <w:rsid w:val="00814015"/>
    <w:rsid w:val="008173AE"/>
    <w:rsid w:val="008201F5"/>
    <w:rsid w:val="008225AA"/>
    <w:rsid w:val="00825DA3"/>
    <w:rsid w:val="008300ED"/>
    <w:rsid w:val="008331C1"/>
    <w:rsid w:val="00840663"/>
    <w:rsid w:val="008435B3"/>
    <w:rsid w:val="008437A6"/>
    <w:rsid w:val="00845521"/>
    <w:rsid w:val="00847936"/>
    <w:rsid w:val="00857BBD"/>
    <w:rsid w:val="00861642"/>
    <w:rsid w:val="0086266F"/>
    <w:rsid w:val="00862799"/>
    <w:rsid w:val="0086490B"/>
    <w:rsid w:val="00865F47"/>
    <w:rsid w:val="00866928"/>
    <w:rsid w:val="008677E0"/>
    <w:rsid w:val="00871793"/>
    <w:rsid w:val="00872A0B"/>
    <w:rsid w:val="00877071"/>
    <w:rsid w:val="00877C85"/>
    <w:rsid w:val="00885CC5"/>
    <w:rsid w:val="0088615D"/>
    <w:rsid w:val="008876B9"/>
    <w:rsid w:val="00890208"/>
    <w:rsid w:val="00891AE7"/>
    <w:rsid w:val="00893BB4"/>
    <w:rsid w:val="00894812"/>
    <w:rsid w:val="00895B1D"/>
    <w:rsid w:val="00896523"/>
    <w:rsid w:val="008A5C05"/>
    <w:rsid w:val="008A6687"/>
    <w:rsid w:val="008A6A2B"/>
    <w:rsid w:val="008B0B66"/>
    <w:rsid w:val="008B1786"/>
    <w:rsid w:val="008B1824"/>
    <w:rsid w:val="008B3370"/>
    <w:rsid w:val="008B48D5"/>
    <w:rsid w:val="008B52CD"/>
    <w:rsid w:val="008C0B19"/>
    <w:rsid w:val="008C13B0"/>
    <w:rsid w:val="008C14CF"/>
    <w:rsid w:val="008C3035"/>
    <w:rsid w:val="008C31F0"/>
    <w:rsid w:val="008C3541"/>
    <w:rsid w:val="008C45F5"/>
    <w:rsid w:val="008C5320"/>
    <w:rsid w:val="008C64F0"/>
    <w:rsid w:val="008C74C8"/>
    <w:rsid w:val="008D0395"/>
    <w:rsid w:val="008D100C"/>
    <w:rsid w:val="008D227E"/>
    <w:rsid w:val="008D4E0F"/>
    <w:rsid w:val="008E0CD8"/>
    <w:rsid w:val="008E104C"/>
    <w:rsid w:val="008E107C"/>
    <w:rsid w:val="008F19D4"/>
    <w:rsid w:val="008F1DAC"/>
    <w:rsid w:val="008F24AC"/>
    <w:rsid w:val="008F27DE"/>
    <w:rsid w:val="008F2A2C"/>
    <w:rsid w:val="008F4010"/>
    <w:rsid w:val="008F7D18"/>
    <w:rsid w:val="008F7F84"/>
    <w:rsid w:val="009002C8"/>
    <w:rsid w:val="00900538"/>
    <w:rsid w:val="00900651"/>
    <w:rsid w:val="009034BB"/>
    <w:rsid w:val="00913B8D"/>
    <w:rsid w:val="00916E12"/>
    <w:rsid w:val="00917401"/>
    <w:rsid w:val="00922C96"/>
    <w:rsid w:val="00924EBD"/>
    <w:rsid w:val="00930A45"/>
    <w:rsid w:val="00931FB3"/>
    <w:rsid w:val="009336D4"/>
    <w:rsid w:val="00933AAE"/>
    <w:rsid w:val="00935B1C"/>
    <w:rsid w:val="00936FF5"/>
    <w:rsid w:val="00941D0E"/>
    <w:rsid w:val="00943FF6"/>
    <w:rsid w:val="00945F97"/>
    <w:rsid w:val="0094670D"/>
    <w:rsid w:val="00947104"/>
    <w:rsid w:val="009527D2"/>
    <w:rsid w:val="00960827"/>
    <w:rsid w:val="00961E9D"/>
    <w:rsid w:val="0096344A"/>
    <w:rsid w:val="00964EDA"/>
    <w:rsid w:val="00976449"/>
    <w:rsid w:val="00977184"/>
    <w:rsid w:val="00977627"/>
    <w:rsid w:val="0098103B"/>
    <w:rsid w:val="00982545"/>
    <w:rsid w:val="0098531E"/>
    <w:rsid w:val="00986B61"/>
    <w:rsid w:val="00987447"/>
    <w:rsid w:val="009878D1"/>
    <w:rsid w:val="00990EA8"/>
    <w:rsid w:val="00990F94"/>
    <w:rsid w:val="00991920"/>
    <w:rsid w:val="00992DA8"/>
    <w:rsid w:val="00997586"/>
    <w:rsid w:val="009A1F9E"/>
    <w:rsid w:val="009A271A"/>
    <w:rsid w:val="009A2BB5"/>
    <w:rsid w:val="009A381E"/>
    <w:rsid w:val="009A45E1"/>
    <w:rsid w:val="009A6351"/>
    <w:rsid w:val="009A71B1"/>
    <w:rsid w:val="009B1743"/>
    <w:rsid w:val="009B3864"/>
    <w:rsid w:val="009B6BE4"/>
    <w:rsid w:val="009C3A15"/>
    <w:rsid w:val="009C4DAD"/>
    <w:rsid w:val="009D0191"/>
    <w:rsid w:val="009D1186"/>
    <w:rsid w:val="009D16DD"/>
    <w:rsid w:val="009D3028"/>
    <w:rsid w:val="009D4702"/>
    <w:rsid w:val="009D7F30"/>
    <w:rsid w:val="009E6DF4"/>
    <w:rsid w:val="009F3196"/>
    <w:rsid w:val="009F6261"/>
    <w:rsid w:val="00A001D1"/>
    <w:rsid w:val="00A006A8"/>
    <w:rsid w:val="00A0122C"/>
    <w:rsid w:val="00A03082"/>
    <w:rsid w:val="00A05C5A"/>
    <w:rsid w:val="00A05FC5"/>
    <w:rsid w:val="00A07678"/>
    <w:rsid w:val="00A11243"/>
    <w:rsid w:val="00A1259E"/>
    <w:rsid w:val="00A1287B"/>
    <w:rsid w:val="00A128A7"/>
    <w:rsid w:val="00A1564F"/>
    <w:rsid w:val="00A15862"/>
    <w:rsid w:val="00A233FE"/>
    <w:rsid w:val="00A27778"/>
    <w:rsid w:val="00A30F1F"/>
    <w:rsid w:val="00A3400E"/>
    <w:rsid w:val="00A34B01"/>
    <w:rsid w:val="00A358F4"/>
    <w:rsid w:val="00A36451"/>
    <w:rsid w:val="00A43631"/>
    <w:rsid w:val="00A46D0F"/>
    <w:rsid w:val="00A46DD8"/>
    <w:rsid w:val="00A50381"/>
    <w:rsid w:val="00A5055F"/>
    <w:rsid w:val="00A5205C"/>
    <w:rsid w:val="00A5337A"/>
    <w:rsid w:val="00A53C12"/>
    <w:rsid w:val="00A53DA0"/>
    <w:rsid w:val="00A54D41"/>
    <w:rsid w:val="00A60726"/>
    <w:rsid w:val="00A6296E"/>
    <w:rsid w:val="00A65A23"/>
    <w:rsid w:val="00A663E5"/>
    <w:rsid w:val="00A7182C"/>
    <w:rsid w:val="00A71C5E"/>
    <w:rsid w:val="00A819F8"/>
    <w:rsid w:val="00A82744"/>
    <w:rsid w:val="00A8415F"/>
    <w:rsid w:val="00A84BFE"/>
    <w:rsid w:val="00A8572E"/>
    <w:rsid w:val="00A86590"/>
    <w:rsid w:val="00A86A7E"/>
    <w:rsid w:val="00A86A9D"/>
    <w:rsid w:val="00A912E0"/>
    <w:rsid w:val="00A91FD3"/>
    <w:rsid w:val="00A933C1"/>
    <w:rsid w:val="00A9524B"/>
    <w:rsid w:val="00AA090B"/>
    <w:rsid w:val="00AB3646"/>
    <w:rsid w:val="00AB3EA9"/>
    <w:rsid w:val="00AB54AE"/>
    <w:rsid w:val="00AB7D9B"/>
    <w:rsid w:val="00AC29EA"/>
    <w:rsid w:val="00AC4C5F"/>
    <w:rsid w:val="00AC5B29"/>
    <w:rsid w:val="00AC72A2"/>
    <w:rsid w:val="00AD10BA"/>
    <w:rsid w:val="00AD5113"/>
    <w:rsid w:val="00AD5367"/>
    <w:rsid w:val="00AD59C8"/>
    <w:rsid w:val="00AD743A"/>
    <w:rsid w:val="00AE01DE"/>
    <w:rsid w:val="00AE0450"/>
    <w:rsid w:val="00AE0459"/>
    <w:rsid w:val="00AE24FB"/>
    <w:rsid w:val="00AE3D83"/>
    <w:rsid w:val="00AE4843"/>
    <w:rsid w:val="00AE7681"/>
    <w:rsid w:val="00AF0F57"/>
    <w:rsid w:val="00AF45BB"/>
    <w:rsid w:val="00AF5464"/>
    <w:rsid w:val="00AF65A1"/>
    <w:rsid w:val="00AF78F7"/>
    <w:rsid w:val="00B004CB"/>
    <w:rsid w:val="00B02C99"/>
    <w:rsid w:val="00B05601"/>
    <w:rsid w:val="00B05615"/>
    <w:rsid w:val="00B05625"/>
    <w:rsid w:val="00B1055C"/>
    <w:rsid w:val="00B1060B"/>
    <w:rsid w:val="00B124F3"/>
    <w:rsid w:val="00B12C0E"/>
    <w:rsid w:val="00B14821"/>
    <w:rsid w:val="00B16396"/>
    <w:rsid w:val="00B244D8"/>
    <w:rsid w:val="00B25B30"/>
    <w:rsid w:val="00B26DCD"/>
    <w:rsid w:val="00B303D6"/>
    <w:rsid w:val="00B322BF"/>
    <w:rsid w:val="00B332C8"/>
    <w:rsid w:val="00B374F0"/>
    <w:rsid w:val="00B40C92"/>
    <w:rsid w:val="00B40CF9"/>
    <w:rsid w:val="00B43558"/>
    <w:rsid w:val="00B43D56"/>
    <w:rsid w:val="00B51004"/>
    <w:rsid w:val="00B51FE3"/>
    <w:rsid w:val="00B54E82"/>
    <w:rsid w:val="00B56CF4"/>
    <w:rsid w:val="00B57DF9"/>
    <w:rsid w:val="00B61A84"/>
    <w:rsid w:val="00B63258"/>
    <w:rsid w:val="00B65825"/>
    <w:rsid w:val="00B65919"/>
    <w:rsid w:val="00B66888"/>
    <w:rsid w:val="00B71293"/>
    <w:rsid w:val="00B72A0C"/>
    <w:rsid w:val="00B73F75"/>
    <w:rsid w:val="00B75AD6"/>
    <w:rsid w:val="00B7769E"/>
    <w:rsid w:val="00B77AA3"/>
    <w:rsid w:val="00B8166E"/>
    <w:rsid w:val="00B821D3"/>
    <w:rsid w:val="00B826FA"/>
    <w:rsid w:val="00B82DDE"/>
    <w:rsid w:val="00B82F79"/>
    <w:rsid w:val="00B859A0"/>
    <w:rsid w:val="00B9742C"/>
    <w:rsid w:val="00BA3DF2"/>
    <w:rsid w:val="00BA5FF5"/>
    <w:rsid w:val="00BB2CD3"/>
    <w:rsid w:val="00BB5234"/>
    <w:rsid w:val="00BB7106"/>
    <w:rsid w:val="00BB723F"/>
    <w:rsid w:val="00BB72A3"/>
    <w:rsid w:val="00BC163F"/>
    <w:rsid w:val="00BC651C"/>
    <w:rsid w:val="00BC7E19"/>
    <w:rsid w:val="00BD2581"/>
    <w:rsid w:val="00BD4567"/>
    <w:rsid w:val="00BE340C"/>
    <w:rsid w:val="00BE404E"/>
    <w:rsid w:val="00BE778F"/>
    <w:rsid w:val="00BF007F"/>
    <w:rsid w:val="00BF2FBC"/>
    <w:rsid w:val="00BF5E52"/>
    <w:rsid w:val="00BF6691"/>
    <w:rsid w:val="00C01DB7"/>
    <w:rsid w:val="00C0307A"/>
    <w:rsid w:val="00C039DC"/>
    <w:rsid w:val="00C06B1F"/>
    <w:rsid w:val="00C129DC"/>
    <w:rsid w:val="00C15085"/>
    <w:rsid w:val="00C20525"/>
    <w:rsid w:val="00C207C5"/>
    <w:rsid w:val="00C22930"/>
    <w:rsid w:val="00C40401"/>
    <w:rsid w:val="00C414E5"/>
    <w:rsid w:val="00C41ED0"/>
    <w:rsid w:val="00C42CAF"/>
    <w:rsid w:val="00C42E7A"/>
    <w:rsid w:val="00C50FAB"/>
    <w:rsid w:val="00C50FEF"/>
    <w:rsid w:val="00C51D2E"/>
    <w:rsid w:val="00C5234F"/>
    <w:rsid w:val="00C60779"/>
    <w:rsid w:val="00C6088A"/>
    <w:rsid w:val="00C60A95"/>
    <w:rsid w:val="00C659EE"/>
    <w:rsid w:val="00C702AB"/>
    <w:rsid w:val="00C740F3"/>
    <w:rsid w:val="00C74AEE"/>
    <w:rsid w:val="00C843B5"/>
    <w:rsid w:val="00C860E5"/>
    <w:rsid w:val="00C93EA5"/>
    <w:rsid w:val="00C97199"/>
    <w:rsid w:val="00CA11EE"/>
    <w:rsid w:val="00CA52BB"/>
    <w:rsid w:val="00CA5B58"/>
    <w:rsid w:val="00CA5C02"/>
    <w:rsid w:val="00CA7640"/>
    <w:rsid w:val="00CA7C8D"/>
    <w:rsid w:val="00CB1DB8"/>
    <w:rsid w:val="00CB2F07"/>
    <w:rsid w:val="00CB3324"/>
    <w:rsid w:val="00CB3948"/>
    <w:rsid w:val="00CB6424"/>
    <w:rsid w:val="00CB6994"/>
    <w:rsid w:val="00CB7DDC"/>
    <w:rsid w:val="00CC23A7"/>
    <w:rsid w:val="00CC4A21"/>
    <w:rsid w:val="00CC7061"/>
    <w:rsid w:val="00CC77F8"/>
    <w:rsid w:val="00CD04D8"/>
    <w:rsid w:val="00CD1682"/>
    <w:rsid w:val="00CD36D9"/>
    <w:rsid w:val="00CE176F"/>
    <w:rsid w:val="00CE244D"/>
    <w:rsid w:val="00CF0602"/>
    <w:rsid w:val="00CF20E3"/>
    <w:rsid w:val="00CF553A"/>
    <w:rsid w:val="00CF606E"/>
    <w:rsid w:val="00CF6F38"/>
    <w:rsid w:val="00D007FC"/>
    <w:rsid w:val="00D06D9F"/>
    <w:rsid w:val="00D0777C"/>
    <w:rsid w:val="00D077D1"/>
    <w:rsid w:val="00D10F10"/>
    <w:rsid w:val="00D10F65"/>
    <w:rsid w:val="00D13BE7"/>
    <w:rsid w:val="00D14559"/>
    <w:rsid w:val="00D15243"/>
    <w:rsid w:val="00D20251"/>
    <w:rsid w:val="00D22C96"/>
    <w:rsid w:val="00D23111"/>
    <w:rsid w:val="00D23E0A"/>
    <w:rsid w:val="00D277FD"/>
    <w:rsid w:val="00D3054A"/>
    <w:rsid w:val="00D35125"/>
    <w:rsid w:val="00D3527A"/>
    <w:rsid w:val="00D369C6"/>
    <w:rsid w:val="00D373E2"/>
    <w:rsid w:val="00D410DA"/>
    <w:rsid w:val="00D45494"/>
    <w:rsid w:val="00D468AB"/>
    <w:rsid w:val="00D50683"/>
    <w:rsid w:val="00D50DBD"/>
    <w:rsid w:val="00D51917"/>
    <w:rsid w:val="00D6052D"/>
    <w:rsid w:val="00D62855"/>
    <w:rsid w:val="00D628D2"/>
    <w:rsid w:val="00D63625"/>
    <w:rsid w:val="00D63AC0"/>
    <w:rsid w:val="00D70CA6"/>
    <w:rsid w:val="00D737D2"/>
    <w:rsid w:val="00D73F2C"/>
    <w:rsid w:val="00D7502A"/>
    <w:rsid w:val="00D7576D"/>
    <w:rsid w:val="00D76649"/>
    <w:rsid w:val="00D77149"/>
    <w:rsid w:val="00D81600"/>
    <w:rsid w:val="00D81858"/>
    <w:rsid w:val="00D83FD4"/>
    <w:rsid w:val="00D84C93"/>
    <w:rsid w:val="00D85492"/>
    <w:rsid w:val="00D85D3B"/>
    <w:rsid w:val="00D91170"/>
    <w:rsid w:val="00D92021"/>
    <w:rsid w:val="00D95F58"/>
    <w:rsid w:val="00DA16FA"/>
    <w:rsid w:val="00DA2CEA"/>
    <w:rsid w:val="00DA79D6"/>
    <w:rsid w:val="00DB144A"/>
    <w:rsid w:val="00DB2550"/>
    <w:rsid w:val="00DB7D2F"/>
    <w:rsid w:val="00DC156A"/>
    <w:rsid w:val="00DC18AC"/>
    <w:rsid w:val="00DC2A25"/>
    <w:rsid w:val="00DC3C83"/>
    <w:rsid w:val="00DC3E31"/>
    <w:rsid w:val="00DD1166"/>
    <w:rsid w:val="00DD3CE4"/>
    <w:rsid w:val="00DD4703"/>
    <w:rsid w:val="00DD7F0F"/>
    <w:rsid w:val="00DE151E"/>
    <w:rsid w:val="00DE5243"/>
    <w:rsid w:val="00DE6F98"/>
    <w:rsid w:val="00DF1EBE"/>
    <w:rsid w:val="00DF3CDB"/>
    <w:rsid w:val="00DF5F8C"/>
    <w:rsid w:val="00E103AA"/>
    <w:rsid w:val="00E11FFC"/>
    <w:rsid w:val="00E12F1A"/>
    <w:rsid w:val="00E1609F"/>
    <w:rsid w:val="00E22D18"/>
    <w:rsid w:val="00E23DCC"/>
    <w:rsid w:val="00E254DC"/>
    <w:rsid w:val="00E25ECF"/>
    <w:rsid w:val="00E3302D"/>
    <w:rsid w:val="00E338C0"/>
    <w:rsid w:val="00E376FE"/>
    <w:rsid w:val="00E43955"/>
    <w:rsid w:val="00E43EEA"/>
    <w:rsid w:val="00E45AAF"/>
    <w:rsid w:val="00E47644"/>
    <w:rsid w:val="00E51601"/>
    <w:rsid w:val="00E51827"/>
    <w:rsid w:val="00E534B1"/>
    <w:rsid w:val="00E56371"/>
    <w:rsid w:val="00E567D4"/>
    <w:rsid w:val="00E56E73"/>
    <w:rsid w:val="00E6539D"/>
    <w:rsid w:val="00E70D86"/>
    <w:rsid w:val="00E752C0"/>
    <w:rsid w:val="00E77F8A"/>
    <w:rsid w:val="00E81554"/>
    <w:rsid w:val="00E83B9F"/>
    <w:rsid w:val="00E858FD"/>
    <w:rsid w:val="00E87B73"/>
    <w:rsid w:val="00E90EDD"/>
    <w:rsid w:val="00E917F8"/>
    <w:rsid w:val="00E91B92"/>
    <w:rsid w:val="00E9258B"/>
    <w:rsid w:val="00EA5C17"/>
    <w:rsid w:val="00EB0298"/>
    <w:rsid w:val="00EB0532"/>
    <w:rsid w:val="00EB264F"/>
    <w:rsid w:val="00EB3976"/>
    <w:rsid w:val="00EB4113"/>
    <w:rsid w:val="00EB505C"/>
    <w:rsid w:val="00EC0137"/>
    <w:rsid w:val="00EC02BC"/>
    <w:rsid w:val="00EC39AB"/>
    <w:rsid w:val="00ED1FE2"/>
    <w:rsid w:val="00ED4B23"/>
    <w:rsid w:val="00ED4F73"/>
    <w:rsid w:val="00ED55B7"/>
    <w:rsid w:val="00ED5B78"/>
    <w:rsid w:val="00EE1029"/>
    <w:rsid w:val="00EE3380"/>
    <w:rsid w:val="00EE4273"/>
    <w:rsid w:val="00EE4316"/>
    <w:rsid w:val="00EE53DA"/>
    <w:rsid w:val="00EF41C3"/>
    <w:rsid w:val="00EF4B26"/>
    <w:rsid w:val="00EF76F6"/>
    <w:rsid w:val="00F00535"/>
    <w:rsid w:val="00F007C2"/>
    <w:rsid w:val="00F03A39"/>
    <w:rsid w:val="00F07768"/>
    <w:rsid w:val="00F1173B"/>
    <w:rsid w:val="00F12699"/>
    <w:rsid w:val="00F12CDB"/>
    <w:rsid w:val="00F12D77"/>
    <w:rsid w:val="00F14B8C"/>
    <w:rsid w:val="00F16B96"/>
    <w:rsid w:val="00F2316E"/>
    <w:rsid w:val="00F260A0"/>
    <w:rsid w:val="00F268D1"/>
    <w:rsid w:val="00F27502"/>
    <w:rsid w:val="00F34478"/>
    <w:rsid w:val="00F36AA5"/>
    <w:rsid w:val="00F41AFC"/>
    <w:rsid w:val="00F46920"/>
    <w:rsid w:val="00F5063A"/>
    <w:rsid w:val="00F50F7D"/>
    <w:rsid w:val="00F527D4"/>
    <w:rsid w:val="00F5339C"/>
    <w:rsid w:val="00F5623A"/>
    <w:rsid w:val="00F56467"/>
    <w:rsid w:val="00F57901"/>
    <w:rsid w:val="00F61597"/>
    <w:rsid w:val="00F61E03"/>
    <w:rsid w:val="00F61FDD"/>
    <w:rsid w:val="00F632B0"/>
    <w:rsid w:val="00F640E0"/>
    <w:rsid w:val="00F64D44"/>
    <w:rsid w:val="00F65FCD"/>
    <w:rsid w:val="00F66437"/>
    <w:rsid w:val="00F721E3"/>
    <w:rsid w:val="00F745FD"/>
    <w:rsid w:val="00F74B98"/>
    <w:rsid w:val="00F76EF3"/>
    <w:rsid w:val="00F77632"/>
    <w:rsid w:val="00F839AB"/>
    <w:rsid w:val="00F86204"/>
    <w:rsid w:val="00F86829"/>
    <w:rsid w:val="00F86AD1"/>
    <w:rsid w:val="00F91F38"/>
    <w:rsid w:val="00F9662E"/>
    <w:rsid w:val="00F966BF"/>
    <w:rsid w:val="00FA04D7"/>
    <w:rsid w:val="00FA2765"/>
    <w:rsid w:val="00FA4418"/>
    <w:rsid w:val="00FA4ED3"/>
    <w:rsid w:val="00FA554F"/>
    <w:rsid w:val="00FA5CCB"/>
    <w:rsid w:val="00FB1CC8"/>
    <w:rsid w:val="00FB6544"/>
    <w:rsid w:val="00FB69AC"/>
    <w:rsid w:val="00FC3809"/>
    <w:rsid w:val="00FC3BB0"/>
    <w:rsid w:val="00FC41FE"/>
    <w:rsid w:val="00FC68C0"/>
    <w:rsid w:val="00FC6E00"/>
    <w:rsid w:val="00FD047D"/>
    <w:rsid w:val="00FD312A"/>
    <w:rsid w:val="00FD3B6B"/>
    <w:rsid w:val="00FD4013"/>
    <w:rsid w:val="00FD4431"/>
    <w:rsid w:val="00FD4F58"/>
    <w:rsid w:val="00FD535F"/>
    <w:rsid w:val="00FD6953"/>
    <w:rsid w:val="00FD74EB"/>
    <w:rsid w:val="00FD7DE5"/>
    <w:rsid w:val="00FE4136"/>
    <w:rsid w:val="00FE5C97"/>
    <w:rsid w:val="00FF1482"/>
    <w:rsid w:val="00FF3261"/>
    <w:rsid w:val="00FF58A8"/>
    <w:rsid w:val="00FF69BB"/>
    <w:rsid w:val="01BD22C8"/>
    <w:rsid w:val="077F47F7"/>
    <w:rsid w:val="0B94074D"/>
    <w:rsid w:val="223F2218"/>
    <w:rsid w:val="3A3ED947"/>
    <w:rsid w:val="42661114"/>
    <w:rsid w:val="4A1B68B7"/>
    <w:rsid w:val="4D56270A"/>
    <w:rsid w:val="55103159"/>
    <w:rsid w:val="56C528E5"/>
    <w:rsid w:val="571C6155"/>
    <w:rsid w:val="5BD4232D"/>
    <w:rsid w:val="5C5C257A"/>
    <w:rsid w:val="5DDCF97F"/>
    <w:rsid w:val="5EE7A2EA"/>
    <w:rsid w:val="60AC7BE7"/>
    <w:rsid w:val="64177A6E"/>
    <w:rsid w:val="649F2D1A"/>
    <w:rsid w:val="6E5D4C17"/>
    <w:rsid w:val="73EE4F80"/>
    <w:rsid w:val="7A751031"/>
    <w:rsid w:val="7BEA6B70"/>
    <w:rsid w:val="7FBFC5B9"/>
    <w:rsid w:val="97FF3AF9"/>
    <w:rsid w:val="BEB73C0C"/>
    <w:rsid w:val="DAE3BEDE"/>
    <w:rsid w:val="FDF76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17"/>
    <w:qFormat/>
    <w:uiPriority w:val="9"/>
    <w:pPr>
      <w:keepNext/>
      <w:keepLines/>
      <w:ind w:firstLine="640" w:firstLineChars="200"/>
      <w:outlineLvl w:val="0"/>
    </w:pPr>
    <w:rPr>
      <w:rFonts w:ascii="黑体" w:hAnsi="黑体" w:eastAsia="黑体"/>
      <w:bCs/>
      <w:kern w:val="44"/>
      <w:szCs w:val="44"/>
    </w:rPr>
  </w:style>
  <w:style w:type="paragraph" w:styleId="3">
    <w:name w:val="heading 2"/>
    <w:basedOn w:val="1"/>
    <w:next w:val="1"/>
    <w:link w:val="16"/>
    <w:unhideWhenUsed/>
    <w:qFormat/>
    <w:uiPriority w:val="9"/>
    <w:pPr>
      <w:keepNext/>
      <w:keepLines/>
      <w:ind w:firstLine="643" w:firstLineChars="200"/>
      <w:outlineLvl w:val="1"/>
    </w:pPr>
    <w:rPr>
      <w:rFonts w:ascii="楷体" w:hAnsi="楷体" w:eastAsia="楷体" w:cstheme="majorBidi"/>
      <w:b/>
      <w:bCs/>
      <w:szCs w:val="32"/>
    </w:rPr>
  </w:style>
  <w:style w:type="paragraph" w:styleId="4">
    <w:name w:val="heading 3"/>
    <w:basedOn w:val="1"/>
    <w:next w:val="1"/>
    <w:link w:val="18"/>
    <w:unhideWhenUsed/>
    <w:qFormat/>
    <w:uiPriority w:val="9"/>
    <w:pPr>
      <w:keepNext/>
      <w:keepLines/>
      <w:ind w:firstLine="643" w:firstLineChars="200"/>
      <w:outlineLvl w:val="2"/>
    </w:pPr>
    <w:rPr>
      <w:rFonts w:ascii="仿宋_GB2312" w:hAnsi="仿宋"/>
      <w:b/>
      <w:bCs/>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footer"/>
    <w:basedOn w:val="1"/>
    <w:link w:val="15"/>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toc 1"/>
    <w:basedOn w:val="1"/>
    <w:next w:val="1"/>
    <w:unhideWhenUsed/>
    <w:qFormat/>
    <w:uiPriority w:val="39"/>
    <w:rPr>
      <w:rFonts w:eastAsia="黑体"/>
    </w:rPr>
  </w:style>
  <w:style w:type="paragraph" w:styleId="9">
    <w:name w:val="toc 2"/>
    <w:basedOn w:val="1"/>
    <w:next w:val="1"/>
    <w:unhideWhenUsed/>
    <w:qFormat/>
    <w:uiPriority w:val="39"/>
    <w:pPr>
      <w:ind w:left="200" w:left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7"/>
    <w:qFormat/>
    <w:uiPriority w:val="99"/>
    <w:rPr>
      <w:rFonts w:ascii="Times New Roman" w:hAnsi="Times New Roman" w:eastAsia="仿宋_GB2312"/>
      <w:sz w:val="18"/>
      <w:szCs w:val="18"/>
    </w:rPr>
  </w:style>
  <w:style w:type="character" w:customStyle="1" w:styleId="15">
    <w:name w:val="页脚 字符"/>
    <w:basedOn w:val="12"/>
    <w:link w:val="6"/>
    <w:qFormat/>
    <w:uiPriority w:val="99"/>
    <w:rPr>
      <w:rFonts w:ascii="Times New Roman" w:hAnsi="Times New Roman" w:eastAsia="仿宋_GB2312"/>
      <w:sz w:val="18"/>
      <w:szCs w:val="18"/>
    </w:rPr>
  </w:style>
  <w:style w:type="character" w:customStyle="1" w:styleId="16">
    <w:name w:val="标题 2 字符"/>
    <w:basedOn w:val="12"/>
    <w:link w:val="3"/>
    <w:qFormat/>
    <w:uiPriority w:val="9"/>
    <w:rPr>
      <w:rFonts w:ascii="楷体" w:hAnsi="楷体" w:eastAsia="楷体" w:cstheme="majorBidi"/>
      <w:b/>
      <w:bCs/>
      <w:sz w:val="32"/>
      <w:szCs w:val="32"/>
    </w:rPr>
  </w:style>
  <w:style w:type="character" w:customStyle="1" w:styleId="17">
    <w:name w:val="标题 1 字符"/>
    <w:basedOn w:val="12"/>
    <w:link w:val="2"/>
    <w:qFormat/>
    <w:uiPriority w:val="9"/>
    <w:rPr>
      <w:rFonts w:ascii="黑体" w:hAnsi="黑体" w:eastAsia="黑体"/>
      <w:bCs/>
      <w:kern w:val="44"/>
      <w:sz w:val="32"/>
      <w:szCs w:val="44"/>
    </w:rPr>
  </w:style>
  <w:style w:type="character" w:customStyle="1" w:styleId="18">
    <w:name w:val="标题 3 字符"/>
    <w:basedOn w:val="12"/>
    <w:link w:val="4"/>
    <w:qFormat/>
    <w:uiPriority w:val="9"/>
    <w:rPr>
      <w:rFonts w:ascii="仿宋_GB2312" w:hAnsi="仿宋" w:eastAsia="仿宋_GB2312"/>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CASST</Company>
  <Pages>19</Pages>
  <Words>9415</Words>
  <Characters>9545</Characters>
  <Lines>292</Lines>
  <Paragraphs>200</Paragraphs>
  <TotalTime>44</TotalTime>
  <ScaleCrop>false</ScaleCrop>
  <LinksUpToDate>false</LinksUpToDate>
  <CharactersWithSpaces>9660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2024-08-10T10:43:00Z</dcterms:created>
  <dc:creator>XUAN</dc:creator>
  <cp:lastModifiedBy>umer</cp:lastModifiedBy>
  <cp:lastPrinted>2026-08-12T19:33:00Z</cp:lastPrinted>
  <dcterms:modified xsi:type="dcterms:W3CDTF">2026-08-27T10:11:55Z</dcterms:modified>
  <cp:revision>3111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eyJoZGlkIjoiZGMyZTI2ZjMwOGUyYmE2Yzk3NjMzOTM1ZmFlNTFlNjEiLCJ1c2VySWQiOiI1NzQ4NTI0MjgifQ==</vt:lpwstr>
  </property>
  <property fmtid="{D5CDD505-2E9C-101B-9397-08002B2CF9AE}" pid="3" name="KSOProductBuildVer">
    <vt:lpwstr>2052-12.8.2.1119</vt:lpwstr>
  </property>
  <property fmtid="{D5CDD505-2E9C-101B-9397-08002B2CF9AE}" pid="4" name="ICV">
    <vt:lpwstr>305EBAF1AFB040E3931115C94FC11A2E_12</vt:lpwstr>
  </property>
</Properties>
</file>