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2BCB" w14:textId="30B3693C" w:rsidR="00FA56B4" w:rsidRPr="0054308A" w:rsidRDefault="00000000" w:rsidP="0054308A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仿宋_GB2312" w:cs="方正小标宋简体" w:hint="eastAsia"/>
          <w:sz w:val="44"/>
          <w:szCs w:val="44"/>
        </w:rPr>
        <w:t>关于《</w:t>
      </w:r>
      <w:r w:rsidR="0054308A" w:rsidRPr="0054308A">
        <w:rPr>
          <w:rFonts w:ascii="方正小标宋简体" w:eastAsia="方正小标宋简体" w:hAnsi="方正小标宋简体" w:cs="方正小标宋简体"/>
          <w:sz w:val="44"/>
          <w:szCs w:val="44"/>
        </w:rPr>
        <w:t>大兴区“十五五”时期园林绿化发展规划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（征求意见稿）</w:t>
      </w:r>
      <w:r>
        <w:rPr>
          <w:rFonts w:ascii="方正小标宋简体" w:eastAsia="方正小标宋简体" w:hAnsi="仿宋_GB2312" w:cs="方正小标宋简体" w:hint="eastAsia"/>
          <w:sz w:val="44"/>
          <w:szCs w:val="44"/>
        </w:rPr>
        <w:t>》的起草说明</w:t>
      </w:r>
    </w:p>
    <w:p w14:paraId="712DF238" w14:textId="77777777" w:rsidR="00FA56B4" w:rsidRDefault="00FA56B4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0AB248A1" w14:textId="77777777" w:rsidR="00FA56B4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一、制定背景</w:t>
      </w:r>
    </w:p>
    <w:p w14:paraId="74990CBF" w14:textId="6DFDFB4B" w:rsidR="00FA56B4" w:rsidRDefault="0054308A">
      <w:pPr>
        <w:snapToGrid w:val="0"/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 w:rsidRPr="0054308A">
        <w:rPr>
          <w:rFonts w:ascii="仿宋_GB2312" w:eastAsia="仿宋_GB2312"/>
          <w:sz w:val="32"/>
          <w:szCs w:val="32"/>
        </w:rPr>
        <w:t>“</w:t>
      </w:r>
      <w:r w:rsidRPr="0054308A">
        <w:rPr>
          <w:rFonts w:ascii="仿宋_GB2312" w:eastAsia="仿宋_GB2312"/>
          <w:sz w:val="32"/>
          <w:szCs w:val="32"/>
        </w:rPr>
        <w:t>十五五</w:t>
      </w:r>
      <w:r w:rsidRPr="0054308A">
        <w:rPr>
          <w:rFonts w:ascii="仿宋_GB2312" w:eastAsia="仿宋_GB2312"/>
          <w:sz w:val="32"/>
          <w:szCs w:val="32"/>
        </w:rPr>
        <w:t>”</w:t>
      </w:r>
      <w:r w:rsidRPr="0054308A">
        <w:rPr>
          <w:rFonts w:ascii="仿宋_GB2312" w:eastAsia="仿宋_GB2312"/>
          <w:sz w:val="32"/>
          <w:szCs w:val="32"/>
        </w:rPr>
        <w:t>时期是我国全面建设社会主义现代化国家、实现第二个百年奋斗目标的关键阶段；既是实现</w:t>
      </w:r>
      <w:r w:rsidRPr="0054308A">
        <w:rPr>
          <w:rFonts w:ascii="仿宋_GB2312" w:eastAsia="仿宋_GB2312"/>
          <w:sz w:val="32"/>
          <w:szCs w:val="32"/>
        </w:rPr>
        <w:t>“</w:t>
      </w:r>
      <w:r w:rsidRPr="0054308A">
        <w:rPr>
          <w:rFonts w:ascii="仿宋_GB2312" w:eastAsia="仿宋_GB2312"/>
          <w:sz w:val="32"/>
          <w:szCs w:val="32"/>
        </w:rPr>
        <w:t>十四五</w:t>
      </w:r>
      <w:r w:rsidRPr="0054308A">
        <w:rPr>
          <w:rFonts w:ascii="仿宋_GB2312" w:eastAsia="仿宋_GB2312"/>
          <w:sz w:val="32"/>
          <w:szCs w:val="32"/>
        </w:rPr>
        <w:t>”</w:t>
      </w:r>
      <w:r w:rsidRPr="0054308A">
        <w:rPr>
          <w:rFonts w:ascii="仿宋_GB2312" w:eastAsia="仿宋_GB2312"/>
          <w:sz w:val="32"/>
          <w:szCs w:val="32"/>
        </w:rPr>
        <w:t>规划目标的深化期，也是为2035年基本实现社会主义现代化奠定基础的攻坚期。开展</w:t>
      </w:r>
      <w:r w:rsidRPr="0054308A">
        <w:rPr>
          <w:rFonts w:ascii="仿宋_GB2312" w:eastAsia="仿宋_GB2312"/>
          <w:sz w:val="32"/>
          <w:szCs w:val="32"/>
        </w:rPr>
        <w:t>“</w:t>
      </w:r>
      <w:r w:rsidRPr="0054308A">
        <w:rPr>
          <w:rFonts w:ascii="仿宋_GB2312" w:eastAsia="仿宋_GB2312"/>
          <w:sz w:val="32"/>
          <w:szCs w:val="32"/>
        </w:rPr>
        <w:t>十五五</w:t>
      </w:r>
      <w:r w:rsidRPr="0054308A">
        <w:rPr>
          <w:rFonts w:ascii="仿宋_GB2312" w:eastAsia="仿宋_GB2312"/>
          <w:sz w:val="32"/>
          <w:szCs w:val="32"/>
        </w:rPr>
        <w:t>”</w:t>
      </w:r>
      <w:r w:rsidRPr="0054308A">
        <w:rPr>
          <w:rFonts w:ascii="仿宋_GB2312" w:eastAsia="仿宋_GB2312"/>
          <w:sz w:val="32"/>
          <w:szCs w:val="32"/>
        </w:rPr>
        <w:t>规划编制工作，为园林绿化事业下一个五年计划做好准备，是顺应环境形势发展变化的必然要求，是规划工作贯彻全面依法治国的应有之义。2025年5月习近平总书记对</w:t>
      </w:r>
      <w:r w:rsidRPr="0054308A">
        <w:rPr>
          <w:rFonts w:ascii="仿宋_GB2312" w:eastAsia="仿宋_GB2312"/>
          <w:sz w:val="32"/>
          <w:szCs w:val="32"/>
        </w:rPr>
        <w:t>“</w:t>
      </w:r>
      <w:r w:rsidRPr="0054308A">
        <w:rPr>
          <w:rFonts w:ascii="仿宋_GB2312" w:eastAsia="仿宋_GB2312"/>
          <w:sz w:val="32"/>
          <w:szCs w:val="32"/>
        </w:rPr>
        <w:t>十五五</w:t>
      </w:r>
      <w:r w:rsidRPr="0054308A">
        <w:rPr>
          <w:rFonts w:ascii="仿宋_GB2312" w:eastAsia="仿宋_GB2312"/>
          <w:sz w:val="32"/>
          <w:szCs w:val="32"/>
        </w:rPr>
        <w:t>”</w:t>
      </w:r>
      <w:r w:rsidRPr="0054308A">
        <w:rPr>
          <w:rFonts w:ascii="仿宋_GB2312" w:eastAsia="仿宋_GB2312"/>
          <w:sz w:val="32"/>
          <w:szCs w:val="32"/>
        </w:rPr>
        <w:t>规划编制工作作出重要指示，强调</w:t>
      </w:r>
      <w:r w:rsidRPr="0054308A">
        <w:rPr>
          <w:rFonts w:ascii="仿宋_GB2312" w:eastAsia="仿宋_GB2312"/>
          <w:sz w:val="32"/>
          <w:szCs w:val="32"/>
        </w:rPr>
        <w:t>“</w:t>
      </w:r>
      <w:r w:rsidRPr="0054308A">
        <w:rPr>
          <w:rFonts w:ascii="仿宋_GB2312" w:eastAsia="仿宋_GB2312"/>
          <w:sz w:val="32"/>
          <w:szCs w:val="32"/>
        </w:rPr>
        <w:t>坚持科学决策、民主决策、依法决策，高质量完成</w:t>
      </w:r>
      <w:r w:rsidRPr="0054308A">
        <w:rPr>
          <w:rFonts w:ascii="仿宋_GB2312" w:eastAsia="仿宋_GB2312"/>
          <w:sz w:val="32"/>
          <w:szCs w:val="32"/>
        </w:rPr>
        <w:t>“</w:t>
      </w:r>
      <w:r w:rsidRPr="0054308A">
        <w:rPr>
          <w:rFonts w:ascii="仿宋_GB2312" w:eastAsia="仿宋_GB2312"/>
          <w:sz w:val="32"/>
          <w:szCs w:val="32"/>
        </w:rPr>
        <w:t>十五五</w:t>
      </w:r>
      <w:r w:rsidRPr="0054308A">
        <w:rPr>
          <w:rFonts w:ascii="仿宋_GB2312" w:eastAsia="仿宋_GB2312"/>
          <w:sz w:val="32"/>
          <w:szCs w:val="32"/>
        </w:rPr>
        <w:t>”</w:t>
      </w:r>
      <w:r w:rsidRPr="0054308A">
        <w:rPr>
          <w:rFonts w:ascii="仿宋_GB2312" w:eastAsia="仿宋_GB2312"/>
          <w:sz w:val="32"/>
          <w:szCs w:val="32"/>
        </w:rPr>
        <w:t>规划编制工作</w:t>
      </w:r>
      <w:r w:rsidRPr="0054308A">
        <w:rPr>
          <w:rFonts w:ascii="仿宋_GB2312" w:eastAsia="仿宋_GB2312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2E8AE76F" w14:textId="77777777" w:rsidR="00FA56B4" w:rsidRDefault="00000000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制定目的</w:t>
      </w:r>
    </w:p>
    <w:p w14:paraId="21DD6478" w14:textId="1C27A06F" w:rsidR="00FA56B4" w:rsidRPr="00486879" w:rsidRDefault="00486879" w:rsidP="00486879">
      <w:pPr>
        <w:snapToGrid w:val="0"/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 w:rsidRPr="00486879">
        <w:rPr>
          <w:rFonts w:ascii="仿宋_GB2312" w:eastAsia="仿宋_GB2312"/>
          <w:sz w:val="32"/>
          <w:szCs w:val="32"/>
        </w:rPr>
        <w:t>本规划在全面评估大兴区</w:t>
      </w:r>
      <w:r w:rsidRPr="00486879">
        <w:rPr>
          <w:rFonts w:ascii="仿宋_GB2312" w:eastAsia="仿宋_GB2312"/>
          <w:sz w:val="32"/>
          <w:szCs w:val="32"/>
        </w:rPr>
        <w:t>“</w:t>
      </w:r>
      <w:r w:rsidRPr="00486879">
        <w:rPr>
          <w:rFonts w:ascii="仿宋_GB2312" w:eastAsia="仿宋_GB2312"/>
          <w:sz w:val="32"/>
          <w:szCs w:val="32"/>
        </w:rPr>
        <w:t>十四五</w:t>
      </w:r>
      <w:r w:rsidRPr="00486879">
        <w:rPr>
          <w:rFonts w:ascii="仿宋_GB2312" w:eastAsia="仿宋_GB2312"/>
          <w:sz w:val="32"/>
          <w:szCs w:val="32"/>
        </w:rPr>
        <w:t>”</w:t>
      </w:r>
      <w:r w:rsidRPr="00486879">
        <w:rPr>
          <w:rFonts w:ascii="仿宋_GB2312" w:eastAsia="仿宋_GB2312"/>
          <w:sz w:val="32"/>
          <w:szCs w:val="32"/>
        </w:rPr>
        <w:t>时期园林绿化发展情况的基础上，总结上一阶段规划实施的重要成效与主要问题，分析下一阶段园林绿化发展面临的核心形势，以习近平生态文明思想为指导，深入践行</w:t>
      </w:r>
      <w:r w:rsidRPr="00486879">
        <w:rPr>
          <w:rFonts w:ascii="仿宋_GB2312" w:eastAsia="仿宋_GB2312"/>
          <w:sz w:val="32"/>
          <w:szCs w:val="32"/>
        </w:rPr>
        <w:t>“</w:t>
      </w:r>
      <w:r w:rsidRPr="00486879">
        <w:rPr>
          <w:rFonts w:ascii="仿宋_GB2312" w:eastAsia="仿宋_GB2312"/>
          <w:sz w:val="32"/>
          <w:szCs w:val="32"/>
        </w:rPr>
        <w:t>绿水青山就是金山银山</w:t>
      </w:r>
      <w:r w:rsidRPr="00486879">
        <w:rPr>
          <w:rFonts w:ascii="仿宋_GB2312" w:eastAsia="仿宋_GB2312"/>
          <w:sz w:val="32"/>
          <w:szCs w:val="32"/>
        </w:rPr>
        <w:t>”</w:t>
      </w:r>
      <w:r w:rsidRPr="00486879">
        <w:rPr>
          <w:rFonts w:ascii="仿宋_GB2312" w:eastAsia="仿宋_GB2312"/>
          <w:sz w:val="32"/>
          <w:szCs w:val="32"/>
        </w:rPr>
        <w:t>的理念，紧紧围绕落实大兴区</w:t>
      </w:r>
      <w:r w:rsidRPr="00486879">
        <w:rPr>
          <w:rFonts w:ascii="仿宋_GB2312" w:eastAsia="仿宋_GB2312"/>
          <w:sz w:val="32"/>
          <w:szCs w:val="32"/>
        </w:rPr>
        <w:t>“</w:t>
      </w:r>
      <w:r w:rsidRPr="00486879">
        <w:rPr>
          <w:rFonts w:ascii="仿宋_GB2312" w:eastAsia="仿宋_GB2312"/>
          <w:sz w:val="32"/>
          <w:szCs w:val="32"/>
        </w:rPr>
        <w:t>三区一门户</w:t>
      </w:r>
      <w:r w:rsidRPr="00486879">
        <w:rPr>
          <w:rFonts w:ascii="仿宋_GB2312" w:eastAsia="仿宋_GB2312"/>
          <w:sz w:val="32"/>
          <w:szCs w:val="32"/>
        </w:rPr>
        <w:t>”</w:t>
      </w:r>
      <w:r w:rsidRPr="00486879">
        <w:rPr>
          <w:rFonts w:ascii="仿宋_GB2312" w:eastAsia="仿宋_GB2312"/>
          <w:sz w:val="32"/>
          <w:szCs w:val="32"/>
        </w:rPr>
        <w:t>功能定位，明确</w:t>
      </w:r>
      <w:r w:rsidRPr="00486879">
        <w:rPr>
          <w:rFonts w:ascii="仿宋_GB2312" w:eastAsia="仿宋_GB2312"/>
          <w:sz w:val="32"/>
          <w:szCs w:val="32"/>
        </w:rPr>
        <w:t>“</w:t>
      </w:r>
      <w:r w:rsidRPr="00486879">
        <w:rPr>
          <w:rFonts w:ascii="仿宋_GB2312" w:eastAsia="仿宋_GB2312"/>
          <w:sz w:val="32"/>
          <w:szCs w:val="32"/>
        </w:rPr>
        <w:t>十五五</w:t>
      </w:r>
      <w:r w:rsidRPr="00486879">
        <w:rPr>
          <w:rFonts w:ascii="仿宋_GB2312" w:eastAsia="仿宋_GB2312"/>
          <w:sz w:val="32"/>
          <w:szCs w:val="32"/>
        </w:rPr>
        <w:t>”</w:t>
      </w:r>
      <w:r w:rsidRPr="00486879">
        <w:rPr>
          <w:rFonts w:ascii="仿宋_GB2312" w:eastAsia="仿宋_GB2312"/>
          <w:sz w:val="32"/>
          <w:szCs w:val="32"/>
        </w:rPr>
        <w:t>时期园林绿化发展的指导思想、基本原则、规划目标和重点任务，是大兴区未来五年园林绿化发展的主要行动纲领，为加快推动大兴区建设</w:t>
      </w:r>
      <w:r w:rsidRPr="00486879">
        <w:rPr>
          <w:rFonts w:ascii="仿宋_GB2312" w:eastAsia="仿宋_GB2312"/>
          <w:sz w:val="32"/>
          <w:szCs w:val="32"/>
        </w:rPr>
        <w:t>“</w:t>
      </w:r>
      <w:r w:rsidRPr="00486879">
        <w:rPr>
          <w:rFonts w:ascii="仿宋_GB2312" w:eastAsia="仿宋_GB2312"/>
          <w:sz w:val="32"/>
          <w:szCs w:val="32"/>
        </w:rPr>
        <w:t>协同发展示范区、繁荣开放国门新城</w:t>
      </w:r>
      <w:r w:rsidRPr="00486879">
        <w:rPr>
          <w:rFonts w:ascii="仿宋_GB2312" w:eastAsia="仿宋_GB2312"/>
          <w:sz w:val="32"/>
          <w:szCs w:val="32"/>
        </w:rPr>
        <w:t>”</w:t>
      </w:r>
      <w:r w:rsidRPr="00486879">
        <w:rPr>
          <w:rFonts w:ascii="仿宋_GB2312" w:eastAsia="仿宋_GB2312"/>
          <w:sz w:val="32"/>
          <w:szCs w:val="32"/>
        </w:rPr>
        <w:t>提供支撑</w:t>
      </w:r>
      <w:r w:rsidRPr="00486879">
        <w:rPr>
          <w:rFonts w:ascii="仿宋_GB2312" w:eastAsia="仿宋_GB2312" w:hint="eastAsia"/>
          <w:sz w:val="32"/>
          <w:szCs w:val="32"/>
        </w:rPr>
        <w:t>。</w:t>
      </w:r>
    </w:p>
    <w:p w14:paraId="45640C96" w14:textId="77777777" w:rsidR="00FA56B4" w:rsidRDefault="00000000">
      <w:pPr>
        <w:spacing w:line="560" w:lineRule="exact"/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三、主要内容</w:t>
      </w:r>
    </w:p>
    <w:p w14:paraId="2A43AACA" w14:textId="373E427A" w:rsidR="00FA56B4" w:rsidRDefault="00000000">
      <w:pPr>
        <w:snapToGrid w:val="0"/>
        <w:spacing w:line="560" w:lineRule="exact"/>
        <w:ind w:firstLineChars="200" w:firstLine="640"/>
        <w:rPr>
          <w:rFonts w:ascii="楷体_GB2312" w:eastAsia="仿宋_GB2312" w:hAnsi="楷体_GB2312" w:cs="楷体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《</w:t>
      </w:r>
      <w:r>
        <w:rPr>
          <w:rFonts w:ascii="仿宋_GB2312" w:eastAsia="仿宋_GB2312" w:hint="eastAsia"/>
          <w:sz w:val="32"/>
          <w:szCs w:val="32"/>
        </w:rPr>
        <w:t>规划</w:t>
      </w:r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r>
        <w:rPr>
          <w:rFonts w:ascii="仿宋_GB2312" w:eastAsia="仿宋_GB2312" w:hAnsi="Times New Roman" w:hint="eastAsia"/>
          <w:sz w:val="32"/>
          <w:szCs w:val="32"/>
        </w:rPr>
        <w:t>包括总体</w:t>
      </w:r>
      <w:r w:rsidR="006C07BC">
        <w:rPr>
          <w:rFonts w:ascii="仿宋_GB2312" w:eastAsia="仿宋_GB2312" w:hAnsi="Times New Roman" w:hint="eastAsia"/>
          <w:sz w:val="32"/>
          <w:szCs w:val="32"/>
        </w:rPr>
        <w:t>思路</w:t>
      </w:r>
      <w:r>
        <w:rPr>
          <w:rFonts w:ascii="仿宋_GB2312" w:eastAsia="仿宋_GB2312" w:hAnsi="Times New Roman" w:hint="eastAsia"/>
          <w:sz w:val="32"/>
          <w:szCs w:val="32"/>
        </w:rPr>
        <w:t>、</w:t>
      </w:r>
      <w:r w:rsidR="006C07BC">
        <w:rPr>
          <w:rFonts w:ascii="仿宋_GB2312" w:eastAsia="仿宋_GB2312" w:hAnsi="仿宋_GB2312" w:cs="仿宋_GB2312" w:hint="eastAsia"/>
          <w:sz w:val="32"/>
          <w:szCs w:val="32"/>
        </w:rPr>
        <w:t>重点任务、实施路径与保障措施三</w:t>
      </w:r>
      <w:r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="000169BE">
        <w:rPr>
          <w:rFonts w:ascii="仿宋_GB2312" w:eastAsia="仿宋_GB2312" w:hAnsi="仿宋_GB2312" w:cs="仿宋_GB2312" w:hint="eastAsia"/>
          <w:sz w:val="32"/>
          <w:szCs w:val="32"/>
        </w:rPr>
        <w:t>方面</w:t>
      </w:r>
      <w:r w:rsidR="006C07BC">
        <w:rPr>
          <w:rFonts w:ascii="仿宋_GB2312" w:eastAsia="仿宋_GB2312" w:hAnsi="Times New Roman" w:hint="eastAsia"/>
          <w:sz w:val="32"/>
          <w:szCs w:val="32"/>
        </w:rPr>
        <w:t>，</w:t>
      </w:r>
      <w:r w:rsidR="006C07BC" w:rsidRPr="006C07BC">
        <w:rPr>
          <w:rFonts w:ascii="仿宋_GB2312" w:eastAsia="仿宋_GB2312" w:hAnsi="Times New Roman"/>
          <w:sz w:val="32"/>
          <w:szCs w:val="32"/>
        </w:rPr>
        <w:t>聚焦花园城市建设形成首都示范、全域生态基底持续巩固、绿色产业引领长效发展、特色生态场景多维激活、工作管理体系精细高效五大建设方向</w:t>
      </w:r>
      <w:r>
        <w:rPr>
          <w:rFonts w:ascii="仿宋_GB2312" w:eastAsia="仿宋_GB2312" w:hAnsi="Times New Roman" w:hint="eastAsia"/>
          <w:sz w:val="32"/>
          <w:szCs w:val="32"/>
        </w:rPr>
        <w:t>，共设置了</w:t>
      </w:r>
      <w:r w:rsidR="006C07BC">
        <w:rPr>
          <w:rFonts w:ascii="仿宋_GB2312" w:eastAsia="仿宋_GB2312" w:hAnsi="Times New Roman" w:hint="eastAsia"/>
          <w:sz w:val="32"/>
          <w:szCs w:val="32"/>
        </w:rPr>
        <w:t>5</w:t>
      </w:r>
      <w:r>
        <w:rPr>
          <w:rFonts w:ascii="仿宋_GB2312" w:eastAsia="仿宋_GB2312" w:hAnsi="Times New Roman" w:hint="eastAsia"/>
          <w:sz w:val="32"/>
          <w:szCs w:val="32"/>
        </w:rPr>
        <w:t>项主要指标</w:t>
      </w:r>
      <w:r w:rsidR="006C07BC">
        <w:rPr>
          <w:rFonts w:ascii="仿宋_GB2312" w:eastAsia="仿宋_GB2312" w:hAnsi="Times New Roman" w:hint="eastAsia"/>
          <w:sz w:val="32"/>
          <w:szCs w:val="32"/>
        </w:rPr>
        <w:t>及</w:t>
      </w:r>
      <w:r w:rsidR="006C07BC" w:rsidRPr="006C07BC">
        <w:rPr>
          <w:rFonts w:ascii="仿宋_GB2312" w:eastAsia="仿宋_GB2312" w:hAnsi="Times New Roman"/>
          <w:sz w:val="32"/>
          <w:szCs w:val="32"/>
        </w:rPr>
        <w:t>26项重点任务</w:t>
      </w:r>
      <w:r>
        <w:rPr>
          <w:rFonts w:ascii="仿宋_GB2312" w:eastAsia="仿宋_GB2312" w:hAnsi="Times New Roman" w:hint="eastAsia"/>
          <w:sz w:val="32"/>
          <w:szCs w:val="32"/>
        </w:rPr>
        <w:t>。具体内容如下：</w:t>
      </w:r>
    </w:p>
    <w:p w14:paraId="00FBC820" w14:textId="7D1BD52A" w:rsidR="00FA56B4" w:rsidRDefault="00000000">
      <w:pPr>
        <w:snapToGrid w:val="0"/>
        <w:spacing w:line="560" w:lineRule="exact"/>
        <w:ind w:firstLineChars="200" w:firstLine="640"/>
        <w:rPr>
          <w:rFonts w:ascii="楷体_GB2312" w:eastAsia="楷体_GB2312" w:hAnsi="楷体_GB2312" w:cs="楷体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1.总体</w:t>
      </w:r>
      <w:r w:rsidR="00013EE6"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思路</w:t>
      </w:r>
    </w:p>
    <w:p w14:paraId="563924B4" w14:textId="3D501A4F" w:rsidR="00FA56B4" w:rsidRDefault="00013EE6">
      <w:pPr>
        <w:snapToGrid w:val="0"/>
        <w:spacing w:line="560" w:lineRule="exact"/>
        <w:ind w:firstLineChars="200" w:firstLine="640"/>
        <w:rPr>
          <w:rFonts w:ascii="仿宋_GB2312" w:eastAsia="黑体" w:cs="仿宋_GB2312"/>
          <w:sz w:val="32"/>
          <w:szCs w:val="32"/>
        </w:rPr>
      </w:pPr>
      <w:r w:rsidRPr="009B64D8">
        <w:rPr>
          <w:rFonts w:ascii="仿宋_GB2312" w:eastAsia="仿宋_GB2312" w:hAnsi="仿宋_GB2312" w:cs="仿宋_GB2312" w:hint="eastAsia"/>
          <w:sz w:val="32"/>
          <w:szCs w:val="32"/>
        </w:rPr>
        <w:t>围绕突出全域生态资源提质增效、花园式人居环境塑造、绿色产业赋能跃升的建设重点，</w:t>
      </w:r>
      <w:r w:rsidRPr="00013EE6">
        <w:rPr>
          <w:rFonts w:ascii="仿宋_GB2312" w:eastAsia="仿宋_GB2312" w:hAnsi="仿宋_GB2312" w:cs="仿宋_GB2312"/>
          <w:color w:val="000000"/>
          <w:sz w:val="32"/>
          <w:szCs w:val="32"/>
        </w:rPr>
        <w:t>聚焦建设林水相依的大美生境、廊网融城的国门画境、缤纷活力的花园意境，力争到“十五五”期末，建成花园城市样板先行区、蓝绿交融生态示范区、花果产业赋能创新区、生态文化传播体验区、精细共治现代发展区，形成“三境共兴、五区联创”新局面，打造首都宜居宜业现代化生态典范之城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14:paraId="6941E641" w14:textId="35F1E4E5" w:rsidR="00FA56B4" w:rsidRDefault="00000000">
      <w:pPr>
        <w:snapToGrid w:val="0"/>
        <w:spacing w:line="560" w:lineRule="exact"/>
        <w:ind w:firstLineChars="200" w:firstLine="640"/>
        <w:rPr>
          <w:rFonts w:ascii="楷体_GB2312" w:eastAsia="楷体_GB2312" w:hAnsi="楷体_GB2312" w:cs="楷体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2.</w:t>
      </w:r>
      <w:r w:rsidR="00533294"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重点任务</w:t>
      </w:r>
    </w:p>
    <w:p w14:paraId="7DE379FB" w14:textId="2F5C0253" w:rsidR="00263525" w:rsidRPr="002D7051" w:rsidRDefault="00263525" w:rsidP="00263525">
      <w:pPr>
        <w:spacing w:line="560" w:lineRule="exact"/>
        <w:ind w:firstLineChars="200" w:firstLine="643"/>
        <w:rPr>
          <w:rFonts w:ascii="仿宋_GB2312" w:eastAsia="仿宋_GB2312" w:hAnsi="楷体_GB2312" w:cs="楷体_GB2312" w:hint="eastAsia"/>
          <w:b/>
          <w:sz w:val="32"/>
          <w:szCs w:val="32"/>
        </w:rPr>
      </w:pPr>
      <w:bookmarkStart w:id="0" w:name="_Toc238476905"/>
      <w:r w:rsidRPr="002D7051">
        <w:rPr>
          <w:rFonts w:ascii="仿宋_GB2312" w:eastAsia="仿宋_GB2312" w:hAnsi="楷体_GB2312" w:cs="楷体_GB2312" w:hint="eastAsia"/>
          <w:b/>
          <w:sz w:val="32"/>
          <w:szCs w:val="32"/>
        </w:rPr>
        <w:t>（</w:t>
      </w:r>
      <w:r>
        <w:rPr>
          <w:rFonts w:ascii="仿宋_GB2312" w:eastAsia="仿宋_GB2312" w:hAnsi="楷体_GB2312" w:cs="楷体_GB2312" w:hint="eastAsia"/>
          <w:b/>
          <w:sz w:val="32"/>
          <w:szCs w:val="32"/>
        </w:rPr>
        <w:t>1</w:t>
      </w:r>
      <w:r w:rsidRPr="002D7051">
        <w:rPr>
          <w:rFonts w:ascii="仿宋_GB2312" w:eastAsia="仿宋_GB2312" w:hAnsi="楷体_GB2312" w:cs="楷体_GB2312" w:hint="eastAsia"/>
          <w:b/>
          <w:sz w:val="32"/>
          <w:szCs w:val="32"/>
        </w:rPr>
        <w:t>）</w:t>
      </w:r>
      <w:r w:rsidRPr="004F7830">
        <w:rPr>
          <w:rFonts w:ascii="仿宋_GB2312" w:eastAsia="仿宋_GB2312" w:hAnsi="楷体_GB2312" w:cs="楷体_GB2312"/>
          <w:b/>
          <w:sz w:val="32"/>
          <w:szCs w:val="32"/>
        </w:rPr>
        <w:t>样板先行，打造花园城市示范标杆</w:t>
      </w:r>
      <w:bookmarkEnd w:id="0"/>
    </w:p>
    <w:p w14:paraId="1ACB89B2" w14:textId="77777777" w:rsidR="00263525" w:rsidRDefault="00263525" w:rsidP="00263525">
      <w:pPr>
        <w:spacing w:line="560" w:lineRule="exact"/>
        <w:ind w:firstLineChars="200" w:firstLine="640"/>
        <w:rPr>
          <w:rFonts w:ascii="仿宋_GB2312" w:eastAsia="仿宋_GB2312" w:hAnsi="Calibri" w:cs="黑体"/>
          <w:bCs/>
          <w:sz w:val="32"/>
        </w:rPr>
      </w:pPr>
      <w:r w:rsidRPr="00E02091">
        <w:rPr>
          <w:rFonts w:ascii="仿宋_GB2312" w:eastAsia="仿宋_GB2312" w:hAnsi="Calibri" w:cs="黑体" w:hint="eastAsia"/>
          <w:bCs/>
          <w:sz w:val="32"/>
        </w:rPr>
        <w:t>落实首都花园城市规划建设总体要求，</w:t>
      </w:r>
      <w:r>
        <w:rPr>
          <w:rFonts w:ascii="仿宋_GB2312" w:eastAsia="仿宋_GB2312" w:hAnsi="Calibri" w:cs="黑体" w:hint="eastAsia"/>
          <w:bCs/>
          <w:sz w:val="32"/>
        </w:rPr>
        <w:t>紧密</w:t>
      </w:r>
      <w:r>
        <w:rPr>
          <w:rFonts w:ascii="仿宋_GB2312" w:eastAsia="仿宋_GB2312" w:hAnsi="仿宋_GB2312" w:cs="仿宋_GB2312" w:hint="eastAsia"/>
          <w:sz w:val="32"/>
          <w:szCs w:val="32"/>
        </w:rPr>
        <w:t>围绕“6+5+3”产业发展布局，</w:t>
      </w:r>
      <w:r>
        <w:rPr>
          <w:rFonts w:ascii="仿宋_GB2312" w:eastAsia="仿宋_GB2312" w:hAnsi="Calibri" w:cs="黑体" w:hint="eastAsia"/>
          <w:bCs/>
          <w:sz w:val="32"/>
        </w:rPr>
        <w:t>承接</w:t>
      </w:r>
      <w:r w:rsidRPr="00E02091">
        <w:rPr>
          <w:rFonts w:ascii="仿宋_GB2312" w:eastAsia="仿宋_GB2312" w:hAnsi="Calibri" w:cs="黑体" w:hint="eastAsia"/>
          <w:bCs/>
          <w:sz w:val="32"/>
        </w:rPr>
        <w:t>《大兴区花园城市三年行动计划（2024年-2026年）》</w:t>
      </w:r>
      <w:r>
        <w:rPr>
          <w:rFonts w:ascii="仿宋_GB2312" w:eastAsia="仿宋_GB2312" w:hAnsi="Calibri" w:cs="黑体" w:hint="eastAsia"/>
          <w:bCs/>
          <w:sz w:val="32"/>
        </w:rPr>
        <w:t>的目标方向</w:t>
      </w:r>
      <w:r w:rsidRPr="00E02091">
        <w:rPr>
          <w:rFonts w:ascii="仿宋_GB2312" w:eastAsia="仿宋_GB2312" w:hAnsi="Calibri" w:cs="黑体" w:hint="eastAsia"/>
          <w:bCs/>
          <w:sz w:val="32"/>
        </w:rPr>
        <w:t>，以</w:t>
      </w:r>
      <w:r>
        <w:rPr>
          <w:rFonts w:ascii="仿宋_GB2312" w:eastAsia="仿宋_GB2312" w:hAnsi="Calibri" w:cs="黑体" w:hint="eastAsia"/>
          <w:bCs/>
          <w:sz w:val="32"/>
        </w:rPr>
        <w:t>重点</w:t>
      </w:r>
      <w:r w:rsidRPr="00E02091">
        <w:rPr>
          <w:rFonts w:ascii="仿宋_GB2312" w:eastAsia="仿宋_GB2312" w:hAnsi="Calibri" w:cs="黑体" w:hint="eastAsia"/>
          <w:bCs/>
          <w:sz w:val="32"/>
        </w:rPr>
        <w:t>片区为引领，以特色品牌公园、多彩城市画廊</w:t>
      </w:r>
      <w:r>
        <w:rPr>
          <w:rFonts w:ascii="仿宋_GB2312" w:eastAsia="仿宋_GB2312" w:hAnsi="Calibri" w:cs="黑体" w:hint="eastAsia"/>
          <w:bCs/>
          <w:sz w:val="32"/>
        </w:rPr>
        <w:t>、花园示范镇村等</w:t>
      </w:r>
      <w:r w:rsidRPr="00E02091">
        <w:rPr>
          <w:rFonts w:ascii="仿宋_GB2312" w:eastAsia="仿宋_GB2312" w:hAnsi="Calibri" w:cs="黑体" w:hint="eastAsia"/>
          <w:bCs/>
          <w:sz w:val="32"/>
        </w:rPr>
        <w:t>为抓手，分步推进、突出重点，建成一批代表首都花园城市建设的示范样板工程</w:t>
      </w:r>
      <w:r>
        <w:rPr>
          <w:rFonts w:ascii="仿宋_GB2312" w:eastAsia="仿宋_GB2312" w:hAnsi="Calibri" w:cs="黑体" w:hint="eastAsia"/>
          <w:bCs/>
          <w:sz w:val="32"/>
        </w:rPr>
        <w:t>。</w:t>
      </w:r>
      <w:r w:rsidRPr="00E02091">
        <w:rPr>
          <w:rFonts w:ascii="仿宋_GB2312" w:eastAsia="仿宋_GB2312" w:hAnsi="Calibri" w:cs="黑体" w:hint="eastAsia"/>
          <w:bCs/>
          <w:sz w:val="32"/>
        </w:rPr>
        <w:t>完善公园游憩体系建设，持续推进无界公园、全龄友好型公园建设，织补500米半径服务盲区，“绿拥国门、花园兴城”的美好愿景初步达成。</w:t>
      </w:r>
    </w:p>
    <w:p w14:paraId="2FD17E9F" w14:textId="7E569BD7" w:rsidR="008B3C38" w:rsidRPr="008B3C38" w:rsidRDefault="008B3C38" w:rsidP="008B3C38">
      <w:pPr>
        <w:spacing w:line="560" w:lineRule="exact"/>
        <w:ind w:firstLineChars="200" w:firstLine="640"/>
        <w:rPr>
          <w:rFonts w:ascii="仿宋_GB2312" w:eastAsia="仿宋_GB2312" w:hAnsi="Calibri" w:cs="黑体"/>
          <w:bCs/>
          <w:sz w:val="32"/>
        </w:rPr>
      </w:pPr>
      <w:r w:rsidRPr="008B3C38">
        <w:rPr>
          <w:rFonts w:ascii="仿宋_GB2312" w:eastAsia="仿宋_GB2312" w:hAnsi="Calibri" w:cs="黑体"/>
          <w:bCs/>
          <w:sz w:val="32"/>
        </w:rPr>
        <w:lastRenderedPageBreak/>
        <w:t>“</w:t>
      </w:r>
      <w:r w:rsidRPr="008B3C38">
        <w:rPr>
          <w:rFonts w:ascii="仿宋_GB2312" w:eastAsia="仿宋_GB2312" w:hAnsi="Calibri" w:cs="黑体"/>
          <w:bCs/>
          <w:sz w:val="32"/>
        </w:rPr>
        <w:t>十五五</w:t>
      </w:r>
      <w:r w:rsidRPr="008B3C38">
        <w:rPr>
          <w:rFonts w:ascii="仿宋_GB2312" w:eastAsia="仿宋_GB2312" w:hAnsi="Calibri" w:cs="黑体"/>
          <w:bCs/>
          <w:sz w:val="32"/>
        </w:rPr>
        <w:t>”</w:t>
      </w:r>
      <w:r w:rsidRPr="008B3C38">
        <w:rPr>
          <w:rFonts w:ascii="仿宋_GB2312" w:eastAsia="仿宋_GB2312" w:hAnsi="Calibri" w:cs="黑体"/>
          <w:bCs/>
          <w:sz w:val="32"/>
        </w:rPr>
        <w:t>期间，高标准打造花园城市示范片区，重点建设永定湾、临空经济区门户枢纽以及生物医药基地、念坛金融商务区等示范片区，塑造城园交融、水城共融的城市风貌。在完善公园游憩体系方面，开展现状评估与需求调查，构建</w:t>
      </w:r>
      <w:r w:rsidRPr="008B3C38">
        <w:rPr>
          <w:rFonts w:ascii="仿宋_GB2312" w:eastAsia="仿宋_GB2312" w:hAnsi="Calibri" w:cs="黑体"/>
          <w:bCs/>
          <w:sz w:val="32"/>
        </w:rPr>
        <w:t>“</w:t>
      </w:r>
      <w:r w:rsidRPr="008B3C38">
        <w:rPr>
          <w:rFonts w:ascii="仿宋_GB2312" w:eastAsia="仿宋_GB2312" w:hAnsi="Calibri" w:cs="黑体"/>
          <w:bCs/>
          <w:sz w:val="32"/>
        </w:rPr>
        <w:t>公园</w:t>
      </w:r>
      <w:r w:rsidRPr="008B3C38">
        <w:rPr>
          <w:rFonts w:ascii="仿宋_GB2312" w:eastAsia="仿宋_GB2312" w:hAnsi="Calibri" w:cs="黑体"/>
          <w:bCs/>
          <w:sz w:val="32"/>
        </w:rPr>
        <w:t>—</w:t>
      </w:r>
      <w:r w:rsidRPr="008B3C38">
        <w:rPr>
          <w:rFonts w:ascii="仿宋_GB2312" w:eastAsia="仿宋_GB2312" w:hAnsi="Calibri" w:cs="黑体"/>
          <w:bCs/>
          <w:sz w:val="32"/>
        </w:rPr>
        <w:t>绿道</w:t>
      </w:r>
      <w:r w:rsidRPr="008B3C38">
        <w:rPr>
          <w:rFonts w:ascii="仿宋_GB2312" w:eastAsia="仿宋_GB2312" w:hAnsi="Calibri" w:cs="黑体"/>
          <w:bCs/>
          <w:sz w:val="32"/>
        </w:rPr>
        <w:t>—</w:t>
      </w:r>
      <w:r w:rsidRPr="008B3C38">
        <w:rPr>
          <w:rFonts w:ascii="仿宋_GB2312" w:eastAsia="仿宋_GB2312" w:hAnsi="Calibri" w:cs="黑体"/>
          <w:bCs/>
          <w:sz w:val="32"/>
        </w:rPr>
        <w:t>活力圈</w:t>
      </w:r>
      <w:r w:rsidRPr="008B3C38">
        <w:rPr>
          <w:rFonts w:ascii="仿宋_GB2312" w:eastAsia="仿宋_GB2312" w:hAnsi="Calibri" w:cs="黑体"/>
          <w:bCs/>
          <w:sz w:val="32"/>
        </w:rPr>
        <w:t>—</w:t>
      </w:r>
      <w:r w:rsidRPr="008B3C38">
        <w:rPr>
          <w:rFonts w:ascii="仿宋_GB2312" w:eastAsia="仿宋_GB2312" w:hAnsi="Calibri" w:cs="黑体"/>
          <w:bCs/>
          <w:sz w:val="32"/>
        </w:rPr>
        <w:t>活力群</w:t>
      </w:r>
      <w:r w:rsidRPr="008B3C38">
        <w:rPr>
          <w:rFonts w:ascii="仿宋_GB2312" w:eastAsia="仿宋_GB2312" w:hAnsi="Calibri" w:cs="黑体"/>
          <w:bCs/>
          <w:sz w:val="32"/>
        </w:rPr>
        <w:t>”</w:t>
      </w:r>
      <w:r w:rsidRPr="008B3C38">
        <w:rPr>
          <w:rFonts w:ascii="仿宋_GB2312" w:eastAsia="仿宋_GB2312" w:hAnsi="Calibri" w:cs="黑体"/>
          <w:bCs/>
          <w:sz w:val="32"/>
        </w:rPr>
        <w:t>体系，推进三大公园联通、大型公园建设及绿地500米服务半径消盲，建设</w:t>
      </w:r>
      <w:r w:rsidRPr="008B3C38">
        <w:rPr>
          <w:rFonts w:ascii="仿宋_GB2312" w:eastAsia="仿宋_GB2312" w:hAnsi="Calibri" w:cs="黑体"/>
          <w:bCs/>
          <w:sz w:val="32"/>
        </w:rPr>
        <w:t>“</w:t>
      </w:r>
      <w:r w:rsidRPr="008B3C38">
        <w:rPr>
          <w:rFonts w:ascii="仿宋_GB2312" w:eastAsia="仿宋_GB2312" w:hAnsi="Calibri" w:cs="黑体"/>
          <w:bCs/>
          <w:sz w:val="32"/>
        </w:rPr>
        <w:t>身边微花园</w:t>
      </w:r>
      <w:r w:rsidRPr="008B3C38">
        <w:rPr>
          <w:rFonts w:ascii="仿宋_GB2312" w:eastAsia="仿宋_GB2312" w:hAnsi="Calibri" w:cs="黑体"/>
          <w:bCs/>
          <w:sz w:val="32"/>
        </w:rPr>
        <w:t>”</w:t>
      </w:r>
      <w:r w:rsidRPr="008B3C38">
        <w:rPr>
          <w:rFonts w:ascii="仿宋_GB2312" w:eastAsia="仿宋_GB2312" w:hAnsi="Calibri" w:cs="黑体"/>
          <w:bCs/>
          <w:sz w:val="32"/>
        </w:rPr>
        <w:t>和</w:t>
      </w:r>
      <w:r w:rsidRPr="008B3C38">
        <w:rPr>
          <w:rFonts w:ascii="仿宋_GB2312" w:eastAsia="仿宋_GB2312" w:hAnsi="Calibri" w:cs="黑体"/>
          <w:bCs/>
          <w:sz w:val="32"/>
        </w:rPr>
        <w:t>“</w:t>
      </w:r>
      <w:r w:rsidRPr="008B3C38">
        <w:rPr>
          <w:rFonts w:ascii="仿宋_GB2312" w:eastAsia="仿宋_GB2312" w:hAnsi="Calibri" w:cs="黑体"/>
          <w:bCs/>
          <w:sz w:val="32"/>
        </w:rPr>
        <w:t>一村一公园</w:t>
      </w:r>
      <w:r w:rsidRPr="008B3C38">
        <w:rPr>
          <w:rFonts w:ascii="仿宋_GB2312" w:eastAsia="仿宋_GB2312" w:hAnsi="Calibri" w:cs="黑体"/>
          <w:bCs/>
          <w:sz w:val="32"/>
        </w:rPr>
        <w:t>”</w:t>
      </w:r>
      <w:r w:rsidRPr="008B3C38">
        <w:rPr>
          <w:rFonts w:ascii="仿宋_GB2312" w:eastAsia="仿宋_GB2312" w:hAnsi="Calibri" w:cs="黑体"/>
          <w:bCs/>
          <w:sz w:val="32"/>
        </w:rPr>
        <w:t>示范工程。落实</w:t>
      </w:r>
      <w:r w:rsidRPr="008B3C38">
        <w:rPr>
          <w:rFonts w:ascii="仿宋_GB2312" w:eastAsia="仿宋_GB2312" w:hAnsi="Calibri" w:cs="黑体"/>
          <w:bCs/>
          <w:sz w:val="32"/>
        </w:rPr>
        <w:t>“</w:t>
      </w:r>
      <w:r w:rsidRPr="008B3C38">
        <w:rPr>
          <w:rFonts w:ascii="仿宋_GB2312" w:eastAsia="仿宋_GB2312" w:hAnsi="Calibri" w:cs="黑体"/>
          <w:bCs/>
          <w:sz w:val="32"/>
        </w:rPr>
        <w:t>一园一品</w:t>
      </w:r>
      <w:r w:rsidRPr="008B3C38">
        <w:rPr>
          <w:rFonts w:ascii="仿宋_GB2312" w:eastAsia="仿宋_GB2312" w:hAnsi="Calibri" w:cs="黑体"/>
          <w:bCs/>
          <w:sz w:val="32"/>
        </w:rPr>
        <w:t>”</w:t>
      </w:r>
      <w:r w:rsidRPr="008B3C38">
        <w:rPr>
          <w:rFonts w:ascii="仿宋_GB2312" w:eastAsia="仿宋_GB2312" w:hAnsi="Calibri" w:cs="黑体"/>
          <w:bCs/>
          <w:sz w:val="32"/>
        </w:rPr>
        <w:t>理念，推动公园主题特色化与高质量更新，全面推动公园</w:t>
      </w:r>
      <w:r w:rsidRPr="008B3C38">
        <w:rPr>
          <w:rFonts w:ascii="仿宋_GB2312" w:eastAsia="仿宋_GB2312" w:hAnsi="Calibri" w:cs="黑体"/>
          <w:bCs/>
          <w:sz w:val="32"/>
        </w:rPr>
        <w:t>“</w:t>
      </w:r>
      <w:r w:rsidRPr="008B3C38">
        <w:rPr>
          <w:rFonts w:ascii="仿宋_GB2312" w:eastAsia="仿宋_GB2312" w:hAnsi="Calibri" w:cs="黑体"/>
          <w:bCs/>
          <w:sz w:val="32"/>
        </w:rPr>
        <w:t>无界共享</w:t>
      </w:r>
      <w:r w:rsidRPr="008B3C38">
        <w:rPr>
          <w:rFonts w:ascii="仿宋_GB2312" w:eastAsia="仿宋_GB2312" w:hAnsi="Calibri" w:cs="黑体"/>
          <w:bCs/>
          <w:sz w:val="32"/>
        </w:rPr>
        <w:t>”</w:t>
      </w:r>
      <w:r w:rsidRPr="008B3C38">
        <w:rPr>
          <w:rFonts w:ascii="仿宋_GB2312" w:eastAsia="仿宋_GB2312" w:hAnsi="Calibri" w:cs="黑体"/>
          <w:bCs/>
          <w:sz w:val="32"/>
        </w:rPr>
        <w:t>，打造宠物友好、森林疗愈等多元主题。强化绿色国门印象，实施</w:t>
      </w:r>
      <w:r w:rsidRPr="008B3C38">
        <w:rPr>
          <w:rFonts w:ascii="仿宋_GB2312" w:eastAsia="仿宋_GB2312" w:hAnsi="Calibri" w:cs="黑体"/>
          <w:bCs/>
          <w:sz w:val="32"/>
        </w:rPr>
        <w:t>“</w:t>
      </w:r>
      <w:r w:rsidRPr="008B3C38">
        <w:rPr>
          <w:rFonts w:ascii="仿宋_GB2312" w:eastAsia="仿宋_GB2312" w:hAnsi="Calibri" w:cs="黑体"/>
          <w:bCs/>
          <w:sz w:val="32"/>
        </w:rPr>
        <w:t>国门彩廊</w:t>
      </w:r>
      <w:r w:rsidRPr="008B3C38">
        <w:rPr>
          <w:rFonts w:ascii="仿宋_GB2312" w:eastAsia="仿宋_GB2312" w:hAnsi="Calibri" w:cs="黑体"/>
          <w:bCs/>
          <w:sz w:val="32"/>
        </w:rPr>
        <w:t>”</w:t>
      </w:r>
      <w:r w:rsidRPr="008B3C38">
        <w:rPr>
          <w:rFonts w:ascii="仿宋_GB2312" w:eastAsia="仿宋_GB2312" w:hAnsi="Calibri" w:cs="黑体"/>
          <w:bCs/>
          <w:sz w:val="32"/>
        </w:rPr>
        <w:t>工程，提升机场周边及重要道路沿线景观</w:t>
      </w:r>
      <w:r w:rsidR="008E51DE">
        <w:rPr>
          <w:rFonts w:ascii="仿宋_GB2312" w:eastAsia="仿宋_GB2312" w:hAnsi="Calibri" w:cs="黑体" w:hint="eastAsia"/>
          <w:bCs/>
          <w:sz w:val="32"/>
        </w:rPr>
        <w:t>，同时</w:t>
      </w:r>
      <w:r w:rsidRPr="008B3C38">
        <w:rPr>
          <w:rFonts w:ascii="仿宋_GB2312" w:eastAsia="仿宋_GB2312" w:hAnsi="Calibri" w:cs="黑体"/>
          <w:bCs/>
          <w:sz w:val="32"/>
        </w:rPr>
        <w:t>推进城市画廊示范建设，打造</w:t>
      </w:r>
      <w:r w:rsidRPr="008B3C38">
        <w:rPr>
          <w:rFonts w:ascii="仿宋_GB2312" w:eastAsia="仿宋_GB2312" w:hAnsi="Calibri" w:cs="黑体"/>
          <w:bCs/>
          <w:sz w:val="32"/>
        </w:rPr>
        <w:t>“</w:t>
      </w:r>
      <w:r w:rsidRPr="008B3C38">
        <w:rPr>
          <w:rFonts w:ascii="仿宋_GB2312" w:eastAsia="仿宋_GB2312" w:hAnsi="Calibri" w:cs="黑体"/>
          <w:bCs/>
          <w:sz w:val="32"/>
        </w:rPr>
        <w:t>一路一花</w:t>
      </w:r>
      <w:r w:rsidRPr="008B3C38">
        <w:rPr>
          <w:rFonts w:ascii="仿宋_GB2312" w:eastAsia="仿宋_GB2312" w:hAnsi="Calibri" w:cs="黑体"/>
          <w:bCs/>
          <w:sz w:val="32"/>
        </w:rPr>
        <w:t>”</w:t>
      </w:r>
      <w:r w:rsidRPr="008B3C38">
        <w:rPr>
          <w:rFonts w:ascii="仿宋_GB2312" w:eastAsia="仿宋_GB2312" w:hAnsi="Calibri" w:cs="黑体"/>
          <w:bCs/>
          <w:sz w:val="32"/>
        </w:rPr>
        <w:t>特色花街</w:t>
      </w:r>
      <w:r w:rsidR="008E51DE">
        <w:rPr>
          <w:rFonts w:ascii="仿宋_GB2312" w:eastAsia="仿宋_GB2312" w:hAnsi="Calibri" w:cs="黑体" w:hint="eastAsia"/>
          <w:bCs/>
          <w:sz w:val="32"/>
        </w:rPr>
        <w:t>。</w:t>
      </w:r>
      <w:r w:rsidRPr="008B3C38">
        <w:rPr>
          <w:rFonts w:ascii="仿宋_GB2312" w:eastAsia="仿宋_GB2312" w:hAnsi="Calibri" w:cs="黑体"/>
          <w:bCs/>
          <w:sz w:val="32"/>
        </w:rPr>
        <w:t>结合乡村振兴，建设京南平原多产融合花园示范乡镇及特色示范镇村，全面提升城乡人居环境与生态品质。</w:t>
      </w:r>
    </w:p>
    <w:p w14:paraId="53D3F3E4" w14:textId="167F949D" w:rsidR="00263525" w:rsidRDefault="00263525" w:rsidP="00263525">
      <w:pPr>
        <w:spacing w:line="560" w:lineRule="exact"/>
        <w:ind w:firstLineChars="200" w:firstLine="643"/>
        <w:rPr>
          <w:rFonts w:ascii="仿宋_GB2312" w:eastAsia="仿宋_GB2312" w:hAnsi="楷体_GB2312" w:cs="楷体_GB2312" w:hint="eastAsia"/>
          <w:b/>
          <w:sz w:val="32"/>
          <w:szCs w:val="32"/>
        </w:rPr>
      </w:pPr>
      <w:bookmarkStart w:id="1" w:name="_Toc238476913"/>
      <w:r w:rsidRPr="002D7051">
        <w:rPr>
          <w:rFonts w:ascii="仿宋_GB2312" w:eastAsia="仿宋_GB2312" w:hAnsi="楷体_GB2312" w:cs="楷体_GB2312" w:hint="eastAsia"/>
          <w:b/>
          <w:sz w:val="32"/>
          <w:szCs w:val="32"/>
        </w:rPr>
        <w:t>（</w:t>
      </w:r>
      <w:r>
        <w:rPr>
          <w:rFonts w:ascii="仿宋_GB2312" w:eastAsia="仿宋_GB2312" w:hAnsi="楷体_GB2312" w:cs="楷体_GB2312" w:hint="eastAsia"/>
          <w:b/>
          <w:sz w:val="32"/>
          <w:szCs w:val="32"/>
        </w:rPr>
        <w:t>2</w:t>
      </w:r>
      <w:r w:rsidRPr="002D7051">
        <w:rPr>
          <w:rFonts w:ascii="仿宋_GB2312" w:eastAsia="仿宋_GB2312" w:hAnsi="楷体_GB2312" w:cs="楷体_GB2312" w:hint="eastAsia"/>
          <w:b/>
          <w:sz w:val="32"/>
          <w:szCs w:val="32"/>
        </w:rPr>
        <w:t>）</w:t>
      </w:r>
      <w:r w:rsidRPr="004F7830">
        <w:rPr>
          <w:rFonts w:ascii="仿宋_GB2312" w:eastAsia="仿宋_GB2312" w:hAnsi="楷体_GB2312" w:cs="楷体_GB2312"/>
          <w:b/>
          <w:sz w:val="32"/>
          <w:szCs w:val="32"/>
        </w:rPr>
        <w:t>系统治理，筑牢全域生态安全基底</w:t>
      </w:r>
      <w:bookmarkEnd w:id="1"/>
    </w:p>
    <w:p w14:paraId="61EFCAF7" w14:textId="21174400" w:rsidR="00263525" w:rsidRPr="00E02091" w:rsidRDefault="00263525" w:rsidP="00263525">
      <w:pPr>
        <w:spacing w:line="560" w:lineRule="exact"/>
        <w:ind w:firstLineChars="200" w:firstLine="640"/>
        <w:rPr>
          <w:rFonts w:ascii="仿宋_GB2312" w:eastAsia="仿宋_GB2312" w:hAnsi="Calibri" w:cs="黑体"/>
          <w:bCs/>
          <w:sz w:val="32"/>
        </w:rPr>
      </w:pPr>
      <w:r w:rsidRPr="00263525">
        <w:rPr>
          <w:rFonts w:ascii="仿宋_GB2312" w:eastAsia="仿宋_GB2312" w:hAnsi="Calibri" w:cs="黑体"/>
          <w:bCs/>
          <w:sz w:val="32"/>
        </w:rPr>
        <w:t>围绕</w:t>
      </w:r>
      <w:r w:rsidRPr="00263525">
        <w:rPr>
          <w:rFonts w:ascii="仿宋_GB2312" w:eastAsia="仿宋_GB2312" w:hAnsi="Calibri" w:cs="黑体"/>
          <w:bCs/>
          <w:sz w:val="32"/>
        </w:rPr>
        <w:t>“</w:t>
      </w:r>
      <w:r w:rsidRPr="00263525">
        <w:rPr>
          <w:rFonts w:ascii="仿宋_GB2312" w:eastAsia="仿宋_GB2312" w:hAnsi="Calibri" w:cs="黑体"/>
          <w:bCs/>
          <w:sz w:val="32"/>
        </w:rPr>
        <w:t>一轴、一心、一环、两带</w:t>
      </w:r>
      <w:r w:rsidRPr="00263525">
        <w:rPr>
          <w:rFonts w:ascii="仿宋_GB2312" w:eastAsia="仿宋_GB2312" w:hAnsi="Calibri" w:cs="黑体"/>
          <w:bCs/>
          <w:sz w:val="32"/>
        </w:rPr>
        <w:t>”</w:t>
      </w:r>
      <w:r w:rsidRPr="00263525">
        <w:rPr>
          <w:rFonts w:ascii="仿宋_GB2312" w:eastAsia="仿宋_GB2312" w:hAnsi="Calibri" w:cs="黑体"/>
          <w:bCs/>
          <w:sz w:val="32"/>
        </w:rPr>
        <w:t>持续巩固绿色空间格局，协同建设绿色南中轴，提升生态绿心与环机场森林品质，并重点推进永定河及东南部森林湿地生态带的修复与涵养。在此基础上，稳步提升森林规模与质量，落实林地保护规划，精准实施森林经营与过熟林更新改造，打造高标准</w:t>
      </w:r>
      <w:r w:rsidRPr="00263525">
        <w:rPr>
          <w:rFonts w:ascii="仿宋_GB2312" w:eastAsia="仿宋_GB2312" w:hAnsi="Calibri" w:cs="黑体"/>
          <w:bCs/>
          <w:sz w:val="32"/>
        </w:rPr>
        <w:t>“</w:t>
      </w:r>
      <w:r w:rsidRPr="00263525">
        <w:rPr>
          <w:rFonts w:ascii="仿宋_GB2312" w:eastAsia="仿宋_GB2312" w:hAnsi="Calibri" w:cs="黑体"/>
          <w:bCs/>
          <w:sz w:val="32"/>
        </w:rPr>
        <w:t>恒续林</w:t>
      </w:r>
      <w:r w:rsidRPr="00263525">
        <w:rPr>
          <w:rFonts w:ascii="仿宋_GB2312" w:eastAsia="仿宋_GB2312" w:hAnsi="Calibri" w:cs="黑体"/>
          <w:bCs/>
          <w:sz w:val="32"/>
        </w:rPr>
        <w:t>”</w:t>
      </w:r>
      <w:r w:rsidR="005C3CBA">
        <w:rPr>
          <w:rFonts w:ascii="仿宋_GB2312" w:eastAsia="仿宋_GB2312" w:hAnsi="Calibri" w:cs="黑体" w:hint="eastAsia"/>
          <w:bCs/>
          <w:sz w:val="32"/>
        </w:rPr>
        <w:t>。</w:t>
      </w:r>
      <w:r w:rsidRPr="00263525">
        <w:rPr>
          <w:rFonts w:ascii="仿宋_GB2312" w:eastAsia="仿宋_GB2312" w:hAnsi="Calibri" w:cs="黑体"/>
          <w:bCs/>
          <w:sz w:val="32"/>
        </w:rPr>
        <w:t>强化森林资源管理，完善资源本底调查与</w:t>
      </w:r>
      <w:r w:rsidRPr="00263525">
        <w:rPr>
          <w:rFonts w:ascii="仿宋_GB2312" w:eastAsia="仿宋_GB2312" w:hAnsi="Calibri" w:cs="黑体"/>
          <w:bCs/>
          <w:sz w:val="32"/>
        </w:rPr>
        <w:t>“</w:t>
      </w:r>
      <w:r w:rsidRPr="00263525">
        <w:rPr>
          <w:rFonts w:ascii="仿宋_GB2312" w:eastAsia="仿宋_GB2312" w:hAnsi="Calibri" w:cs="黑体"/>
          <w:bCs/>
          <w:sz w:val="32"/>
        </w:rPr>
        <w:t>一张图</w:t>
      </w:r>
      <w:r w:rsidRPr="00263525">
        <w:rPr>
          <w:rFonts w:ascii="仿宋_GB2312" w:eastAsia="仿宋_GB2312" w:hAnsi="Calibri" w:cs="黑体"/>
          <w:bCs/>
          <w:sz w:val="32"/>
        </w:rPr>
        <w:t>”</w:t>
      </w:r>
      <w:r w:rsidRPr="00263525">
        <w:rPr>
          <w:rFonts w:ascii="仿宋_GB2312" w:eastAsia="仿宋_GB2312" w:hAnsi="Calibri" w:cs="黑体"/>
          <w:bCs/>
          <w:sz w:val="32"/>
        </w:rPr>
        <w:t>监测体系，严格林地定额与执法监管，并加强国有林场设施配套与科研教育建设。坚持保护优先，建立湿地监测-评估-巡查体系，提升湿地科普与游憩功能</w:t>
      </w:r>
      <w:r w:rsidR="005C3CBA">
        <w:rPr>
          <w:rFonts w:ascii="仿宋_GB2312" w:eastAsia="仿宋_GB2312" w:hAnsi="Calibri" w:cs="黑体" w:hint="eastAsia"/>
          <w:bCs/>
          <w:sz w:val="32"/>
        </w:rPr>
        <w:t>。</w:t>
      </w:r>
      <w:r w:rsidRPr="00263525">
        <w:rPr>
          <w:rFonts w:ascii="仿宋_GB2312" w:eastAsia="仿宋_GB2312" w:hAnsi="Calibri" w:cs="黑体"/>
          <w:bCs/>
          <w:sz w:val="32"/>
        </w:rPr>
        <w:t>全面深化生物多样性保护，构建野生动植物动态监测体系，重点开展鸟类栖息地修复与保育小区建设，完善名录管理与规范监管，通</w:t>
      </w:r>
      <w:r w:rsidRPr="00263525">
        <w:rPr>
          <w:rFonts w:ascii="仿宋_GB2312" w:eastAsia="仿宋_GB2312" w:hAnsi="Calibri" w:cs="黑体"/>
          <w:bCs/>
          <w:sz w:val="32"/>
        </w:rPr>
        <w:lastRenderedPageBreak/>
        <w:t>过丰富宣传途径与公众参与，形成全社会共同保护的良好局面，全面提升区域生态系统多样性、稳定性与持续性</w:t>
      </w:r>
      <w:r w:rsidRPr="00E02091">
        <w:rPr>
          <w:rFonts w:ascii="仿宋_GB2312" w:eastAsia="仿宋_GB2312" w:hAnsi="Calibri" w:cs="黑体" w:hint="eastAsia"/>
          <w:bCs/>
          <w:sz w:val="32"/>
        </w:rPr>
        <w:t>。</w:t>
      </w:r>
    </w:p>
    <w:p w14:paraId="09E09805" w14:textId="1EEFF248" w:rsidR="00263525" w:rsidRPr="0031217A" w:rsidRDefault="00263525" w:rsidP="00263525">
      <w:pPr>
        <w:spacing w:line="560" w:lineRule="exact"/>
        <w:ind w:firstLineChars="200" w:firstLine="643"/>
        <w:rPr>
          <w:rFonts w:ascii="仿宋_GB2312" w:eastAsia="仿宋_GB2312" w:hAnsi="楷体_GB2312" w:cs="楷体_GB2312" w:hint="eastAsia"/>
          <w:b/>
          <w:sz w:val="32"/>
          <w:szCs w:val="32"/>
        </w:rPr>
      </w:pPr>
      <w:bookmarkStart w:id="2" w:name="_Toc238476919"/>
      <w:r w:rsidRPr="0031217A">
        <w:rPr>
          <w:rFonts w:ascii="仿宋_GB2312" w:eastAsia="仿宋_GB2312" w:hAnsi="楷体_GB2312" w:cs="楷体_GB2312" w:hint="eastAsia"/>
          <w:b/>
          <w:sz w:val="32"/>
          <w:szCs w:val="32"/>
        </w:rPr>
        <w:t>（</w:t>
      </w:r>
      <w:r>
        <w:rPr>
          <w:rFonts w:ascii="仿宋_GB2312" w:eastAsia="仿宋_GB2312" w:hAnsi="楷体_GB2312" w:cs="楷体_GB2312" w:hint="eastAsia"/>
          <w:b/>
          <w:sz w:val="32"/>
          <w:szCs w:val="32"/>
        </w:rPr>
        <w:t>3</w:t>
      </w:r>
      <w:r w:rsidRPr="0031217A">
        <w:rPr>
          <w:rFonts w:ascii="仿宋_GB2312" w:eastAsia="仿宋_GB2312" w:hAnsi="楷体_GB2312" w:cs="楷体_GB2312" w:hint="eastAsia"/>
          <w:b/>
          <w:sz w:val="32"/>
          <w:szCs w:val="32"/>
        </w:rPr>
        <w:t>）体系</w:t>
      </w:r>
      <w:r w:rsidRPr="0031217A">
        <w:rPr>
          <w:rFonts w:ascii="仿宋_GB2312" w:eastAsia="仿宋_GB2312" w:hAnsi="楷体_GB2312" w:cs="楷体_GB2312"/>
          <w:b/>
          <w:sz w:val="32"/>
          <w:szCs w:val="32"/>
        </w:rPr>
        <w:t>创新，</w:t>
      </w:r>
      <w:r w:rsidRPr="0031217A">
        <w:rPr>
          <w:rFonts w:ascii="仿宋_GB2312" w:eastAsia="仿宋_GB2312" w:hAnsi="楷体_GB2312" w:cs="楷体_GB2312" w:hint="eastAsia"/>
          <w:b/>
          <w:sz w:val="32"/>
          <w:szCs w:val="32"/>
        </w:rPr>
        <w:t>推动绿色产</w:t>
      </w:r>
      <w:r w:rsidRPr="0031217A">
        <w:rPr>
          <w:rFonts w:ascii="仿宋_GB2312" w:eastAsia="仿宋_GB2312" w:hAnsi="楷体_GB2312" w:cs="楷体_GB2312"/>
          <w:b/>
          <w:sz w:val="32"/>
          <w:szCs w:val="32"/>
        </w:rPr>
        <w:t>业</w:t>
      </w:r>
      <w:r w:rsidRPr="0031217A">
        <w:rPr>
          <w:rFonts w:ascii="仿宋_GB2312" w:eastAsia="仿宋_GB2312" w:hAnsi="楷体_GB2312" w:cs="楷体_GB2312" w:hint="eastAsia"/>
          <w:b/>
          <w:sz w:val="32"/>
          <w:szCs w:val="32"/>
        </w:rPr>
        <w:t>长效发展</w:t>
      </w:r>
      <w:bookmarkEnd w:id="2"/>
    </w:p>
    <w:p w14:paraId="51727B24" w14:textId="71D29673" w:rsidR="00263525" w:rsidRDefault="00263525" w:rsidP="00263525">
      <w:pPr>
        <w:spacing w:line="560" w:lineRule="exact"/>
        <w:ind w:firstLineChars="200" w:firstLine="640"/>
        <w:rPr>
          <w:rFonts w:ascii="仿宋_GB2312" w:eastAsia="仿宋_GB2312" w:hAnsi="Calibri" w:cs="黑体"/>
          <w:bCs/>
          <w:sz w:val="32"/>
        </w:rPr>
      </w:pPr>
      <w:r w:rsidRPr="00263525">
        <w:rPr>
          <w:rFonts w:ascii="仿宋_GB2312" w:eastAsia="仿宋_GB2312" w:hAnsi="Calibri" w:cs="黑体"/>
          <w:bCs/>
          <w:sz w:val="32"/>
        </w:rPr>
        <w:t>统筹衔接研发、生产、流通与运营等环节，全面构建涵盖林果、花卉、林下经济等领域的绿色产业全链条体系。在花卉产业方面，重点建设北京大兴国际花园科技示范区与花卉交易中心，贯通全产业链条；深化月季、朱顶红等新品种研发与试验应用，持续擦亮月季品牌。在林果产业方面，打造</w:t>
      </w:r>
      <w:r w:rsidRPr="00263525">
        <w:rPr>
          <w:rFonts w:ascii="仿宋_GB2312" w:eastAsia="仿宋_GB2312" w:hAnsi="Calibri" w:cs="黑体"/>
          <w:bCs/>
          <w:sz w:val="32"/>
        </w:rPr>
        <w:t>“</w:t>
      </w:r>
      <w:r w:rsidRPr="00263525">
        <w:rPr>
          <w:rFonts w:ascii="仿宋_GB2312" w:eastAsia="仿宋_GB2312" w:hAnsi="Calibri" w:cs="黑体"/>
          <w:bCs/>
          <w:sz w:val="32"/>
        </w:rPr>
        <w:t>京果花园</w:t>
      </w:r>
      <w:r w:rsidRPr="00263525">
        <w:rPr>
          <w:rFonts w:ascii="仿宋_GB2312" w:eastAsia="仿宋_GB2312" w:hAnsi="Calibri" w:cs="黑体"/>
          <w:bCs/>
          <w:sz w:val="32"/>
        </w:rPr>
        <w:t>”</w:t>
      </w:r>
      <w:r w:rsidRPr="00263525">
        <w:rPr>
          <w:rFonts w:ascii="仿宋_GB2312" w:eastAsia="仿宋_GB2312" w:hAnsi="Calibri" w:cs="黑体"/>
          <w:bCs/>
          <w:sz w:val="32"/>
        </w:rPr>
        <w:t>，深挖本土特色种质资源潜力，强化安全生产与品牌宣传，推动传统果园向景区融合升级。在林下经济方面，构建以林下种植为主导、森林旅游康养为支撑的融合发展模式，依托国有林场打造森林生态经营科普示范基地。此外，积极探索高品质新业态，依托特色花卉培育</w:t>
      </w:r>
      <w:r w:rsidRPr="00263525">
        <w:rPr>
          <w:rFonts w:ascii="仿宋_GB2312" w:eastAsia="仿宋_GB2312" w:hAnsi="Calibri" w:cs="黑体"/>
          <w:bCs/>
          <w:sz w:val="32"/>
        </w:rPr>
        <w:t>“</w:t>
      </w:r>
      <w:r w:rsidRPr="00263525">
        <w:rPr>
          <w:rFonts w:ascii="仿宋_GB2312" w:eastAsia="仿宋_GB2312" w:hAnsi="Calibri" w:cs="黑体"/>
          <w:bCs/>
          <w:sz w:val="32"/>
        </w:rPr>
        <w:t>观花+</w:t>
      </w:r>
      <w:r w:rsidRPr="00263525">
        <w:rPr>
          <w:rFonts w:ascii="仿宋_GB2312" w:eastAsia="仿宋_GB2312" w:hAnsi="Calibri" w:cs="黑体"/>
          <w:bCs/>
          <w:sz w:val="32"/>
        </w:rPr>
        <w:t>”</w:t>
      </w:r>
      <w:r w:rsidRPr="00263525">
        <w:rPr>
          <w:rFonts w:ascii="仿宋_GB2312" w:eastAsia="仿宋_GB2312" w:hAnsi="Calibri" w:cs="黑体"/>
          <w:bCs/>
          <w:sz w:val="32"/>
        </w:rPr>
        <w:t>文旅消费模式，依托重点生态区域试点</w:t>
      </w:r>
      <w:r w:rsidRPr="00263525">
        <w:rPr>
          <w:rFonts w:ascii="仿宋_GB2312" w:eastAsia="仿宋_GB2312" w:hAnsi="Calibri" w:cs="黑体"/>
          <w:bCs/>
          <w:sz w:val="32"/>
        </w:rPr>
        <w:t>“</w:t>
      </w:r>
      <w:r w:rsidRPr="00263525">
        <w:rPr>
          <w:rFonts w:ascii="仿宋_GB2312" w:eastAsia="仿宋_GB2312" w:hAnsi="Calibri" w:cs="黑体"/>
          <w:bCs/>
          <w:sz w:val="32"/>
        </w:rPr>
        <w:t>观鸟+</w:t>
      </w:r>
      <w:r w:rsidRPr="00263525">
        <w:rPr>
          <w:rFonts w:ascii="仿宋_GB2312" w:eastAsia="仿宋_GB2312" w:hAnsi="Calibri" w:cs="黑体"/>
          <w:bCs/>
          <w:sz w:val="32"/>
        </w:rPr>
        <w:t>”</w:t>
      </w:r>
      <w:r w:rsidRPr="00263525">
        <w:rPr>
          <w:rFonts w:ascii="仿宋_GB2312" w:eastAsia="仿宋_GB2312" w:hAnsi="Calibri" w:cs="黑体"/>
          <w:bCs/>
          <w:sz w:val="32"/>
        </w:rPr>
        <w:t>经济业态，并科学引导自然教育产业发展，全面助推全区绿色经济高质量发展。</w:t>
      </w:r>
    </w:p>
    <w:p w14:paraId="5ECF5352" w14:textId="0F67F153" w:rsidR="00263525" w:rsidRPr="0031217A" w:rsidRDefault="00263525" w:rsidP="00263525">
      <w:pPr>
        <w:spacing w:line="560" w:lineRule="exact"/>
        <w:ind w:firstLineChars="200" w:firstLine="643"/>
        <w:rPr>
          <w:rFonts w:ascii="仿宋_GB2312" w:eastAsia="仿宋_GB2312" w:hAnsi="楷体_GB2312" w:cs="楷体_GB2312" w:hint="eastAsia"/>
          <w:b/>
          <w:sz w:val="32"/>
          <w:szCs w:val="32"/>
        </w:rPr>
      </w:pPr>
      <w:r w:rsidRPr="0031217A">
        <w:rPr>
          <w:rFonts w:ascii="仿宋_GB2312" w:eastAsia="仿宋_GB2312" w:hAnsi="楷体_GB2312" w:cs="楷体_GB2312" w:hint="eastAsia"/>
          <w:b/>
          <w:sz w:val="32"/>
          <w:szCs w:val="32"/>
        </w:rPr>
        <w:t>（</w:t>
      </w:r>
      <w:r w:rsidR="007103B9">
        <w:rPr>
          <w:rFonts w:ascii="仿宋_GB2312" w:eastAsia="仿宋_GB2312" w:hAnsi="楷体_GB2312" w:cs="楷体_GB2312" w:hint="eastAsia"/>
          <w:b/>
          <w:sz w:val="32"/>
          <w:szCs w:val="32"/>
        </w:rPr>
        <w:t>4</w:t>
      </w:r>
      <w:r w:rsidRPr="0031217A">
        <w:rPr>
          <w:rFonts w:ascii="仿宋_GB2312" w:eastAsia="仿宋_GB2312" w:hAnsi="楷体_GB2312" w:cs="楷体_GB2312" w:hint="eastAsia"/>
          <w:b/>
          <w:sz w:val="32"/>
          <w:szCs w:val="32"/>
        </w:rPr>
        <w:t>）</w:t>
      </w:r>
      <w:r w:rsidR="007103B9" w:rsidRPr="0031217A">
        <w:rPr>
          <w:rFonts w:ascii="仿宋_GB2312" w:eastAsia="仿宋_GB2312" w:hAnsi="楷体_GB2312" w:cs="楷体_GB2312" w:hint="eastAsia"/>
          <w:b/>
          <w:sz w:val="32"/>
          <w:szCs w:val="32"/>
        </w:rPr>
        <w:t>融合拓展，激活特色生态场景价值</w:t>
      </w:r>
    </w:p>
    <w:p w14:paraId="52BC4861" w14:textId="4AF2BE15" w:rsidR="00263525" w:rsidRPr="00263525" w:rsidRDefault="007103B9" w:rsidP="00263525">
      <w:pPr>
        <w:spacing w:line="560" w:lineRule="exact"/>
        <w:ind w:firstLineChars="200" w:firstLine="640"/>
        <w:rPr>
          <w:rFonts w:ascii="仿宋_GB2312" w:eastAsia="仿宋_GB2312" w:hAnsi="Calibri" w:cs="黑体"/>
          <w:bCs/>
          <w:sz w:val="32"/>
        </w:rPr>
      </w:pPr>
      <w:r w:rsidRPr="007103B9">
        <w:rPr>
          <w:rFonts w:ascii="仿宋_GB2312" w:eastAsia="仿宋_GB2312" w:hAnsi="Calibri" w:cs="黑体"/>
          <w:bCs/>
          <w:sz w:val="32"/>
        </w:rPr>
        <w:t>在绿道建设方面，加快推动市级</w:t>
      </w:r>
      <w:r w:rsidRPr="007103B9">
        <w:rPr>
          <w:rFonts w:ascii="仿宋_GB2312" w:eastAsia="仿宋_GB2312" w:hAnsi="Calibri" w:cs="黑体"/>
          <w:bCs/>
          <w:sz w:val="32"/>
        </w:rPr>
        <w:t>“</w:t>
      </w:r>
      <w:r w:rsidRPr="007103B9">
        <w:rPr>
          <w:rFonts w:ascii="仿宋_GB2312" w:eastAsia="仿宋_GB2312" w:hAnsi="Calibri" w:cs="黑体"/>
          <w:bCs/>
          <w:sz w:val="32"/>
        </w:rPr>
        <w:t>京华绿道</w:t>
      </w:r>
      <w:r w:rsidRPr="007103B9">
        <w:rPr>
          <w:rFonts w:ascii="仿宋_GB2312" w:eastAsia="仿宋_GB2312" w:hAnsi="Calibri" w:cs="黑体"/>
          <w:bCs/>
          <w:sz w:val="32"/>
        </w:rPr>
        <w:t>”</w:t>
      </w:r>
      <w:r w:rsidRPr="007103B9">
        <w:rPr>
          <w:rFonts w:ascii="仿宋_GB2312" w:eastAsia="仿宋_GB2312" w:hAnsi="Calibri" w:cs="黑体"/>
          <w:bCs/>
          <w:sz w:val="32"/>
        </w:rPr>
        <w:t>建设，打造串联生态文化与产业资源的特色名片型绿道，并试点推动</w:t>
      </w:r>
      <w:r w:rsidRPr="007103B9">
        <w:rPr>
          <w:rFonts w:ascii="仿宋_GB2312" w:eastAsia="仿宋_GB2312" w:hAnsi="Calibri" w:cs="黑体"/>
          <w:bCs/>
          <w:sz w:val="32"/>
        </w:rPr>
        <w:t>“</w:t>
      </w:r>
      <w:r w:rsidRPr="007103B9">
        <w:rPr>
          <w:rFonts w:ascii="仿宋_GB2312" w:eastAsia="仿宋_GB2312" w:hAnsi="Calibri" w:cs="黑体"/>
          <w:bCs/>
          <w:sz w:val="32"/>
        </w:rPr>
        <w:t>身边绿道</w:t>
      </w:r>
      <w:r w:rsidRPr="007103B9">
        <w:rPr>
          <w:rFonts w:ascii="仿宋_GB2312" w:eastAsia="仿宋_GB2312" w:hAnsi="Calibri" w:cs="黑体"/>
          <w:bCs/>
          <w:sz w:val="32"/>
        </w:rPr>
        <w:t>”</w:t>
      </w:r>
      <w:r w:rsidRPr="007103B9">
        <w:rPr>
          <w:rFonts w:ascii="仿宋_GB2312" w:eastAsia="仿宋_GB2312" w:hAnsi="Calibri" w:cs="黑体"/>
          <w:bCs/>
          <w:sz w:val="32"/>
        </w:rPr>
        <w:t>示范，构建便捷温暖的市民生活场景。在公园运营方面，依托</w:t>
      </w:r>
      <w:r w:rsidRPr="007103B9">
        <w:rPr>
          <w:rFonts w:ascii="仿宋_GB2312" w:eastAsia="仿宋_GB2312" w:hAnsi="Calibri" w:cs="黑体"/>
          <w:bCs/>
          <w:sz w:val="32"/>
        </w:rPr>
        <w:t>“</w:t>
      </w:r>
      <w:r w:rsidRPr="007103B9">
        <w:rPr>
          <w:rFonts w:ascii="仿宋_GB2312" w:eastAsia="仿宋_GB2312" w:hAnsi="Calibri" w:cs="黑体"/>
          <w:bCs/>
          <w:sz w:val="32"/>
        </w:rPr>
        <w:t>一园一品</w:t>
      </w:r>
      <w:r w:rsidRPr="007103B9">
        <w:rPr>
          <w:rFonts w:ascii="仿宋_GB2312" w:eastAsia="仿宋_GB2312" w:hAnsi="Calibri" w:cs="黑体"/>
          <w:bCs/>
          <w:sz w:val="32"/>
        </w:rPr>
        <w:t>”</w:t>
      </w:r>
      <w:r w:rsidRPr="007103B9">
        <w:rPr>
          <w:rFonts w:ascii="仿宋_GB2312" w:eastAsia="仿宋_GB2312" w:hAnsi="Calibri" w:cs="黑体"/>
          <w:bCs/>
          <w:sz w:val="32"/>
        </w:rPr>
        <w:t>工程强化公园文化展示与活化利用，深挖皇家苑囿、永定河生态及农耕文化，植入多元业态打造多样化消费场景。在场景塑造方面，积极衔接城市更新行动，塑造人城产绿深度融合的</w:t>
      </w:r>
      <w:r w:rsidRPr="007103B9">
        <w:rPr>
          <w:rFonts w:ascii="仿宋_GB2312" w:eastAsia="仿宋_GB2312" w:hAnsi="Calibri" w:cs="黑体"/>
          <w:bCs/>
          <w:sz w:val="32"/>
        </w:rPr>
        <w:lastRenderedPageBreak/>
        <w:t>多元花园场景，重点打造七彩花园示范街区及科创、商务等主题花园园区。</w:t>
      </w:r>
      <w:r w:rsidR="00D50D7D" w:rsidRPr="007103B9">
        <w:rPr>
          <w:rFonts w:ascii="仿宋_GB2312" w:eastAsia="仿宋_GB2312" w:hAnsi="Calibri" w:cs="黑体"/>
          <w:bCs/>
          <w:sz w:val="32"/>
        </w:rPr>
        <w:t>在</w:t>
      </w:r>
      <w:r w:rsidR="00D50D7D">
        <w:rPr>
          <w:rFonts w:ascii="仿宋_GB2312" w:eastAsia="仿宋_GB2312" w:hAnsi="Calibri" w:cs="黑体" w:hint="eastAsia"/>
          <w:bCs/>
          <w:sz w:val="32"/>
        </w:rPr>
        <w:t>古树名木保护</w:t>
      </w:r>
      <w:r w:rsidR="00D50D7D" w:rsidRPr="007103B9">
        <w:rPr>
          <w:rFonts w:ascii="仿宋_GB2312" w:eastAsia="仿宋_GB2312" w:hAnsi="Calibri" w:cs="黑体"/>
          <w:bCs/>
          <w:sz w:val="32"/>
        </w:rPr>
        <w:t>方面，</w:t>
      </w:r>
      <w:r w:rsidRPr="007103B9">
        <w:rPr>
          <w:rFonts w:ascii="仿宋_GB2312" w:eastAsia="仿宋_GB2312" w:hAnsi="Calibri" w:cs="黑体"/>
          <w:bCs/>
          <w:sz w:val="32"/>
        </w:rPr>
        <w:t>进一步健全保护机制，落实</w:t>
      </w:r>
      <w:r w:rsidRPr="007103B9">
        <w:rPr>
          <w:rFonts w:ascii="仿宋_GB2312" w:eastAsia="仿宋_GB2312" w:hAnsi="Calibri" w:cs="黑体"/>
          <w:bCs/>
          <w:sz w:val="32"/>
        </w:rPr>
        <w:t>“</w:t>
      </w:r>
      <w:r w:rsidRPr="007103B9">
        <w:rPr>
          <w:rFonts w:ascii="仿宋_GB2312" w:eastAsia="仿宋_GB2312" w:hAnsi="Calibri" w:cs="黑体"/>
          <w:bCs/>
          <w:sz w:val="32"/>
        </w:rPr>
        <w:t>一树一策</w:t>
      </w:r>
      <w:r w:rsidRPr="007103B9">
        <w:rPr>
          <w:rFonts w:ascii="仿宋_GB2312" w:eastAsia="仿宋_GB2312" w:hAnsi="Calibri" w:cs="黑体"/>
          <w:bCs/>
          <w:sz w:val="32"/>
        </w:rPr>
        <w:t>”</w:t>
      </w:r>
      <w:r w:rsidRPr="007103B9">
        <w:rPr>
          <w:rFonts w:ascii="仿宋_GB2312" w:eastAsia="仿宋_GB2312" w:hAnsi="Calibri" w:cs="黑体"/>
          <w:bCs/>
          <w:sz w:val="32"/>
        </w:rPr>
        <w:t>复壮措施，积极建设古树生境花园并开展科普宣传，全面提升古树保护水平与社会参与度</w:t>
      </w:r>
      <w:r w:rsidR="00263525" w:rsidRPr="00263525">
        <w:rPr>
          <w:rFonts w:ascii="仿宋_GB2312" w:eastAsia="仿宋_GB2312" w:hAnsi="Calibri" w:cs="黑体"/>
          <w:bCs/>
          <w:sz w:val="32"/>
        </w:rPr>
        <w:t>。</w:t>
      </w:r>
    </w:p>
    <w:p w14:paraId="1C31980B" w14:textId="72F7748E" w:rsidR="00263525" w:rsidRPr="0031217A" w:rsidRDefault="00263525" w:rsidP="00263525">
      <w:pPr>
        <w:spacing w:line="560" w:lineRule="exact"/>
        <w:ind w:firstLineChars="200" w:firstLine="643"/>
        <w:rPr>
          <w:rFonts w:ascii="仿宋_GB2312" w:eastAsia="仿宋_GB2312" w:hAnsi="楷体_GB2312" w:cs="楷体_GB2312" w:hint="eastAsia"/>
          <w:b/>
          <w:sz w:val="32"/>
          <w:szCs w:val="32"/>
        </w:rPr>
      </w:pPr>
      <w:r w:rsidRPr="0031217A">
        <w:rPr>
          <w:rFonts w:ascii="仿宋_GB2312" w:eastAsia="仿宋_GB2312" w:hAnsi="楷体_GB2312" w:cs="楷体_GB2312" w:hint="eastAsia"/>
          <w:b/>
          <w:sz w:val="32"/>
          <w:szCs w:val="32"/>
        </w:rPr>
        <w:t>（</w:t>
      </w:r>
      <w:r w:rsidR="007103B9">
        <w:rPr>
          <w:rFonts w:ascii="仿宋_GB2312" w:eastAsia="仿宋_GB2312" w:hAnsi="楷体_GB2312" w:cs="楷体_GB2312" w:hint="eastAsia"/>
          <w:b/>
          <w:sz w:val="32"/>
          <w:szCs w:val="32"/>
        </w:rPr>
        <w:t>5</w:t>
      </w:r>
      <w:r w:rsidRPr="0031217A">
        <w:rPr>
          <w:rFonts w:ascii="仿宋_GB2312" w:eastAsia="仿宋_GB2312" w:hAnsi="楷体_GB2312" w:cs="楷体_GB2312" w:hint="eastAsia"/>
          <w:b/>
          <w:sz w:val="32"/>
          <w:szCs w:val="32"/>
        </w:rPr>
        <w:t>）</w:t>
      </w:r>
      <w:r w:rsidR="007103B9" w:rsidRPr="002D7051">
        <w:rPr>
          <w:rFonts w:ascii="仿宋_GB2312" w:eastAsia="仿宋_GB2312" w:hAnsi="楷体_GB2312" w:cs="楷体_GB2312" w:hint="eastAsia"/>
          <w:b/>
          <w:sz w:val="32"/>
          <w:szCs w:val="32"/>
        </w:rPr>
        <w:t>协同共治，</w:t>
      </w:r>
      <w:r w:rsidR="007103B9">
        <w:rPr>
          <w:rFonts w:ascii="仿宋_GB2312" w:eastAsia="仿宋_GB2312" w:hAnsi="楷体_GB2312" w:cs="楷体_GB2312" w:hint="eastAsia"/>
          <w:b/>
          <w:sz w:val="32"/>
          <w:szCs w:val="32"/>
        </w:rPr>
        <w:t>构建</w:t>
      </w:r>
      <w:r w:rsidR="007103B9" w:rsidRPr="002D7051">
        <w:rPr>
          <w:rFonts w:ascii="仿宋_GB2312" w:eastAsia="仿宋_GB2312" w:hAnsi="楷体_GB2312" w:cs="楷体_GB2312" w:hint="eastAsia"/>
          <w:b/>
          <w:sz w:val="32"/>
          <w:szCs w:val="32"/>
        </w:rPr>
        <w:t>精细高效</w:t>
      </w:r>
      <w:r w:rsidR="007103B9">
        <w:rPr>
          <w:rFonts w:ascii="仿宋_GB2312" w:eastAsia="仿宋_GB2312" w:hAnsi="楷体_GB2312" w:cs="楷体_GB2312" w:hint="eastAsia"/>
          <w:b/>
          <w:sz w:val="32"/>
          <w:szCs w:val="32"/>
        </w:rPr>
        <w:t>管理体系</w:t>
      </w:r>
    </w:p>
    <w:p w14:paraId="35A29991" w14:textId="5FEEBEF4" w:rsidR="00263525" w:rsidRPr="00263525" w:rsidRDefault="007103B9" w:rsidP="00263525">
      <w:pPr>
        <w:spacing w:line="560" w:lineRule="exact"/>
        <w:ind w:firstLineChars="200" w:firstLine="640"/>
        <w:rPr>
          <w:rFonts w:ascii="仿宋_GB2312" w:eastAsia="仿宋_GB2312" w:hAnsi="Calibri" w:cs="黑体"/>
          <w:bCs/>
          <w:sz w:val="32"/>
        </w:rPr>
      </w:pPr>
      <w:r w:rsidRPr="007103B9">
        <w:rPr>
          <w:rFonts w:ascii="仿宋_GB2312" w:eastAsia="仿宋_GB2312" w:hAnsi="Calibri" w:cs="黑体"/>
          <w:bCs/>
          <w:sz w:val="32"/>
        </w:rPr>
        <w:t>在治理体系方面，持续强化林长制组织领导与责任考核，深化</w:t>
      </w:r>
      <w:r w:rsidRPr="007103B9">
        <w:rPr>
          <w:rFonts w:ascii="仿宋_GB2312" w:eastAsia="仿宋_GB2312" w:hAnsi="Calibri" w:cs="黑体"/>
          <w:bCs/>
          <w:sz w:val="32"/>
        </w:rPr>
        <w:t>“</w:t>
      </w:r>
      <w:r w:rsidRPr="007103B9">
        <w:rPr>
          <w:rFonts w:ascii="仿宋_GB2312" w:eastAsia="仿宋_GB2312" w:hAnsi="Calibri" w:cs="黑体"/>
          <w:bCs/>
          <w:sz w:val="32"/>
        </w:rPr>
        <w:t>林长+</w:t>
      </w:r>
      <w:r w:rsidRPr="007103B9">
        <w:rPr>
          <w:rFonts w:ascii="仿宋_GB2312" w:eastAsia="仿宋_GB2312" w:hAnsi="Calibri" w:cs="黑体"/>
          <w:bCs/>
          <w:sz w:val="32"/>
        </w:rPr>
        <w:t>”</w:t>
      </w:r>
      <w:r w:rsidRPr="007103B9">
        <w:rPr>
          <w:rFonts w:ascii="仿宋_GB2312" w:eastAsia="仿宋_GB2312" w:hAnsi="Calibri" w:cs="黑体"/>
          <w:bCs/>
          <w:sz w:val="32"/>
        </w:rPr>
        <w:t>协同机制，形成资源保护合力；深化森林防火系统建设，构建</w:t>
      </w:r>
      <w:r w:rsidRPr="007103B9">
        <w:rPr>
          <w:rFonts w:ascii="仿宋_GB2312" w:eastAsia="仿宋_GB2312" w:hAnsi="Calibri" w:cs="黑体"/>
          <w:bCs/>
          <w:sz w:val="32"/>
        </w:rPr>
        <w:t>“</w:t>
      </w:r>
      <w:r w:rsidRPr="007103B9">
        <w:rPr>
          <w:rFonts w:ascii="仿宋_GB2312" w:eastAsia="仿宋_GB2312" w:hAnsi="Calibri" w:cs="黑体"/>
          <w:bCs/>
          <w:sz w:val="32"/>
        </w:rPr>
        <w:t>技防、物防、人防</w:t>
      </w:r>
      <w:r w:rsidRPr="007103B9">
        <w:rPr>
          <w:rFonts w:ascii="仿宋_GB2312" w:eastAsia="仿宋_GB2312" w:hAnsi="Calibri" w:cs="黑体"/>
          <w:bCs/>
          <w:sz w:val="32"/>
        </w:rPr>
        <w:t>”</w:t>
      </w:r>
      <w:r w:rsidRPr="007103B9">
        <w:rPr>
          <w:rFonts w:ascii="仿宋_GB2312" w:eastAsia="仿宋_GB2312" w:hAnsi="Calibri" w:cs="黑体"/>
          <w:bCs/>
          <w:sz w:val="32"/>
        </w:rPr>
        <w:t>三位一体支撑体系；完善林业有害生物监测预警与京津冀联防联控机制，推进园林绿化土壤检测与保护；加强园林绿化执法监督，搭建信息化平台，细化网格化管理，强化多部门跨区域联合执法及队伍建设。在共建共享方面，搭建区、街道、社区三级园艺师工作制度；创新</w:t>
      </w:r>
      <w:r w:rsidRPr="007103B9">
        <w:rPr>
          <w:rFonts w:ascii="仿宋_GB2312" w:eastAsia="仿宋_GB2312" w:hAnsi="Calibri" w:cs="黑体"/>
          <w:bCs/>
          <w:sz w:val="32"/>
        </w:rPr>
        <w:t>“</w:t>
      </w:r>
      <w:r w:rsidRPr="007103B9">
        <w:rPr>
          <w:rFonts w:ascii="仿宋_GB2312" w:eastAsia="仿宋_GB2312" w:hAnsi="Calibri" w:cs="黑体"/>
          <w:bCs/>
          <w:sz w:val="32"/>
        </w:rPr>
        <w:t>义务植树+</w:t>
      </w:r>
      <w:r w:rsidRPr="007103B9">
        <w:rPr>
          <w:rFonts w:ascii="仿宋_GB2312" w:eastAsia="仿宋_GB2312" w:hAnsi="Calibri" w:cs="黑体"/>
          <w:bCs/>
          <w:sz w:val="32"/>
        </w:rPr>
        <w:t>”</w:t>
      </w:r>
      <w:r w:rsidRPr="007103B9">
        <w:rPr>
          <w:rFonts w:ascii="仿宋_GB2312" w:eastAsia="仿宋_GB2312" w:hAnsi="Calibri" w:cs="黑体"/>
          <w:bCs/>
          <w:sz w:val="32"/>
        </w:rPr>
        <w:t>模式，推广</w:t>
      </w:r>
      <w:r w:rsidRPr="007103B9">
        <w:rPr>
          <w:rFonts w:ascii="仿宋_GB2312" w:eastAsia="仿宋_GB2312" w:hAnsi="Calibri" w:cs="黑体"/>
          <w:bCs/>
          <w:sz w:val="32"/>
        </w:rPr>
        <w:t>“</w:t>
      </w:r>
      <w:r w:rsidRPr="007103B9">
        <w:rPr>
          <w:rFonts w:ascii="仿宋_GB2312" w:eastAsia="仿宋_GB2312" w:hAnsi="Calibri" w:cs="黑体"/>
          <w:bCs/>
          <w:sz w:val="32"/>
        </w:rPr>
        <w:t>人人是园丁</w:t>
      </w:r>
      <w:r w:rsidRPr="007103B9">
        <w:rPr>
          <w:rFonts w:ascii="仿宋_GB2312" w:eastAsia="仿宋_GB2312" w:hAnsi="Calibri" w:cs="黑体"/>
          <w:bCs/>
          <w:sz w:val="32"/>
        </w:rPr>
        <w:t>”</w:t>
      </w:r>
      <w:r w:rsidRPr="007103B9">
        <w:rPr>
          <w:rFonts w:ascii="仿宋_GB2312" w:eastAsia="仿宋_GB2312" w:hAnsi="Calibri" w:cs="黑体"/>
          <w:bCs/>
          <w:sz w:val="32"/>
        </w:rPr>
        <w:t>参与机制；拓展普惠全民的生态文化活动，依托地域资源打造特色运动、文化节庆及休闲旅游线路，营造全社会爱绿护绿的浓厚氛围</w:t>
      </w:r>
      <w:r w:rsidR="00263525" w:rsidRPr="00263525">
        <w:rPr>
          <w:rFonts w:ascii="仿宋_GB2312" w:eastAsia="仿宋_GB2312" w:hAnsi="Calibri" w:cs="黑体"/>
          <w:bCs/>
          <w:sz w:val="32"/>
        </w:rPr>
        <w:t>。</w:t>
      </w:r>
    </w:p>
    <w:p w14:paraId="367314D5" w14:textId="2F21015F" w:rsidR="00FA56B4" w:rsidRDefault="00000000">
      <w:pPr>
        <w:snapToGrid w:val="0"/>
        <w:spacing w:line="560" w:lineRule="exact"/>
        <w:ind w:firstLineChars="200" w:firstLine="640"/>
        <w:rPr>
          <w:rFonts w:ascii="楷体_GB2312" w:eastAsia="楷体_GB2312" w:hAnsi="楷体_GB2312" w:cs="楷体_GB2312" w:hint="eastAsia"/>
          <w:color w:val="000000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3</w:t>
      </w:r>
      <w:proofErr w:type="gramStart"/>
      <w:r>
        <w:rPr>
          <w:rFonts w:ascii="楷体_GB2312" w:eastAsia="楷体_GB2312" w:hAnsi="楷体_GB2312" w:cs="楷体_GB2312" w:hint="eastAsia"/>
          <w:color w:val="000000"/>
          <w:sz w:val="32"/>
          <w:szCs w:val="32"/>
        </w:rPr>
        <w:t>.</w:t>
      </w:r>
      <w:r w:rsidR="007103B9" w:rsidRPr="007103B9">
        <w:rPr>
          <w:rFonts w:hint="eastAsia"/>
        </w:rPr>
        <w:t xml:space="preserve"> </w:t>
      </w:r>
      <w:r w:rsidR="007103B9" w:rsidRPr="007103B9">
        <w:rPr>
          <w:rFonts w:ascii="楷体_GB2312" w:eastAsia="楷体_GB2312" w:hAnsi="楷体_GB2312" w:cs="楷体_GB2312"/>
          <w:color w:val="000000"/>
          <w:sz w:val="32"/>
          <w:szCs w:val="32"/>
        </w:rPr>
        <w:t>实施</w:t>
      </w:r>
      <w:proofErr w:type="gramEnd"/>
      <w:r w:rsidR="007103B9" w:rsidRPr="007103B9">
        <w:rPr>
          <w:rFonts w:ascii="楷体_GB2312" w:eastAsia="楷体_GB2312" w:hAnsi="楷体_GB2312" w:cs="楷体_GB2312"/>
          <w:color w:val="000000"/>
          <w:sz w:val="32"/>
          <w:szCs w:val="32"/>
        </w:rPr>
        <w:t>路径与保障措施</w:t>
      </w:r>
    </w:p>
    <w:p w14:paraId="3ADEC7AF" w14:textId="75DF04DF" w:rsidR="00FA56B4" w:rsidRPr="00373175" w:rsidRDefault="00FB38CC" w:rsidP="00373175">
      <w:pPr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FB38CC">
        <w:rPr>
          <w:rFonts w:ascii="仿宋_GB2312" w:eastAsia="仿宋_GB2312" w:hAnsi="仿宋_GB2312" w:cs="仿宋_GB2312"/>
          <w:sz w:val="32"/>
        </w:rPr>
        <w:t>在组织保障方面，健全责任体系与精细化管理制度，强化跨部门协同工作机制，打破壁垒以保障规划任务高效落地</w:t>
      </w:r>
      <w:r w:rsidR="00254E5A">
        <w:rPr>
          <w:rFonts w:ascii="仿宋_GB2312" w:eastAsia="仿宋_GB2312" w:hAnsi="仿宋_GB2312" w:cs="仿宋_GB2312" w:hint="eastAsia"/>
          <w:sz w:val="32"/>
        </w:rPr>
        <w:t>。</w:t>
      </w:r>
      <w:r w:rsidRPr="00FB38CC">
        <w:rPr>
          <w:rFonts w:ascii="仿宋_GB2312" w:eastAsia="仿宋_GB2312" w:hAnsi="仿宋_GB2312" w:cs="仿宋_GB2312"/>
          <w:sz w:val="32"/>
        </w:rPr>
        <w:t>在政策创新方面，加快完善园林绿化相关法规与配套支持政策，聚焦用地保障、代征绿地管理、新型集体林场经营等重点难点探索制度创新</w:t>
      </w:r>
      <w:r w:rsidR="00254E5A">
        <w:rPr>
          <w:rFonts w:ascii="仿宋_GB2312" w:eastAsia="仿宋_GB2312" w:hAnsi="仿宋_GB2312" w:cs="仿宋_GB2312" w:hint="eastAsia"/>
          <w:sz w:val="32"/>
        </w:rPr>
        <w:t>。</w:t>
      </w:r>
      <w:r w:rsidRPr="00FB38CC">
        <w:rPr>
          <w:rFonts w:ascii="仿宋_GB2312" w:eastAsia="仿宋_GB2312" w:hAnsi="仿宋_GB2312" w:cs="仿宋_GB2312"/>
          <w:sz w:val="32"/>
        </w:rPr>
        <w:t>在资金保障方面，积极争取上级财政支持，拓展专项债等资金渠道，设立区级专项资金并稳步提升投入规模，同时鼓励社</w:t>
      </w:r>
      <w:r w:rsidRPr="00FB38CC">
        <w:rPr>
          <w:rFonts w:ascii="仿宋_GB2312" w:eastAsia="仿宋_GB2312" w:hAnsi="仿宋_GB2312" w:cs="仿宋_GB2312"/>
          <w:sz w:val="32"/>
        </w:rPr>
        <w:lastRenderedPageBreak/>
        <w:t>会资本通过多种方式参与建设与管理</w:t>
      </w:r>
      <w:r w:rsidR="00254E5A">
        <w:rPr>
          <w:rFonts w:ascii="仿宋_GB2312" w:eastAsia="仿宋_GB2312" w:hAnsi="仿宋_GB2312" w:cs="仿宋_GB2312" w:hint="eastAsia"/>
          <w:sz w:val="32"/>
        </w:rPr>
        <w:t>。</w:t>
      </w:r>
      <w:r w:rsidRPr="00FB38CC">
        <w:rPr>
          <w:rFonts w:ascii="仿宋_GB2312" w:eastAsia="仿宋_GB2312" w:hAnsi="仿宋_GB2312" w:cs="仿宋_GB2312"/>
          <w:sz w:val="32"/>
        </w:rPr>
        <w:t>在社会参与方面，强化多渠道宣传与科普教育，完善公众参与机制，鼓励市民通过志愿服务、认建认养、共建社区微花园等方式深度参与，全面营造“人人是园丁”的良好社会风尚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sectPr w:rsidR="00FA56B4" w:rsidRPr="00373175">
      <w:pgSz w:w="11906" w:h="16838"/>
      <w:pgMar w:top="2098" w:right="1474" w:bottom="1417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B1144" w14:textId="77777777" w:rsidR="00535FC9" w:rsidRDefault="00535FC9" w:rsidP="00D84C26">
      <w:pPr>
        <w:spacing w:after="0" w:line="240" w:lineRule="auto"/>
      </w:pPr>
      <w:r>
        <w:separator/>
      </w:r>
    </w:p>
  </w:endnote>
  <w:endnote w:type="continuationSeparator" w:id="0">
    <w:p w14:paraId="2D640289" w14:textId="77777777" w:rsidR="00535FC9" w:rsidRDefault="00535FC9" w:rsidP="00D84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59836" w14:textId="77777777" w:rsidR="00535FC9" w:rsidRDefault="00535FC9" w:rsidP="00D84C26">
      <w:pPr>
        <w:spacing w:after="0" w:line="240" w:lineRule="auto"/>
      </w:pPr>
      <w:r>
        <w:separator/>
      </w:r>
    </w:p>
  </w:footnote>
  <w:footnote w:type="continuationSeparator" w:id="0">
    <w:p w14:paraId="65FAD8B1" w14:textId="77777777" w:rsidR="00535FC9" w:rsidRDefault="00535FC9" w:rsidP="00D84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59259"/>
    <w:multiLevelType w:val="singleLevel"/>
    <w:tmpl w:val="42A5925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750809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U4NzUwYmM2ZDhkZGFkMGFlYjkzM2ZjZGQ2NzQ5M2UifQ=="/>
  </w:docVars>
  <w:rsids>
    <w:rsidRoot w:val="13456187"/>
    <w:rsid w:val="00013EE6"/>
    <w:rsid w:val="000169BE"/>
    <w:rsid w:val="000B1D0D"/>
    <w:rsid w:val="001115D0"/>
    <w:rsid w:val="00254E5A"/>
    <w:rsid w:val="00263525"/>
    <w:rsid w:val="00373175"/>
    <w:rsid w:val="00486879"/>
    <w:rsid w:val="004E17DA"/>
    <w:rsid w:val="00533294"/>
    <w:rsid w:val="00535FC9"/>
    <w:rsid w:val="0054308A"/>
    <w:rsid w:val="005B7888"/>
    <w:rsid w:val="005C3CBA"/>
    <w:rsid w:val="006C07BC"/>
    <w:rsid w:val="0070189E"/>
    <w:rsid w:val="007103B9"/>
    <w:rsid w:val="00743330"/>
    <w:rsid w:val="00761DFD"/>
    <w:rsid w:val="0084069A"/>
    <w:rsid w:val="008B3C38"/>
    <w:rsid w:val="008E51DE"/>
    <w:rsid w:val="00A47B1C"/>
    <w:rsid w:val="00D50D7D"/>
    <w:rsid w:val="00D706FD"/>
    <w:rsid w:val="00D84C26"/>
    <w:rsid w:val="00DE4B99"/>
    <w:rsid w:val="00E33AD7"/>
    <w:rsid w:val="00F52475"/>
    <w:rsid w:val="00F5623E"/>
    <w:rsid w:val="00F7753E"/>
    <w:rsid w:val="00FA56B4"/>
    <w:rsid w:val="00FB38CC"/>
    <w:rsid w:val="02427B6F"/>
    <w:rsid w:val="02A47B68"/>
    <w:rsid w:val="03AD01C3"/>
    <w:rsid w:val="03B05419"/>
    <w:rsid w:val="052339BD"/>
    <w:rsid w:val="0802552B"/>
    <w:rsid w:val="08BA142B"/>
    <w:rsid w:val="0CC22A57"/>
    <w:rsid w:val="0F486E4B"/>
    <w:rsid w:val="1020392F"/>
    <w:rsid w:val="10C806EC"/>
    <w:rsid w:val="13456187"/>
    <w:rsid w:val="148C4675"/>
    <w:rsid w:val="15555082"/>
    <w:rsid w:val="165C14C5"/>
    <w:rsid w:val="1B207586"/>
    <w:rsid w:val="1DC87761"/>
    <w:rsid w:val="1E104994"/>
    <w:rsid w:val="1E602428"/>
    <w:rsid w:val="1E7E79CB"/>
    <w:rsid w:val="1EA95D87"/>
    <w:rsid w:val="1FD93633"/>
    <w:rsid w:val="235D4366"/>
    <w:rsid w:val="239747ED"/>
    <w:rsid w:val="28EB3413"/>
    <w:rsid w:val="2B5D725B"/>
    <w:rsid w:val="315A2AC2"/>
    <w:rsid w:val="35AD4169"/>
    <w:rsid w:val="35C37BD4"/>
    <w:rsid w:val="39FD2E8F"/>
    <w:rsid w:val="3BE0449C"/>
    <w:rsid w:val="3CB834AB"/>
    <w:rsid w:val="3FBCDCBA"/>
    <w:rsid w:val="41054211"/>
    <w:rsid w:val="42DC4D10"/>
    <w:rsid w:val="48346C6D"/>
    <w:rsid w:val="498E21B7"/>
    <w:rsid w:val="49A73B38"/>
    <w:rsid w:val="4CD346F0"/>
    <w:rsid w:val="50FD3AB8"/>
    <w:rsid w:val="51C863E8"/>
    <w:rsid w:val="51CD17AA"/>
    <w:rsid w:val="564F2712"/>
    <w:rsid w:val="57724D91"/>
    <w:rsid w:val="59CB1873"/>
    <w:rsid w:val="59F85463"/>
    <w:rsid w:val="60C75927"/>
    <w:rsid w:val="62C97B42"/>
    <w:rsid w:val="6474780F"/>
    <w:rsid w:val="67EE52BA"/>
    <w:rsid w:val="71AD3C11"/>
    <w:rsid w:val="73F40C79"/>
    <w:rsid w:val="75264198"/>
    <w:rsid w:val="755A35F2"/>
    <w:rsid w:val="7623DFC1"/>
    <w:rsid w:val="76351C6F"/>
    <w:rsid w:val="76EE36CE"/>
    <w:rsid w:val="7B3F1EFB"/>
    <w:rsid w:val="7E2D63F8"/>
    <w:rsid w:val="EEDE2D10"/>
    <w:rsid w:val="FCF1C7BE"/>
    <w:rsid w:val="FE6EC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C92C65"/>
  <w15:docId w15:val="{C16D5241-517B-4BE9-AFF6-4C7AB124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9" w:uiPriority="99" w:qFormat="1"/>
    <w:lsdException w:name="toc 3" w:uiPriority="39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uiPriority="99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TOC3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iPriority w:val="9"/>
    <w:qFormat/>
    <w:pPr>
      <w:keepNext/>
      <w:keepLines/>
      <w:spacing w:line="560" w:lineRule="exact"/>
      <w:ind w:firstLineChars="200" w:firstLine="643"/>
      <w:outlineLvl w:val="2"/>
    </w:pPr>
    <w:rPr>
      <w:rFonts w:ascii="仿宋_GB2312" w:eastAsia="仿宋_GB2312" w:hAnsi="宋体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snapToGrid w:val="0"/>
      <w:spacing w:line="560" w:lineRule="exact"/>
      <w:ind w:firstLineChars="200" w:firstLine="640"/>
    </w:pPr>
    <w:rPr>
      <w:rFonts w:ascii="黑体" w:eastAsia="黑体" w:hAnsi="黑体" w:cs="仿宋_GB2312"/>
      <w:sz w:val="32"/>
      <w:szCs w:val="32"/>
    </w:rPr>
  </w:style>
  <w:style w:type="paragraph" w:styleId="a3">
    <w:name w:val="Body Text"/>
    <w:basedOn w:val="a"/>
    <w:next w:val="a"/>
    <w:qFormat/>
    <w:pPr>
      <w:spacing w:line="300" w:lineRule="atLeast"/>
      <w:jc w:val="center"/>
    </w:pPr>
    <w:rPr>
      <w:rFonts w:ascii="Times New Roman" w:eastAsia="宋体" w:hAnsi="Times New Roman" w:cs="Times New Roman"/>
      <w:color w:val="000000"/>
      <w:sz w:val="44"/>
    </w:rPr>
  </w:style>
  <w:style w:type="paragraph" w:styleId="a4">
    <w:name w:val="Body Text Indent"/>
    <w:basedOn w:val="a"/>
    <w:uiPriority w:val="99"/>
    <w:unhideWhenUsed/>
    <w:qFormat/>
    <w:pPr>
      <w:spacing w:after="120"/>
      <w:ind w:leftChars="200" w:left="420"/>
    </w:pPr>
  </w:style>
  <w:style w:type="paragraph" w:styleId="a5">
    <w:name w:val="Plain Text"/>
    <w:basedOn w:val="a"/>
    <w:next w:val="9"/>
    <w:qFormat/>
    <w:rPr>
      <w:rFonts w:ascii="宋体" w:hAnsi="Courier New"/>
    </w:rPr>
  </w:style>
  <w:style w:type="paragraph" w:styleId="9">
    <w:name w:val="index 9"/>
    <w:basedOn w:val="a"/>
    <w:next w:val="a"/>
    <w:uiPriority w:val="99"/>
    <w:qFormat/>
    <w:pPr>
      <w:spacing w:before="100" w:beforeAutospacing="1" w:after="100" w:afterAutospacing="1" w:line="560" w:lineRule="exact"/>
      <w:ind w:leftChars="1600" w:left="3360" w:firstLineChars="200" w:firstLine="880"/>
      <w:jc w:val="left"/>
    </w:pPr>
    <w:rPr>
      <w:rFonts w:ascii="仿宋_GB2312" w:eastAsia="仿宋_GB2312" w:hAnsi="仿宋_GB2312"/>
      <w:sz w:val="32"/>
      <w:szCs w:val="32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">
    <w:name w:val="Body Text First Indent 2"/>
    <w:basedOn w:val="a4"/>
    <w:next w:val="a3"/>
    <w:qFormat/>
    <w:pPr>
      <w:spacing w:line="560" w:lineRule="exact"/>
      <w:ind w:firstLineChars="200" w:firstLine="420"/>
    </w:pPr>
    <w:rPr>
      <w:rFonts w:ascii="Times New Roman" w:eastAsia="宋体" w:hAnsi="Times New Roman" w:cs="Times New Roman"/>
      <w:szCs w:val="32"/>
    </w:rPr>
  </w:style>
  <w:style w:type="character" w:styleId="a7">
    <w:name w:val="page number"/>
    <w:basedOn w:val="a0"/>
    <w:qFormat/>
  </w:style>
  <w:style w:type="paragraph" w:customStyle="1" w:styleId="11">
    <w:name w:val="目录 11"/>
    <w:next w:val="a"/>
    <w:qFormat/>
    <w:pPr>
      <w:wordWrap w:val="0"/>
      <w:jc w:val="both"/>
    </w:pPr>
    <w:rPr>
      <w:rFonts w:ascii="Calibri" w:eastAsia="宋体" w:hAnsi="Calibri" w:cs="Times New Roman"/>
      <w:sz w:val="21"/>
      <w:szCs w:val="22"/>
    </w:rPr>
  </w:style>
  <w:style w:type="paragraph" w:customStyle="1" w:styleId="CharCharCharChar">
    <w:name w:val="Char Char Char Char"/>
    <w:basedOn w:val="a"/>
    <w:qFormat/>
    <w:rPr>
      <w:rFonts w:ascii="Times New Roman" w:hAnsi="Times New Roman" w:cs="Times New Roman"/>
    </w:rPr>
  </w:style>
  <w:style w:type="paragraph" w:styleId="a8">
    <w:name w:val="header"/>
    <w:basedOn w:val="a"/>
    <w:link w:val="a9"/>
    <w:rsid w:val="00D84C2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D84C2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6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 艺淳</cp:lastModifiedBy>
  <cp:revision>15</cp:revision>
  <dcterms:created xsi:type="dcterms:W3CDTF">2026-09-03T02:30:00Z</dcterms:created>
  <dcterms:modified xsi:type="dcterms:W3CDTF">2026-09-04T08:23:00Z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D3F3CE489B344AD5AF3F269517E912A6_13</vt:lpwstr>
  </property>
  <property fmtid="{D5CDD505-2E9C-101B-9397-08002B2CF9AE}" pid="4" name="KSOTemplateDocerSaveRecord">
    <vt:lpwstr>eyJoZGlkIjoiYmU4NzUwYmM2ZDhkZGFkMGFlYjkzM2ZjZGQ2NzQ5M2UiLCJ1c2VySWQiOiI0MjIwNDE2OTkifQ==</vt:lpwstr>
  </property>
</Properties>
</file>