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附件1</w:t>
      </w:r>
    </w:p>
    <w:p>
      <w:pPr>
        <w:jc w:val="center"/>
        <w:rPr>
          <w:rFonts w:hint="eastAsia" w:ascii="方正小标宋简体" w:eastAsia="方正小标宋简体"/>
          <w:sz w:val="44"/>
          <w:szCs w:val="44"/>
        </w:rPr>
      </w:pPr>
    </w:p>
    <w:p>
      <w:pPr>
        <w:jc w:val="center"/>
        <w:rPr>
          <w:rFonts w:hint="eastAsia" w:ascii="方正小标宋简体" w:eastAsia="方正小标宋简体"/>
          <w:sz w:val="44"/>
          <w:szCs w:val="44"/>
        </w:rPr>
      </w:pPr>
    </w:p>
    <w:p>
      <w:pPr>
        <w:jc w:val="center"/>
        <w:rPr>
          <w:rFonts w:hint="eastAsia" w:ascii="仿宋_GB2312" w:eastAsia="仿宋_GB2312"/>
          <w:b/>
          <w:bCs/>
          <w:sz w:val="32"/>
          <w:szCs w:val="32"/>
        </w:rPr>
      </w:pPr>
      <w:r>
        <w:rPr>
          <w:rFonts w:hint="eastAsia" w:ascii="方正小标宋简体" w:eastAsia="方正小标宋简体"/>
          <w:sz w:val="44"/>
          <w:szCs w:val="44"/>
        </w:rPr>
        <w:t>大兴区“十五五”时期气象事业发展规划</w:t>
      </w:r>
    </w:p>
    <w:p>
      <w:pPr>
        <w:jc w:val="center"/>
        <w:rPr>
          <w:rFonts w:hint="eastAsia" w:ascii="方正小标宋简体" w:eastAsia="方正小标宋简体"/>
          <w:spacing w:val="40"/>
          <w:sz w:val="32"/>
          <w:szCs w:val="32"/>
        </w:rPr>
      </w:pPr>
      <w:r>
        <w:rPr>
          <w:rFonts w:hint="eastAsia" w:ascii="方正小标宋简体" w:eastAsia="方正小标宋简体"/>
          <w:spacing w:val="40"/>
          <w:sz w:val="32"/>
          <w:szCs w:val="32"/>
        </w:rPr>
        <w:t>（征求意见稿）</w:t>
      </w:r>
    </w:p>
    <w:p>
      <w:pPr>
        <w:jc w:val="center"/>
        <w:rPr>
          <w:rFonts w:hint="eastAsia" w:ascii="仿宋_GB2312" w:eastAsia="仿宋_GB2312"/>
          <w:b/>
          <w:bCs/>
          <w:sz w:val="32"/>
          <w:szCs w:val="32"/>
        </w:rPr>
      </w:pPr>
    </w:p>
    <w:p>
      <w:pPr>
        <w:jc w:val="center"/>
        <w:rPr>
          <w:rFonts w:hint="eastAsia" w:ascii="仿宋_GB2312" w:eastAsia="仿宋_GB2312"/>
          <w:b/>
          <w:bCs/>
          <w:sz w:val="32"/>
          <w:szCs w:val="32"/>
        </w:rPr>
      </w:pPr>
    </w:p>
    <w:p>
      <w:pPr>
        <w:jc w:val="center"/>
        <w:rPr>
          <w:rFonts w:hint="eastAsia" w:ascii="仿宋_GB2312" w:eastAsia="仿宋_GB2312"/>
          <w:b/>
          <w:bCs/>
          <w:sz w:val="32"/>
          <w:szCs w:val="32"/>
        </w:rPr>
      </w:pPr>
    </w:p>
    <w:p>
      <w:pPr>
        <w:jc w:val="center"/>
        <w:rPr>
          <w:rFonts w:hint="eastAsia" w:ascii="仿宋_GB2312" w:eastAsia="仿宋_GB2312"/>
          <w:b/>
          <w:bCs/>
          <w:sz w:val="32"/>
          <w:szCs w:val="32"/>
        </w:rPr>
      </w:pPr>
    </w:p>
    <w:p>
      <w:pPr>
        <w:jc w:val="center"/>
        <w:rPr>
          <w:rFonts w:hint="eastAsia" w:ascii="仿宋_GB2312" w:eastAsia="仿宋_GB2312"/>
          <w:b/>
          <w:bCs/>
          <w:sz w:val="32"/>
          <w:szCs w:val="32"/>
        </w:rPr>
      </w:pPr>
    </w:p>
    <w:p>
      <w:pPr>
        <w:jc w:val="center"/>
        <w:rPr>
          <w:rFonts w:hint="eastAsia" w:ascii="仿宋_GB2312" w:eastAsia="仿宋_GB2312"/>
          <w:b/>
          <w:bCs/>
          <w:sz w:val="32"/>
          <w:szCs w:val="32"/>
        </w:rPr>
      </w:pPr>
    </w:p>
    <w:p>
      <w:pPr>
        <w:jc w:val="center"/>
        <w:rPr>
          <w:rFonts w:hint="eastAsia" w:ascii="仿宋_GB2312" w:eastAsia="仿宋_GB2312"/>
          <w:b/>
          <w:bCs/>
          <w:sz w:val="32"/>
          <w:szCs w:val="32"/>
        </w:rPr>
      </w:pPr>
    </w:p>
    <w:p>
      <w:pPr>
        <w:jc w:val="center"/>
        <w:rPr>
          <w:rFonts w:hint="eastAsia" w:ascii="仿宋_GB2312" w:eastAsia="仿宋_GB2312"/>
          <w:b/>
          <w:bCs/>
          <w:sz w:val="32"/>
          <w:szCs w:val="32"/>
        </w:rPr>
      </w:pPr>
    </w:p>
    <w:p>
      <w:pPr>
        <w:jc w:val="center"/>
        <w:rPr>
          <w:rFonts w:hint="eastAsia" w:ascii="仿宋_GB2312" w:eastAsia="仿宋_GB2312"/>
          <w:b/>
          <w:bCs/>
          <w:sz w:val="32"/>
          <w:szCs w:val="32"/>
        </w:rPr>
      </w:pPr>
    </w:p>
    <w:p>
      <w:pPr>
        <w:jc w:val="center"/>
        <w:rPr>
          <w:rFonts w:hint="eastAsia" w:ascii="仿宋_GB2312" w:eastAsia="仿宋_GB2312"/>
          <w:b/>
          <w:bCs/>
          <w:sz w:val="32"/>
          <w:szCs w:val="32"/>
        </w:rPr>
      </w:pPr>
    </w:p>
    <w:p>
      <w:pPr>
        <w:jc w:val="center"/>
        <w:rPr>
          <w:rFonts w:hint="eastAsia" w:ascii="仿宋_GB2312" w:eastAsia="仿宋_GB2312"/>
          <w:b/>
          <w:bCs/>
          <w:sz w:val="32"/>
          <w:szCs w:val="32"/>
        </w:rPr>
      </w:pPr>
    </w:p>
    <w:p>
      <w:pPr>
        <w:jc w:val="center"/>
        <w:rPr>
          <w:rFonts w:hint="eastAsia" w:ascii="黑体" w:hAnsi="黑体" w:eastAsia="黑体" w:cs="黑体"/>
          <w:sz w:val="32"/>
          <w:szCs w:val="32"/>
        </w:rPr>
      </w:pPr>
      <w:r>
        <w:rPr>
          <w:rFonts w:hint="eastAsia" w:ascii="黑体" w:hAnsi="黑体" w:eastAsia="黑体" w:cs="黑体"/>
          <w:sz w:val="32"/>
          <w:szCs w:val="32"/>
        </w:rPr>
        <w:t>北京市大兴区气象局</w:t>
      </w:r>
    </w:p>
    <w:p>
      <w:pPr>
        <w:jc w:val="center"/>
        <w:rPr>
          <w:rFonts w:hint="eastAsia" w:ascii="黑体" w:hAnsi="黑体" w:eastAsia="黑体" w:cs="黑体"/>
          <w:sz w:val="32"/>
          <w:szCs w:val="32"/>
        </w:rPr>
      </w:pPr>
      <w:r>
        <w:rPr>
          <w:rFonts w:hint="eastAsia" w:ascii="黑体" w:hAnsi="黑体" w:eastAsia="黑体" w:cs="黑体"/>
          <w:sz w:val="32"/>
          <w:szCs w:val="32"/>
        </w:rPr>
        <w:t>二〇二六年</w:t>
      </w:r>
      <w:r>
        <w:rPr>
          <w:rFonts w:hint="eastAsia" w:ascii="黑体" w:hAnsi="黑体" w:eastAsia="黑体" w:cs="黑体"/>
          <w:sz w:val="32"/>
          <w:szCs w:val="32"/>
          <w:lang w:val="en-US" w:eastAsia="zh-CN"/>
        </w:rPr>
        <w:t>九</w:t>
      </w:r>
      <w:bookmarkStart w:id="105" w:name="_GoBack"/>
      <w:bookmarkEnd w:id="105"/>
      <w:r>
        <w:rPr>
          <w:rFonts w:hint="eastAsia" w:ascii="黑体" w:hAnsi="黑体" w:eastAsia="黑体" w:cs="黑体"/>
          <w:sz w:val="32"/>
          <w:szCs w:val="32"/>
        </w:rPr>
        <w:t>月</w:t>
      </w:r>
    </w:p>
    <w:p>
      <w:pPr>
        <w:jc w:val="center"/>
        <w:rPr>
          <w:rFonts w:hint="eastAsia" w:ascii="方正小标宋简体" w:eastAsia="方正小标宋简体"/>
          <w:spacing w:val="40"/>
          <w:sz w:val="44"/>
          <w:szCs w:val="44"/>
        </w:rPr>
      </w:pPr>
    </w:p>
    <w:p>
      <w:pPr>
        <w:jc w:val="center"/>
        <w:rPr>
          <w:rFonts w:hint="eastAsia" w:ascii="黑体" w:hAnsi="黑体" w:eastAsia="黑体"/>
          <w:spacing w:val="40"/>
          <w:sz w:val="32"/>
          <w:szCs w:val="32"/>
        </w:rPr>
      </w:pPr>
    </w:p>
    <w:sdt>
      <w:sdtPr>
        <w:rPr>
          <w:lang w:val="zh-CN"/>
        </w:rPr>
        <w:id w:val="1407730164"/>
        <w:docPartObj>
          <w:docPartGallery w:val="Table of Contents"/>
          <w:docPartUnique/>
        </w:docPartObj>
      </w:sdtPr>
      <w:sdtEndPr>
        <w:rPr>
          <w:b/>
          <w:bCs/>
          <w:lang w:val="zh-CN"/>
        </w:rPr>
      </w:sdtEndPr>
      <w:sdtContent>
        <w:p>
          <w:pPr>
            <w:jc w:val="center"/>
            <w:rPr>
              <w:rFonts w:hint="eastAsia"/>
            </w:rPr>
          </w:pPr>
          <w:r>
            <w:rPr>
              <w:rFonts w:hint="eastAsia" w:ascii="黑体" w:hAnsi="黑体" w:eastAsia="黑体" w:cs="黑体"/>
              <w:sz w:val="32"/>
              <w:szCs w:val="36"/>
            </w:rPr>
            <w:t>目录</w:t>
          </w:r>
        </w:p>
        <w:p>
          <w:pPr>
            <w:pStyle w:val="11"/>
            <w:rPr>
              <w:rFonts w:hint="eastAsia" w:asciiTheme="minorHAnsi" w:hAnsiTheme="minorHAnsi" w:eastAsiaTheme="minorEastAsia" w:cstheme="minorBidi"/>
              <w:kern w:val="2"/>
              <w:sz w:val="22"/>
              <w:szCs w:val="24"/>
              <w14:ligatures w14:val="standardContextual"/>
            </w:rPr>
          </w:pPr>
          <w:r>
            <w:rPr>
              <w:rFonts w:ascii="宋体" w:hAnsi="宋体" w:eastAsia="宋体"/>
            </w:rPr>
            <w:fldChar w:fldCharType="begin"/>
          </w:r>
          <w:r>
            <w:rPr>
              <w:rFonts w:ascii="宋体" w:hAnsi="宋体" w:eastAsia="宋体"/>
            </w:rPr>
            <w:instrText xml:space="preserve"> TOC \o "1-3" \h \z \u </w:instrText>
          </w:r>
          <w:r>
            <w:rPr>
              <w:rFonts w:ascii="宋体" w:hAnsi="宋体" w:eastAsia="宋体"/>
            </w:rPr>
            <w:fldChar w:fldCharType="separate"/>
          </w:r>
          <w:r>
            <w:fldChar w:fldCharType="begin"/>
          </w:r>
          <w:r>
            <w:instrText xml:space="preserve"> HYPERLINK \l "_Toc238918038" </w:instrText>
          </w:r>
          <w:r>
            <w:fldChar w:fldCharType="separate"/>
          </w:r>
          <w:r>
            <w:rPr>
              <w:rStyle w:val="17"/>
              <w:rFonts w:cs="黑体"/>
            </w:rPr>
            <w:t>第一章  总体要求</w:t>
          </w:r>
          <w:r>
            <w:rPr>
              <w:rFonts w:hint="eastAsia"/>
            </w:rPr>
            <w:tab/>
          </w:r>
          <w:r>
            <w:rPr>
              <w:rFonts w:hint="eastAsia"/>
            </w:rPr>
            <w:fldChar w:fldCharType="begin"/>
          </w:r>
          <w:r>
            <w:rPr>
              <w:rFonts w:hint="eastAsia"/>
            </w:rPr>
            <w:instrText xml:space="preserve"> </w:instrText>
          </w:r>
          <w:r>
            <w:instrText xml:space="preserve">PAGEREF _Toc238918038 \h</w:instrText>
          </w:r>
          <w:r>
            <w:rPr>
              <w:rFonts w:hint="eastAsia"/>
            </w:rPr>
            <w:instrText xml:space="preserve"> </w:instrText>
          </w:r>
          <w:r>
            <w:rPr>
              <w:rFonts w:hint="eastAsia"/>
            </w:rPr>
            <w:fldChar w:fldCharType="separate"/>
          </w:r>
          <w:r>
            <w:rPr>
              <w:rFonts w:hint="eastAsia"/>
            </w:rPr>
            <w:t>1</w:t>
          </w:r>
          <w:r>
            <w:rPr>
              <w:rFonts w:hint="eastAsia"/>
            </w:rPr>
            <w:fldChar w:fldCharType="end"/>
          </w:r>
          <w:r>
            <w:rPr>
              <w:rFonts w:hint="eastAsia"/>
            </w:rPr>
            <w:fldChar w:fldCharType="end"/>
          </w:r>
        </w:p>
        <w:p>
          <w:pPr>
            <w:pStyle w:val="12"/>
            <w:keepNext w:val="0"/>
            <w:keepLines w:val="0"/>
            <w:pageBreakBefore w:val="0"/>
            <w:widowControl/>
            <w:tabs>
              <w:tab w:val="right" w:leader="dot" w:pos="8296"/>
            </w:tabs>
            <w:kinsoku/>
            <w:wordWrap/>
            <w:overflowPunct/>
            <w:topLinePunct w:val="0"/>
            <w:autoSpaceDE/>
            <w:autoSpaceDN/>
            <w:bidi w:val="0"/>
            <w:adjustRightInd/>
            <w:snapToGrid/>
            <w:spacing w:after="0" w:line="360" w:lineRule="auto"/>
            <w:textAlignment w:val="auto"/>
            <w:rPr>
              <w:rFonts w:hint="eastAsia" w:cstheme="minorBidi"/>
              <w:kern w:val="2"/>
              <w:szCs w:val="24"/>
              <w14:ligatures w14:val="standardContextual"/>
            </w:rPr>
          </w:pPr>
          <w:r>
            <w:fldChar w:fldCharType="begin"/>
          </w:r>
          <w:r>
            <w:instrText xml:space="preserve"> HYPERLINK \l "_Toc238918039" </w:instrText>
          </w:r>
          <w:r>
            <w:fldChar w:fldCharType="separate"/>
          </w:r>
          <w:r>
            <w:rPr>
              <w:rStyle w:val="17"/>
              <w:rFonts w:ascii="黑体" w:hAnsi="黑体" w:eastAsia="黑体" w:cs="黑体"/>
            </w:rPr>
            <w:t>一、指导思想</w:t>
          </w:r>
          <w:r>
            <w:rPr>
              <w:rFonts w:hint="eastAsia"/>
            </w:rPr>
            <w:tab/>
          </w:r>
          <w:r>
            <w:rPr>
              <w:rFonts w:hint="eastAsia"/>
            </w:rPr>
            <w:fldChar w:fldCharType="begin"/>
          </w:r>
          <w:r>
            <w:rPr>
              <w:rFonts w:hint="eastAsia"/>
            </w:rPr>
            <w:instrText xml:space="preserve"> </w:instrText>
          </w:r>
          <w:r>
            <w:instrText xml:space="preserve">PAGEREF _Toc238918039 \h</w:instrText>
          </w:r>
          <w:r>
            <w:rPr>
              <w:rFonts w:hint="eastAsia"/>
            </w:rPr>
            <w:instrText xml:space="preserve"> </w:instrText>
          </w:r>
          <w:r>
            <w:rPr>
              <w:rFonts w:hint="eastAsia"/>
            </w:rPr>
            <w:fldChar w:fldCharType="separate"/>
          </w:r>
          <w:r>
            <w:rPr>
              <w:rFonts w:hint="eastAsia"/>
            </w:rPr>
            <w:t>1</w:t>
          </w:r>
          <w:r>
            <w:rPr>
              <w:rFonts w:hint="eastAsia"/>
            </w:rPr>
            <w:fldChar w:fldCharType="end"/>
          </w:r>
          <w:r>
            <w:rPr>
              <w:rFonts w:hint="eastAsia"/>
            </w:rPr>
            <w:fldChar w:fldCharType="end"/>
          </w:r>
        </w:p>
        <w:p>
          <w:pPr>
            <w:pStyle w:val="12"/>
            <w:keepNext w:val="0"/>
            <w:keepLines w:val="0"/>
            <w:pageBreakBefore w:val="0"/>
            <w:widowControl/>
            <w:tabs>
              <w:tab w:val="right" w:leader="dot" w:pos="8296"/>
            </w:tabs>
            <w:kinsoku/>
            <w:wordWrap/>
            <w:overflowPunct/>
            <w:topLinePunct w:val="0"/>
            <w:autoSpaceDE/>
            <w:autoSpaceDN/>
            <w:bidi w:val="0"/>
            <w:adjustRightInd/>
            <w:snapToGrid/>
            <w:spacing w:after="0" w:line="360" w:lineRule="auto"/>
            <w:textAlignment w:val="auto"/>
            <w:rPr>
              <w:rFonts w:hint="eastAsia" w:cstheme="minorBidi"/>
              <w:kern w:val="2"/>
              <w:szCs w:val="24"/>
              <w14:ligatures w14:val="standardContextual"/>
            </w:rPr>
          </w:pPr>
          <w:r>
            <w:fldChar w:fldCharType="begin"/>
          </w:r>
          <w:r>
            <w:instrText xml:space="preserve"> HYPERLINK \l "_Toc238918040" </w:instrText>
          </w:r>
          <w:r>
            <w:fldChar w:fldCharType="separate"/>
          </w:r>
          <w:r>
            <w:rPr>
              <w:rStyle w:val="17"/>
              <w:rFonts w:ascii="黑体" w:hAnsi="黑体" w:eastAsia="黑体" w:cs="黑体"/>
            </w:rPr>
            <w:t>二、基本原则</w:t>
          </w:r>
          <w:r>
            <w:rPr>
              <w:rFonts w:hint="eastAsia"/>
            </w:rPr>
            <w:tab/>
          </w:r>
          <w:r>
            <w:rPr>
              <w:rFonts w:hint="eastAsia"/>
            </w:rPr>
            <w:fldChar w:fldCharType="begin"/>
          </w:r>
          <w:r>
            <w:rPr>
              <w:rFonts w:hint="eastAsia"/>
            </w:rPr>
            <w:instrText xml:space="preserve"> </w:instrText>
          </w:r>
          <w:r>
            <w:instrText xml:space="preserve">PAGEREF _Toc238918040 \h</w:instrText>
          </w:r>
          <w:r>
            <w:rPr>
              <w:rFonts w:hint="eastAsia"/>
            </w:rPr>
            <w:instrText xml:space="preserve"> </w:instrText>
          </w:r>
          <w:r>
            <w:rPr>
              <w:rFonts w:hint="eastAsia"/>
            </w:rPr>
            <w:fldChar w:fldCharType="separate"/>
          </w:r>
          <w:r>
            <w:rPr>
              <w:rFonts w:hint="eastAsia"/>
            </w:rPr>
            <w:t>1</w:t>
          </w:r>
          <w:r>
            <w:rPr>
              <w:rFonts w:hint="eastAsia"/>
            </w:rPr>
            <w:fldChar w:fldCharType="end"/>
          </w:r>
          <w:r>
            <w:rPr>
              <w:rFonts w:hint="eastAsia"/>
            </w:rPr>
            <w:fldChar w:fldCharType="end"/>
          </w:r>
        </w:p>
        <w:p>
          <w:pPr>
            <w:pStyle w:val="6"/>
            <w:keepNext w:val="0"/>
            <w:keepLines w:val="0"/>
            <w:pageBreakBefore w:val="0"/>
            <w:widowControl/>
            <w:tabs>
              <w:tab w:val="right" w:leader="dot" w:pos="8296"/>
            </w:tabs>
            <w:kinsoku/>
            <w:wordWrap/>
            <w:overflowPunct/>
            <w:topLinePunct w:val="0"/>
            <w:autoSpaceDE/>
            <w:autoSpaceDN/>
            <w:bidi w:val="0"/>
            <w:adjustRightInd/>
            <w:snapToGrid/>
            <w:spacing w:after="0" w:line="360" w:lineRule="auto"/>
            <w:textAlignment w:val="auto"/>
            <w:rPr>
              <w:rFonts w:hint="eastAsia" w:cstheme="minorBidi"/>
              <w:kern w:val="2"/>
              <w:szCs w:val="24"/>
              <w14:ligatures w14:val="standardContextual"/>
            </w:rPr>
          </w:pPr>
          <w:r>
            <w:fldChar w:fldCharType="begin"/>
          </w:r>
          <w:r>
            <w:instrText xml:space="preserve"> HYPERLINK \l "_Toc238918041" </w:instrText>
          </w:r>
          <w:r>
            <w:fldChar w:fldCharType="separate"/>
          </w:r>
          <w:r>
            <w:rPr>
              <w:rStyle w:val="17"/>
              <w:rFonts w:ascii="仿宋_GB2312"/>
            </w:rPr>
            <w:t>1.坚持服务大局，聚焦高质量发展</w:t>
          </w:r>
          <w:r>
            <w:rPr>
              <w:rFonts w:hint="eastAsia"/>
            </w:rPr>
            <w:tab/>
          </w:r>
          <w:r>
            <w:rPr>
              <w:rFonts w:hint="eastAsia"/>
            </w:rPr>
            <w:fldChar w:fldCharType="begin"/>
          </w:r>
          <w:r>
            <w:rPr>
              <w:rFonts w:hint="eastAsia"/>
            </w:rPr>
            <w:instrText xml:space="preserve"> </w:instrText>
          </w:r>
          <w:r>
            <w:instrText xml:space="preserve">PAGEREF _Toc238918041 \h</w:instrText>
          </w:r>
          <w:r>
            <w:rPr>
              <w:rFonts w:hint="eastAsia"/>
            </w:rPr>
            <w:instrText xml:space="preserve"> </w:instrText>
          </w:r>
          <w:r>
            <w:rPr>
              <w:rFonts w:hint="eastAsia"/>
            </w:rPr>
            <w:fldChar w:fldCharType="separate"/>
          </w:r>
          <w:r>
            <w:rPr>
              <w:rFonts w:hint="eastAsia"/>
            </w:rPr>
            <w:t>1</w:t>
          </w:r>
          <w:r>
            <w:rPr>
              <w:rFonts w:hint="eastAsia"/>
            </w:rPr>
            <w:fldChar w:fldCharType="end"/>
          </w:r>
          <w:r>
            <w:rPr>
              <w:rFonts w:hint="eastAsia"/>
            </w:rPr>
            <w:fldChar w:fldCharType="end"/>
          </w:r>
        </w:p>
        <w:p>
          <w:pPr>
            <w:pStyle w:val="6"/>
            <w:keepNext w:val="0"/>
            <w:keepLines w:val="0"/>
            <w:pageBreakBefore w:val="0"/>
            <w:widowControl/>
            <w:tabs>
              <w:tab w:val="right" w:leader="dot" w:pos="8296"/>
            </w:tabs>
            <w:kinsoku/>
            <w:wordWrap/>
            <w:overflowPunct/>
            <w:topLinePunct w:val="0"/>
            <w:autoSpaceDE/>
            <w:autoSpaceDN/>
            <w:bidi w:val="0"/>
            <w:adjustRightInd/>
            <w:snapToGrid/>
            <w:spacing w:after="0" w:line="360" w:lineRule="auto"/>
            <w:textAlignment w:val="auto"/>
            <w:rPr>
              <w:rFonts w:hint="eastAsia" w:cstheme="minorBidi"/>
              <w:kern w:val="2"/>
              <w:szCs w:val="24"/>
              <w14:ligatures w14:val="standardContextual"/>
            </w:rPr>
          </w:pPr>
          <w:r>
            <w:fldChar w:fldCharType="begin"/>
          </w:r>
          <w:r>
            <w:instrText xml:space="preserve"> HYPERLINK \l "_Toc238918042" </w:instrText>
          </w:r>
          <w:r>
            <w:fldChar w:fldCharType="separate"/>
          </w:r>
          <w:r>
            <w:rPr>
              <w:rStyle w:val="17"/>
              <w:rFonts w:ascii="仿宋_GB2312"/>
            </w:rPr>
            <w:t>2.坚持人民至上，确保气象服务民生导向</w:t>
          </w:r>
          <w:r>
            <w:rPr>
              <w:rFonts w:hint="eastAsia"/>
            </w:rPr>
            <w:tab/>
          </w:r>
          <w:r>
            <w:rPr>
              <w:rFonts w:hint="eastAsia"/>
            </w:rPr>
            <w:fldChar w:fldCharType="begin"/>
          </w:r>
          <w:r>
            <w:rPr>
              <w:rFonts w:hint="eastAsia"/>
            </w:rPr>
            <w:instrText xml:space="preserve"> </w:instrText>
          </w:r>
          <w:r>
            <w:instrText xml:space="preserve">PAGEREF _Toc238918042 \h</w:instrText>
          </w:r>
          <w:r>
            <w:rPr>
              <w:rFonts w:hint="eastAsia"/>
            </w:rPr>
            <w:instrText xml:space="preserve"> </w:instrText>
          </w:r>
          <w:r>
            <w:rPr>
              <w:rFonts w:hint="eastAsia"/>
            </w:rPr>
            <w:fldChar w:fldCharType="separate"/>
          </w:r>
          <w:r>
            <w:rPr>
              <w:rFonts w:hint="eastAsia"/>
            </w:rPr>
            <w:t>1</w:t>
          </w:r>
          <w:r>
            <w:rPr>
              <w:rFonts w:hint="eastAsia"/>
            </w:rPr>
            <w:fldChar w:fldCharType="end"/>
          </w:r>
          <w:r>
            <w:rPr>
              <w:rFonts w:hint="eastAsia"/>
            </w:rPr>
            <w:fldChar w:fldCharType="end"/>
          </w:r>
        </w:p>
        <w:p>
          <w:pPr>
            <w:pStyle w:val="6"/>
            <w:keepNext w:val="0"/>
            <w:keepLines w:val="0"/>
            <w:pageBreakBefore w:val="0"/>
            <w:widowControl/>
            <w:tabs>
              <w:tab w:val="right" w:leader="dot" w:pos="8296"/>
            </w:tabs>
            <w:kinsoku/>
            <w:wordWrap/>
            <w:overflowPunct/>
            <w:topLinePunct w:val="0"/>
            <w:autoSpaceDE/>
            <w:autoSpaceDN/>
            <w:bidi w:val="0"/>
            <w:adjustRightInd/>
            <w:snapToGrid/>
            <w:spacing w:after="0" w:line="360" w:lineRule="auto"/>
            <w:textAlignment w:val="auto"/>
            <w:rPr>
              <w:rFonts w:hint="eastAsia" w:cstheme="minorBidi"/>
              <w:kern w:val="2"/>
              <w:szCs w:val="24"/>
              <w14:ligatures w14:val="standardContextual"/>
            </w:rPr>
          </w:pPr>
          <w:r>
            <w:fldChar w:fldCharType="begin"/>
          </w:r>
          <w:r>
            <w:instrText xml:space="preserve"> HYPERLINK \l "_Toc238918043" </w:instrText>
          </w:r>
          <w:r>
            <w:fldChar w:fldCharType="separate"/>
          </w:r>
          <w:r>
            <w:rPr>
              <w:rStyle w:val="17"/>
              <w:rFonts w:ascii="仿宋_GB2312"/>
            </w:rPr>
            <w:t>3.坚持创新驱动，推动气象科技能力现代化和社会服务现代化</w:t>
          </w:r>
          <w:r>
            <w:rPr>
              <w:rFonts w:hint="eastAsia"/>
            </w:rPr>
            <w:tab/>
          </w:r>
          <w:r>
            <w:rPr>
              <w:rFonts w:hint="eastAsia"/>
            </w:rPr>
            <w:fldChar w:fldCharType="begin"/>
          </w:r>
          <w:r>
            <w:rPr>
              <w:rFonts w:hint="eastAsia"/>
            </w:rPr>
            <w:instrText xml:space="preserve"> </w:instrText>
          </w:r>
          <w:r>
            <w:instrText xml:space="preserve">PAGEREF _Toc238918043 \h</w:instrText>
          </w:r>
          <w:r>
            <w:rPr>
              <w:rFonts w:hint="eastAsia"/>
            </w:rPr>
            <w:instrText xml:space="preserve"> </w:instrText>
          </w:r>
          <w:r>
            <w:rPr>
              <w:rFonts w:hint="eastAsia"/>
            </w:rPr>
            <w:fldChar w:fldCharType="separate"/>
          </w:r>
          <w:r>
            <w:rPr>
              <w:rFonts w:hint="eastAsia"/>
            </w:rPr>
            <w:t>2</w:t>
          </w:r>
          <w:r>
            <w:rPr>
              <w:rFonts w:hint="eastAsia"/>
            </w:rPr>
            <w:fldChar w:fldCharType="end"/>
          </w:r>
          <w:r>
            <w:rPr>
              <w:rFonts w:hint="eastAsia"/>
            </w:rPr>
            <w:fldChar w:fldCharType="end"/>
          </w:r>
        </w:p>
        <w:p>
          <w:pPr>
            <w:pStyle w:val="6"/>
            <w:keepNext w:val="0"/>
            <w:keepLines w:val="0"/>
            <w:pageBreakBefore w:val="0"/>
            <w:widowControl/>
            <w:tabs>
              <w:tab w:val="right" w:leader="dot" w:pos="8296"/>
            </w:tabs>
            <w:kinsoku/>
            <w:wordWrap/>
            <w:overflowPunct/>
            <w:topLinePunct w:val="0"/>
            <w:autoSpaceDE/>
            <w:autoSpaceDN/>
            <w:bidi w:val="0"/>
            <w:adjustRightInd/>
            <w:snapToGrid/>
            <w:spacing w:after="0" w:line="360" w:lineRule="auto"/>
            <w:textAlignment w:val="auto"/>
            <w:rPr>
              <w:rFonts w:hint="eastAsia" w:cstheme="minorBidi"/>
              <w:kern w:val="2"/>
              <w:szCs w:val="24"/>
              <w14:ligatures w14:val="standardContextual"/>
            </w:rPr>
          </w:pPr>
          <w:r>
            <w:fldChar w:fldCharType="begin"/>
          </w:r>
          <w:r>
            <w:instrText xml:space="preserve"> HYPERLINK \l "_Toc238918044" </w:instrText>
          </w:r>
          <w:r>
            <w:fldChar w:fldCharType="separate"/>
          </w:r>
          <w:r>
            <w:rPr>
              <w:rStyle w:val="17"/>
              <w:rFonts w:ascii="仿宋_GB2312"/>
            </w:rPr>
            <w:t>4.坚持系统思维，统筹协调各方资源</w:t>
          </w:r>
          <w:r>
            <w:rPr>
              <w:rFonts w:hint="eastAsia"/>
            </w:rPr>
            <w:tab/>
          </w:r>
          <w:r>
            <w:rPr>
              <w:rFonts w:hint="eastAsia"/>
            </w:rPr>
            <w:fldChar w:fldCharType="begin"/>
          </w:r>
          <w:r>
            <w:rPr>
              <w:rFonts w:hint="eastAsia"/>
            </w:rPr>
            <w:instrText xml:space="preserve"> </w:instrText>
          </w:r>
          <w:r>
            <w:instrText xml:space="preserve">PAGEREF _Toc238918044 \h</w:instrText>
          </w:r>
          <w:r>
            <w:rPr>
              <w:rFonts w:hint="eastAsia"/>
            </w:rPr>
            <w:instrText xml:space="preserve"> </w:instrText>
          </w:r>
          <w:r>
            <w:rPr>
              <w:rFonts w:hint="eastAsia"/>
            </w:rPr>
            <w:fldChar w:fldCharType="separate"/>
          </w:r>
          <w:r>
            <w:rPr>
              <w:rFonts w:hint="eastAsia"/>
            </w:rPr>
            <w:t>2</w:t>
          </w:r>
          <w:r>
            <w:rPr>
              <w:rFonts w:hint="eastAsia"/>
            </w:rPr>
            <w:fldChar w:fldCharType="end"/>
          </w:r>
          <w:r>
            <w:rPr>
              <w:rFonts w:hint="eastAsia"/>
            </w:rPr>
            <w:fldChar w:fldCharType="end"/>
          </w:r>
        </w:p>
        <w:p>
          <w:pPr>
            <w:pStyle w:val="12"/>
            <w:keepNext w:val="0"/>
            <w:keepLines w:val="0"/>
            <w:pageBreakBefore w:val="0"/>
            <w:widowControl/>
            <w:tabs>
              <w:tab w:val="right" w:leader="dot" w:pos="8296"/>
            </w:tabs>
            <w:kinsoku/>
            <w:wordWrap/>
            <w:overflowPunct/>
            <w:topLinePunct w:val="0"/>
            <w:autoSpaceDE/>
            <w:autoSpaceDN/>
            <w:bidi w:val="0"/>
            <w:adjustRightInd/>
            <w:snapToGrid/>
            <w:spacing w:after="0" w:line="360" w:lineRule="auto"/>
            <w:textAlignment w:val="auto"/>
            <w:rPr>
              <w:rFonts w:hint="eastAsia" w:cstheme="minorBidi"/>
              <w:kern w:val="2"/>
              <w:szCs w:val="24"/>
              <w14:ligatures w14:val="standardContextual"/>
            </w:rPr>
          </w:pPr>
          <w:r>
            <w:fldChar w:fldCharType="begin"/>
          </w:r>
          <w:r>
            <w:instrText xml:space="preserve"> HYPERLINK \l "_Toc238918045" </w:instrText>
          </w:r>
          <w:r>
            <w:fldChar w:fldCharType="separate"/>
          </w:r>
          <w:r>
            <w:rPr>
              <w:rStyle w:val="17"/>
              <w:rFonts w:ascii="黑体" w:hAnsi="黑体" w:eastAsia="黑体" w:cs="黑体"/>
            </w:rPr>
            <w:t>三、发展目标</w:t>
          </w:r>
          <w:r>
            <w:rPr>
              <w:rFonts w:hint="eastAsia"/>
            </w:rPr>
            <w:tab/>
          </w:r>
          <w:r>
            <w:rPr>
              <w:rFonts w:hint="eastAsia"/>
            </w:rPr>
            <w:fldChar w:fldCharType="begin"/>
          </w:r>
          <w:r>
            <w:rPr>
              <w:rFonts w:hint="eastAsia"/>
            </w:rPr>
            <w:instrText xml:space="preserve"> </w:instrText>
          </w:r>
          <w:r>
            <w:instrText xml:space="preserve">PAGEREF _Toc238918045 \h</w:instrText>
          </w:r>
          <w:r>
            <w:rPr>
              <w:rFonts w:hint="eastAsia"/>
            </w:rPr>
            <w:instrText xml:space="preserve"> </w:instrText>
          </w:r>
          <w:r>
            <w:rPr>
              <w:rFonts w:hint="eastAsia"/>
            </w:rPr>
            <w:fldChar w:fldCharType="separate"/>
          </w:r>
          <w:r>
            <w:rPr>
              <w:rFonts w:hint="eastAsia"/>
            </w:rPr>
            <w:t>2</w:t>
          </w:r>
          <w:r>
            <w:rPr>
              <w:rFonts w:hint="eastAsia"/>
            </w:rPr>
            <w:fldChar w:fldCharType="end"/>
          </w:r>
          <w:r>
            <w:rPr>
              <w:rFonts w:hint="eastAsia"/>
            </w:rPr>
            <w:fldChar w:fldCharType="end"/>
          </w:r>
        </w:p>
        <w:p>
          <w:pPr>
            <w:pStyle w:val="11"/>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Theme="minorHAnsi" w:hAnsiTheme="minorHAnsi" w:eastAsiaTheme="minorEastAsia" w:cstheme="minorBidi"/>
              <w:kern w:val="2"/>
              <w:sz w:val="22"/>
              <w:szCs w:val="24"/>
              <w14:ligatures w14:val="standardContextual"/>
            </w:rPr>
          </w:pPr>
          <w:r>
            <w:fldChar w:fldCharType="begin"/>
          </w:r>
          <w:r>
            <w:instrText xml:space="preserve"> HYPERLINK \l "_Toc238918046" </w:instrText>
          </w:r>
          <w:r>
            <w:fldChar w:fldCharType="separate"/>
          </w:r>
          <w:r>
            <w:rPr>
              <w:rStyle w:val="17"/>
              <w:rFonts w:cs="黑体"/>
            </w:rPr>
            <w:t>第二章  主要任务</w:t>
          </w:r>
          <w:r>
            <w:rPr>
              <w:rFonts w:hint="eastAsia"/>
            </w:rPr>
            <w:tab/>
          </w:r>
          <w:r>
            <w:rPr>
              <w:rFonts w:hint="eastAsia"/>
            </w:rPr>
            <w:fldChar w:fldCharType="begin"/>
          </w:r>
          <w:r>
            <w:rPr>
              <w:rFonts w:hint="eastAsia"/>
            </w:rPr>
            <w:instrText xml:space="preserve"> </w:instrText>
          </w:r>
          <w:r>
            <w:instrText xml:space="preserve">PAGEREF _Toc238918046 \h</w:instrText>
          </w:r>
          <w:r>
            <w:rPr>
              <w:rFonts w:hint="eastAsia"/>
            </w:rPr>
            <w:instrText xml:space="preserve"> </w:instrText>
          </w:r>
          <w:r>
            <w:rPr>
              <w:rFonts w:hint="eastAsia"/>
            </w:rPr>
            <w:fldChar w:fldCharType="separate"/>
          </w:r>
          <w:r>
            <w:rPr>
              <w:rFonts w:hint="eastAsia"/>
            </w:rPr>
            <w:t>6</w:t>
          </w:r>
          <w:r>
            <w:rPr>
              <w:rFonts w:hint="eastAsia"/>
            </w:rPr>
            <w:fldChar w:fldCharType="end"/>
          </w:r>
          <w:r>
            <w:rPr>
              <w:rFonts w:hint="eastAsia"/>
            </w:rPr>
            <w:fldChar w:fldCharType="end"/>
          </w:r>
        </w:p>
        <w:p>
          <w:pPr>
            <w:pStyle w:val="12"/>
            <w:keepNext w:val="0"/>
            <w:keepLines w:val="0"/>
            <w:pageBreakBefore w:val="0"/>
            <w:widowControl/>
            <w:tabs>
              <w:tab w:val="right" w:leader="dot" w:pos="8296"/>
            </w:tabs>
            <w:kinsoku/>
            <w:wordWrap/>
            <w:overflowPunct/>
            <w:topLinePunct w:val="0"/>
            <w:autoSpaceDE/>
            <w:autoSpaceDN/>
            <w:bidi w:val="0"/>
            <w:adjustRightInd/>
            <w:snapToGrid/>
            <w:spacing w:after="0" w:line="360" w:lineRule="auto"/>
            <w:textAlignment w:val="auto"/>
            <w:rPr>
              <w:rFonts w:hint="eastAsia" w:cstheme="minorBidi"/>
              <w:kern w:val="2"/>
              <w:szCs w:val="24"/>
              <w14:ligatures w14:val="standardContextual"/>
            </w:rPr>
          </w:pPr>
          <w:r>
            <w:fldChar w:fldCharType="begin"/>
          </w:r>
          <w:r>
            <w:instrText xml:space="preserve"> HYPERLINK \l "_Toc238918047" </w:instrText>
          </w:r>
          <w:r>
            <w:fldChar w:fldCharType="separate"/>
          </w:r>
          <w:r>
            <w:rPr>
              <w:rStyle w:val="17"/>
              <w:rFonts w:ascii="黑体" w:hAnsi="黑体" w:eastAsia="黑体" w:cs="黑体"/>
            </w:rPr>
            <w:t>一、筑牢气象防灾减灾第一道防线</w:t>
          </w:r>
          <w:r>
            <w:rPr>
              <w:rFonts w:hint="eastAsia"/>
            </w:rPr>
            <w:tab/>
          </w:r>
          <w:r>
            <w:rPr>
              <w:rFonts w:hint="eastAsia"/>
            </w:rPr>
            <w:fldChar w:fldCharType="begin"/>
          </w:r>
          <w:r>
            <w:rPr>
              <w:rFonts w:hint="eastAsia"/>
            </w:rPr>
            <w:instrText xml:space="preserve"> </w:instrText>
          </w:r>
          <w:r>
            <w:instrText xml:space="preserve">PAGEREF _Toc238918047 \h</w:instrText>
          </w:r>
          <w:r>
            <w:rPr>
              <w:rFonts w:hint="eastAsia"/>
            </w:rPr>
            <w:instrText xml:space="preserve"> </w:instrText>
          </w:r>
          <w:r>
            <w:rPr>
              <w:rFonts w:hint="eastAsia"/>
            </w:rPr>
            <w:fldChar w:fldCharType="separate"/>
          </w:r>
          <w:r>
            <w:rPr>
              <w:rFonts w:hint="eastAsia"/>
            </w:rPr>
            <w:t>6</w:t>
          </w:r>
          <w:r>
            <w:rPr>
              <w:rFonts w:hint="eastAsia"/>
            </w:rPr>
            <w:fldChar w:fldCharType="end"/>
          </w:r>
          <w:r>
            <w:rPr>
              <w:rFonts w:hint="eastAsia"/>
            </w:rPr>
            <w:fldChar w:fldCharType="end"/>
          </w:r>
        </w:p>
        <w:p>
          <w:pPr>
            <w:pStyle w:val="6"/>
            <w:keepNext w:val="0"/>
            <w:keepLines w:val="0"/>
            <w:pageBreakBefore w:val="0"/>
            <w:widowControl/>
            <w:tabs>
              <w:tab w:val="right" w:leader="dot" w:pos="8296"/>
            </w:tabs>
            <w:kinsoku/>
            <w:wordWrap/>
            <w:overflowPunct/>
            <w:topLinePunct w:val="0"/>
            <w:autoSpaceDE/>
            <w:autoSpaceDN/>
            <w:bidi w:val="0"/>
            <w:adjustRightInd/>
            <w:snapToGrid/>
            <w:spacing w:after="0" w:line="360" w:lineRule="auto"/>
            <w:textAlignment w:val="auto"/>
            <w:rPr>
              <w:rFonts w:hint="eastAsia" w:cstheme="minorBidi"/>
              <w:kern w:val="2"/>
              <w:szCs w:val="24"/>
              <w14:ligatures w14:val="standardContextual"/>
            </w:rPr>
          </w:pPr>
          <w:r>
            <w:fldChar w:fldCharType="begin"/>
          </w:r>
          <w:r>
            <w:instrText xml:space="preserve"> HYPERLINK \l "_Toc238918048" </w:instrText>
          </w:r>
          <w:r>
            <w:fldChar w:fldCharType="separate"/>
          </w:r>
          <w:r>
            <w:rPr>
              <w:rStyle w:val="17"/>
              <w:rFonts w:ascii="仿宋_GB2312"/>
            </w:rPr>
            <w:t>1.加强气象防灾减灾机制建设</w:t>
          </w:r>
          <w:r>
            <w:rPr>
              <w:rFonts w:hint="eastAsia"/>
            </w:rPr>
            <w:tab/>
          </w:r>
          <w:r>
            <w:rPr>
              <w:rFonts w:hint="eastAsia"/>
            </w:rPr>
            <w:fldChar w:fldCharType="begin"/>
          </w:r>
          <w:r>
            <w:rPr>
              <w:rFonts w:hint="eastAsia"/>
            </w:rPr>
            <w:instrText xml:space="preserve"> </w:instrText>
          </w:r>
          <w:r>
            <w:instrText xml:space="preserve">PAGEREF _Toc238918048 \h</w:instrText>
          </w:r>
          <w:r>
            <w:rPr>
              <w:rFonts w:hint="eastAsia"/>
            </w:rPr>
            <w:instrText xml:space="preserve"> </w:instrText>
          </w:r>
          <w:r>
            <w:rPr>
              <w:rFonts w:hint="eastAsia"/>
            </w:rPr>
            <w:fldChar w:fldCharType="separate"/>
          </w:r>
          <w:r>
            <w:rPr>
              <w:rFonts w:hint="eastAsia"/>
            </w:rPr>
            <w:t>6</w:t>
          </w:r>
          <w:r>
            <w:rPr>
              <w:rFonts w:hint="eastAsia"/>
            </w:rPr>
            <w:fldChar w:fldCharType="end"/>
          </w:r>
          <w:r>
            <w:rPr>
              <w:rFonts w:hint="eastAsia"/>
            </w:rPr>
            <w:fldChar w:fldCharType="end"/>
          </w:r>
        </w:p>
        <w:p>
          <w:pPr>
            <w:pStyle w:val="6"/>
            <w:keepNext w:val="0"/>
            <w:keepLines w:val="0"/>
            <w:pageBreakBefore w:val="0"/>
            <w:widowControl/>
            <w:tabs>
              <w:tab w:val="right" w:leader="dot" w:pos="8296"/>
            </w:tabs>
            <w:kinsoku/>
            <w:wordWrap/>
            <w:overflowPunct/>
            <w:topLinePunct w:val="0"/>
            <w:autoSpaceDE/>
            <w:autoSpaceDN/>
            <w:bidi w:val="0"/>
            <w:adjustRightInd/>
            <w:snapToGrid/>
            <w:spacing w:after="0" w:line="360" w:lineRule="auto"/>
            <w:textAlignment w:val="auto"/>
            <w:rPr>
              <w:rFonts w:hint="eastAsia" w:cstheme="minorBidi"/>
              <w:kern w:val="2"/>
              <w:szCs w:val="24"/>
              <w14:ligatures w14:val="standardContextual"/>
            </w:rPr>
          </w:pPr>
          <w:r>
            <w:fldChar w:fldCharType="begin"/>
          </w:r>
          <w:r>
            <w:instrText xml:space="preserve"> HYPERLINK \l "_Toc238918049" </w:instrText>
          </w:r>
          <w:r>
            <w:fldChar w:fldCharType="separate"/>
          </w:r>
          <w:r>
            <w:rPr>
              <w:rStyle w:val="17"/>
              <w:rFonts w:ascii="仿宋_GB2312"/>
            </w:rPr>
            <w:t>2.提高气象灾害风险预估防御能力</w:t>
          </w:r>
          <w:r>
            <w:rPr>
              <w:rFonts w:hint="eastAsia"/>
            </w:rPr>
            <w:tab/>
          </w:r>
          <w:r>
            <w:rPr>
              <w:rFonts w:hint="eastAsia"/>
            </w:rPr>
            <w:fldChar w:fldCharType="begin"/>
          </w:r>
          <w:r>
            <w:rPr>
              <w:rFonts w:hint="eastAsia"/>
            </w:rPr>
            <w:instrText xml:space="preserve"> </w:instrText>
          </w:r>
          <w:r>
            <w:instrText xml:space="preserve">PAGEREF _Toc238918049 \h</w:instrText>
          </w:r>
          <w:r>
            <w:rPr>
              <w:rFonts w:hint="eastAsia"/>
            </w:rPr>
            <w:instrText xml:space="preserve"> </w:instrText>
          </w:r>
          <w:r>
            <w:rPr>
              <w:rFonts w:hint="eastAsia"/>
            </w:rPr>
            <w:fldChar w:fldCharType="separate"/>
          </w:r>
          <w:r>
            <w:rPr>
              <w:rFonts w:hint="eastAsia"/>
            </w:rPr>
            <w:t>6</w:t>
          </w:r>
          <w:r>
            <w:rPr>
              <w:rFonts w:hint="eastAsia"/>
            </w:rPr>
            <w:fldChar w:fldCharType="end"/>
          </w:r>
          <w:r>
            <w:rPr>
              <w:rFonts w:hint="eastAsia"/>
            </w:rPr>
            <w:fldChar w:fldCharType="end"/>
          </w:r>
        </w:p>
        <w:p>
          <w:pPr>
            <w:pStyle w:val="6"/>
            <w:keepNext w:val="0"/>
            <w:keepLines w:val="0"/>
            <w:pageBreakBefore w:val="0"/>
            <w:widowControl/>
            <w:tabs>
              <w:tab w:val="right" w:leader="dot" w:pos="8296"/>
            </w:tabs>
            <w:kinsoku/>
            <w:wordWrap/>
            <w:overflowPunct/>
            <w:topLinePunct w:val="0"/>
            <w:autoSpaceDE/>
            <w:autoSpaceDN/>
            <w:bidi w:val="0"/>
            <w:adjustRightInd/>
            <w:snapToGrid/>
            <w:spacing w:after="0" w:line="360" w:lineRule="auto"/>
            <w:textAlignment w:val="auto"/>
            <w:rPr>
              <w:rFonts w:hint="eastAsia" w:cstheme="minorBidi"/>
              <w:kern w:val="2"/>
              <w:szCs w:val="24"/>
              <w14:ligatures w14:val="standardContextual"/>
            </w:rPr>
          </w:pPr>
          <w:r>
            <w:fldChar w:fldCharType="begin"/>
          </w:r>
          <w:r>
            <w:instrText xml:space="preserve"> HYPERLINK \l "_Toc238918050" </w:instrText>
          </w:r>
          <w:r>
            <w:fldChar w:fldCharType="separate"/>
          </w:r>
          <w:r>
            <w:rPr>
              <w:rStyle w:val="17"/>
              <w:rFonts w:ascii="仿宋_GB2312"/>
            </w:rPr>
            <w:t>3.全面提升气象灾害预警能力</w:t>
          </w:r>
          <w:r>
            <w:rPr>
              <w:rFonts w:hint="eastAsia"/>
            </w:rPr>
            <w:tab/>
          </w:r>
          <w:r>
            <w:rPr>
              <w:rFonts w:hint="eastAsia"/>
            </w:rPr>
            <w:fldChar w:fldCharType="begin"/>
          </w:r>
          <w:r>
            <w:rPr>
              <w:rFonts w:hint="eastAsia"/>
            </w:rPr>
            <w:instrText xml:space="preserve"> </w:instrText>
          </w:r>
          <w:r>
            <w:instrText xml:space="preserve">PAGEREF _Toc238918050 \h</w:instrText>
          </w:r>
          <w:r>
            <w:rPr>
              <w:rFonts w:hint="eastAsia"/>
            </w:rPr>
            <w:instrText xml:space="preserve"> </w:instrText>
          </w:r>
          <w:r>
            <w:rPr>
              <w:rFonts w:hint="eastAsia"/>
            </w:rPr>
            <w:fldChar w:fldCharType="separate"/>
          </w:r>
          <w:r>
            <w:rPr>
              <w:rFonts w:hint="eastAsia"/>
            </w:rPr>
            <w:t>6</w:t>
          </w:r>
          <w:r>
            <w:rPr>
              <w:rFonts w:hint="eastAsia"/>
            </w:rPr>
            <w:fldChar w:fldCharType="end"/>
          </w:r>
          <w:r>
            <w:rPr>
              <w:rFonts w:hint="eastAsia"/>
            </w:rPr>
            <w:fldChar w:fldCharType="end"/>
          </w:r>
        </w:p>
        <w:p>
          <w:pPr>
            <w:pStyle w:val="6"/>
            <w:keepNext w:val="0"/>
            <w:keepLines w:val="0"/>
            <w:pageBreakBefore w:val="0"/>
            <w:widowControl/>
            <w:tabs>
              <w:tab w:val="right" w:leader="dot" w:pos="8296"/>
            </w:tabs>
            <w:kinsoku/>
            <w:wordWrap/>
            <w:overflowPunct/>
            <w:topLinePunct w:val="0"/>
            <w:autoSpaceDE/>
            <w:autoSpaceDN/>
            <w:bidi w:val="0"/>
            <w:adjustRightInd/>
            <w:snapToGrid/>
            <w:spacing w:after="0" w:line="360" w:lineRule="auto"/>
            <w:textAlignment w:val="auto"/>
            <w:rPr>
              <w:rFonts w:hint="eastAsia" w:cstheme="minorBidi"/>
              <w:kern w:val="2"/>
              <w:szCs w:val="24"/>
              <w14:ligatures w14:val="standardContextual"/>
            </w:rPr>
          </w:pPr>
          <w:r>
            <w:fldChar w:fldCharType="begin"/>
          </w:r>
          <w:r>
            <w:instrText xml:space="preserve"> HYPERLINK \l "_Toc238918051" </w:instrText>
          </w:r>
          <w:r>
            <w:fldChar w:fldCharType="separate"/>
          </w:r>
          <w:r>
            <w:rPr>
              <w:rStyle w:val="17"/>
              <w:rFonts w:ascii="仿宋_GB2312"/>
            </w:rPr>
            <w:t>4.强化防灾减灾科普知识宣传</w:t>
          </w:r>
          <w:r>
            <w:rPr>
              <w:rFonts w:hint="eastAsia"/>
            </w:rPr>
            <w:tab/>
          </w:r>
          <w:r>
            <w:rPr>
              <w:rFonts w:hint="eastAsia"/>
            </w:rPr>
            <w:fldChar w:fldCharType="begin"/>
          </w:r>
          <w:r>
            <w:rPr>
              <w:rFonts w:hint="eastAsia"/>
            </w:rPr>
            <w:instrText xml:space="preserve"> </w:instrText>
          </w:r>
          <w:r>
            <w:instrText xml:space="preserve">PAGEREF _Toc238918051 \h</w:instrText>
          </w:r>
          <w:r>
            <w:rPr>
              <w:rFonts w:hint="eastAsia"/>
            </w:rPr>
            <w:instrText xml:space="preserve"> </w:instrText>
          </w:r>
          <w:r>
            <w:rPr>
              <w:rFonts w:hint="eastAsia"/>
            </w:rPr>
            <w:fldChar w:fldCharType="separate"/>
          </w:r>
          <w:r>
            <w:rPr>
              <w:rFonts w:hint="eastAsia"/>
            </w:rPr>
            <w:t>7</w:t>
          </w:r>
          <w:r>
            <w:rPr>
              <w:rFonts w:hint="eastAsia"/>
            </w:rPr>
            <w:fldChar w:fldCharType="end"/>
          </w:r>
          <w:r>
            <w:rPr>
              <w:rFonts w:hint="eastAsia"/>
            </w:rPr>
            <w:fldChar w:fldCharType="end"/>
          </w:r>
        </w:p>
        <w:p>
          <w:pPr>
            <w:pStyle w:val="12"/>
            <w:keepNext w:val="0"/>
            <w:keepLines w:val="0"/>
            <w:pageBreakBefore w:val="0"/>
            <w:widowControl/>
            <w:tabs>
              <w:tab w:val="right" w:leader="dot" w:pos="8296"/>
            </w:tabs>
            <w:kinsoku/>
            <w:wordWrap/>
            <w:overflowPunct/>
            <w:topLinePunct w:val="0"/>
            <w:autoSpaceDE/>
            <w:autoSpaceDN/>
            <w:bidi w:val="0"/>
            <w:adjustRightInd/>
            <w:snapToGrid/>
            <w:spacing w:after="0" w:line="360" w:lineRule="auto"/>
            <w:textAlignment w:val="auto"/>
            <w:rPr>
              <w:rFonts w:hint="eastAsia" w:cstheme="minorBidi"/>
              <w:kern w:val="2"/>
              <w:szCs w:val="24"/>
              <w14:ligatures w14:val="standardContextual"/>
            </w:rPr>
          </w:pPr>
          <w:r>
            <w:fldChar w:fldCharType="begin"/>
          </w:r>
          <w:r>
            <w:instrText xml:space="preserve"> HYPERLINK \l "_Toc238918052" </w:instrText>
          </w:r>
          <w:r>
            <w:fldChar w:fldCharType="separate"/>
          </w:r>
          <w:r>
            <w:rPr>
              <w:rStyle w:val="17"/>
              <w:rFonts w:ascii="黑体" w:hAnsi="黑体" w:eastAsia="黑体" w:cs="黑体"/>
            </w:rPr>
            <w:t>二、提高气象服务经济社会能力</w:t>
          </w:r>
          <w:r>
            <w:rPr>
              <w:rFonts w:hint="eastAsia"/>
            </w:rPr>
            <w:tab/>
          </w:r>
          <w:r>
            <w:rPr>
              <w:rFonts w:hint="eastAsia"/>
            </w:rPr>
            <w:fldChar w:fldCharType="begin"/>
          </w:r>
          <w:r>
            <w:rPr>
              <w:rFonts w:hint="eastAsia"/>
            </w:rPr>
            <w:instrText xml:space="preserve"> </w:instrText>
          </w:r>
          <w:r>
            <w:instrText xml:space="preserve">PAGEREF _Toc238918052 \h</w:instrText>
          </w:r>
          <w:r>
            <w:rPr>
              <w:rFonts w:hint="eastAsia"/>
            </w:rPr>
            <w:instrText xml:space="preserve"> </w:instrText>
          </w:r>
          <w:r>
            <w:rPr>
              <w:rFonts w:hint="eastAsia"/>
            </w:rPr>
            <w:fldChar w:fldCharType="separate"/>
          </w:r>
          <w:r>
            <w:rPr>
              <w:rFonts w:hint="eastAsia"/>
            </w:rPr>
            <w:t>8</w:t>
          </w:r>
          <w:r>
            <w:rPr>
              <w:rFonts w:hint="eastAsia"/>
            </w:rPr>
            <w:fldChar w:fldCharType="end"/>
          </w:r>
          <w:r>
            <w:rPr>
              <w:rFonts w:hint="eastAsia"/>
            </w:rPr>
            <w:fldChar w:fldCharType="end"/>
          </w:r>
        </w:p>
        <w:p>
          <w:pPr>
            <w:pStyle w:val="6"/>
            <w:keepNext w:val="0"/>
            <w:keepLines w:val="0"/>
            <w:pageBreakBefore w:val="0"/>
            <w:widowControl/>
            <w:tabs>
              <w:tab w:val="right" w:leader="dot" w:pos="8296"/>
            </w:tabs>
            <w:kinsoku/>
            <w:wordWrap/>
            <w:overflowPunct/>
            <w:topLinePunct w:val="0"/>
            <w:autoSpaceDE/>
            <w:autoSpaceDN/>
            <w:bidi w:val="0"/>
            <w:adjustRightInd/>
            <w:snapToGrid/>
            <w:spacing w:after="0" w:line="360" w:lineRule="auto"/>
            <w:textAlignment w:val="auto"/>
            <w:rPr>
              <w:rFonts w:hint="eastAsia" w:cstheme="minorBidi"/>
              <w:kern w:val="2"/>
              <w:szCs w:val="24"/>
              <w14:ligatures w14:val="standardContextual"/>
            </w:rPr>
          </w:pPr>
          <w:r>
            <w:fldChar w:fldCharType="begin"/>
          </w:r>
          <w:r>
            <w:instrText xml:space="preserve"> HYPERLINK \l "_Toc238918053" </w:instrText>
          </w:r>
          <w:r>
            <w:fldChar w:fldCharType="separate"/>
          </w:r>
          <w:r>
            <w:rPr>
              <w:rStyle w:val="17"/>
              <w:rFonts w:ascii="仿宋_GB2312"/>
            </w:rPr>
            <w:t>1.气象服务公众生活</w:t>
          </w:r>
          <w:r>
            <w:rPr>
              <w:rFonts w:hint="eastAsia"/>
            </w:rPr>
            <w:tab/>
          </w:r>
          <w:r>
            <w:rPr>
              <w:rFonts w:hint="eastAsia"/>
            </w:rPr>
            <w:fldChar w:fldCharType="begin"/>
          </w:r>
          <w:r>
            <w:rPr>
              <w:rFonts w:hint="eastAsia"/>
            </w:rPr>
            <w:instrText xml:space="preserve"> </w:instrText>
          </w:r>
          <w:r>
            <w:instrText xml:space="preserve">PAGEREF _Toc238918053 \h</w:instrText>
          </w:r>
          <w:r>
            <w:rPr>
              <w:rFonts w:hint="eastAsia"/>
            </w:rPr>
            <w:instrText xml:space="preserve"> </w:instrText>
          </w:r>
          <w:r>
            <w:rPr>
              <w:rFonts w:hint="eastAsia"/>
            </w:rPr>
            <w:fldChar w:fldCharType="separate"/>
          </w:r>
          <w:r>
            <w:rPr>
              <w:rFonts w:hint="eastAsia"/>
            </w:rPr>
            <w:t>8</w:t>
          </w:r>
          <w:r>
            <w:rPr>
              <w:rFonts w:hint="eastAsia"/>
            </w:rPr>
            <w:fldChar w:fldCharType="end"/>
          </w:r>
          <w:r>
            <w:rPr>
              <w:rFonts w:hint="eastAsia"/>
            </w:rPr>
            <w:fldChar w:fldCharType="end"/>
          </w:r>
        </w:p>
        <w:p>
          <w:pPr>
            <w:pStyle w:val="6"/>
            <w:keepNext w:val="0"/>
            <w:keepLines w:val="0"/>
            <w:pageBreakBefore w:val="0"/>
            <w:widowControl/>
            <w:tabs>
              <w:tab w:val="right" w:leader="dot" w:pos="8296"/>
            </w:tabs>
            <w:kinsoku/>
            <w:wordWrap/>
            <w:overflowPunct/>
            <w:topLinePunct w:val="0"/>
            <w:autoSpaceDE/>
            <w:autoSpaceDN/>
            <w:bidi w:val="0"/>
            <w:adjustRightInd/>
            <w:snapToGrid/>
            <w:spacing w:after="0" w:line="360" w:lineRule="auto"/>
            <w:textAlignment w:val="auto"/>
            <w:rPr>
              <w:rFonts w:hint="eastAsia" w:cstheme="minorBidi"/>
              <w:kern w:val="2"/>
              <w:szCs w:val="24"/>
              <w14:ligatures w14:val="standardContextual"/>
            </w:rPr>
          </w:pPr>
          <w:r>
            <w:fldChar w:fldCharType="begin"/>
          </w:r>
          <w:r>
            <w:instrText xml:space="preserve"> HYPERLINK \l "_Toc238918054" </w:instrText>
          </w:r>
          <w:r>
            <w:fldChar w:fldCharType="separate"/>
          </w:r>
          <w:r>
            <w:rPr>
              <w:rStyle w:val="17"/>
              <w:rFonts w:ascii="仿宋_GB2312"/>
            </w:rPr>
            <w:t>2.气象服务重大活动</w:t>
          </w:r>
          <w:r>
            <w:rPr>
              <w:rFonts w:hint="eastAsia"/>
            </w:rPr>
            <w:tab/>
          </w:r>
          <w:r>
            <w:rPr>
              <w:rFonts w:hint="eastAsia"/>
            </w:rPr>
            <w:fldChar w:fldCharType="begin"/>
          </w:r>
          <w:r>
            <w:rPr>
              <w:rFonts w:hint="eastAsia"/>
            </w:rPr>
            <w:instrText xml:space="preserve"> </w:instrText>
          </w:r>
          <w:r>
            <w:instrText xml:space="preserve">PAGEREF _Toc238918054 \h</w:instrText>
          </w:r>
          <w:r>
            <w:rPr>
              <w:rFonts w:hint="eastAsia"/>
            </w:rPr>
            <w:instrText xml:space="preserve"> </w:instrText>
          </w:r>
          <w:r>
            <w:rPr>
              <w:rFonts w:hint="eastAsia"/>
            </w:rPr>
            <w:fldChar w:fldCharType="separate"/>
          </w:r>
          <w:r>
            <w:rPr>
              <w:rFonts w:hint="eastAsia"/>
            </w:rPr>
            <w:t>8</w:t>
          </w:r>
          <w:r>
            <w:rPr>
              <w:rFonts w:hint="eastAsia"/>
            </w:rPr>
            <w:fldChar w:fldCharType="end"/>
          </w:r>
          <w:r>
            <w:rPr>
              <w:rFonts w:hint="eastAsia"/>
            </w:rPr>
            <w:fldChar w:fldCharType="end"/>
          </w:r>
        </w:p>
        <w:p>
          <w:pPr>
            <w:pStyle w:val="6"/>
            <w:keepNext w:val="0"/>
            <w:keepLines w:val="0"/>
            <w:pageBreakBefore w:val="0"/>
            <w:widowControl/>
            <w:tabs>
              <w:tab w:val="right" w:leader="dot" w:pos="8296"/>
            </w:tabs>
            <w:kinsoku/>
            <w:wordWrap/>
            <w:overflowPunct/>
            <w:topLinePunct w:val="0"/>
            <w:autoSpaceDE/>
            <w:autoSpaceDN/>
            <w:bidi w:val="0"/>
            <w:adjustRightInd/>
            <w:snapToGrid/>
            <w:spacing w:after="0" w:line="360" w:lineRule="auto"/>
            <w:textAlignment w:val="auto"/>
            <w:rPr>
              <w:rFonts w:hint="eastAsia" w:cstheme="minorBidi"/>
              <w:kern w:val="2"/>
              <w:szCs w:val="24"/>
              <w14:ligatures w14:val="standardContextual"/>
            </w:rPr>
          </w:pPr>
          <w:r>
            <w:fldChar w:fldCharType="begin"/>
          </w:r>
          <w:r>
            <w:instrText xml:space="preserve"> HYPERLINK \l "_Toc238918055" </w:instrText>
          </w:r>
          <w:r>
            <w:fldChar w:fldCharType="separate"/>
          </w:r>
          <w:r>
            <w:rPr>
              <w:rStyle w:val="17"/>
              <w:rFonts w:ascii="仿宋_GB2312"/>
            </w:rPr>
            <w:t>3.气象服务乡村振兴</w:t>
          </w:r>
          <w:r>
            <w:rPr>
              <w:rFonts w:hint="eastAsia"/>
            </w:rPr>
            <w:tab/>
          </w:r>
          <w:r>
            <w:rPr>
              <w:rFonts w:hint="eastAsia"/>
            </w:rPr>
            <w:fldChar w:fldCharType="begin"/>
          </w:r>
          <w:r>
            <w:rPr>
              <w:rFonts w:hint="eastAsia"/>
            </w:rPr>
            <w:instrText xml:space="preserve"> </w:instrText>
          </w:r>
          <w:r>
            <w:instrText xml:space="preserve">PAGEREF _Toc238918055 \h</w:instrText>
          </w:r>
          <w:r>
            <w:rPr>
              <w:rFonts w:hint="eastAsia"/>
            </w:rPr>
            <w:instrText xml:space="preserve"> </w:instrText>
          </w:r>
          <w:r>
            <w:rPr>
              <w:rFonts w:hint="eastAsia"/>
            </w:rPr>
            <w:fldChar w:fldCharType="separate"/>
          </w:r>
          <w:r>
            <w:rPr>
              <w:rFonts w:hint="eastAsia"/>
            </w:rPr>
            <w:t>8</w:t>
          </w:r>
          <w:r>
            <w:rPr>
              <w:rFonts w:hint="eastAsia"/>
            </w:rPr>
            <w:fldChar w:fldCharType="end"/>
          </w:r>
          <w:r>
            <w:rPr>
              <w:rFonts w:hint="eastAsia"/>
            </w:rPr>
            <w:fldChar w:fldCharType="end"/>
          </w:r>
        </w:p>
        <w:p>
          <w:pPr>
            <w:pStyle w:val="6"/>
            <w:keepNext w:val="0"/>
            <w:keepLines w:val="0"/>
            <w:pageBreakBefore w:val="0"/>
            <w:widowControl/>
            <w:tabs>
              <w:tab w:val="right" w:leader="dot" w:pos="8296"/>
            </w:tabs>
            <w:kinsoku/>
            <w:wordWrap/>
            <w:overflowPunct/>
            <w:topLinePunct w:val="0"/>
            <w:autoSpaceDE/>
            <w:autoSpaceDN/>
            <w:bidi w:val="0"/>
            <w:adjustRightInd/>
            <w:snapToGrid/>
            <w:spacing w:after="0" w:line="360" w:lineRule="auto"/>
            <w:textAlignment w:val="auto"/>
            <w:rPr>
              <w:rFonts w:hint="eastAsia" w:cstheme="minorBidi"/>
              <w:kern w:val="2"/>
              <w:szCs w:val="24"/>
              <w14:ligatures w14:val="standardContextual"/>
            </w:rPr>
          </w:pPr>
          <w:r>
            <w:fldChar w:fldCharType="begin"/>
          </w:r>
          <w:r>
            <w:instrText xml:space="preserve"> HYPERLINK \l "_Toc238918056" </w:instrText>
          </w:r>
          <w:r>
            <w:fldChar w:fldCharType="separate"/>
          </w:r>
          <w:r>
            <w:rPr>
              <w:rStyle w:val="17"/>
              <w:rFonts w:ascii="仿宋_GB2312"/>
            </w:rPr>
            <w:t>4.气象服务重点行业</w:t>
          </w:r>
          <w:r>
            <w:rPr>
              <w:rFonts w:hint="eastAsia"/>
            </w:rPr>
            <w:tab/>
          </w:r>
          <w:r>
            <w:rPr>
              <w:rFonts w:hint="eastAsia"/>
            </w:rPr>
            <w:fldChar w:fldCharType="begin"/>
          </w:r>
          <w:r>
            <w:rPr>
              <w:rFonts w:hint="eastAsia"/>
            </w:rPr>
            <w:instrText xml:space="preserve"> </w:instrText>
          </w:r>
          <w:r>
            <w:instrText xml:space="preserve">PAGEREF _Toc238918056 \h</w:instrText>
          </w:r>
          <w:r>
            <w:rPr>
              <w:rFonts w:hint="eastAsia"/>
            </w:rPr>
            <w:instrText xml:space="preserve"> </w:instrText>
          </w:r>
          <w:r>
            <w:rPr>
              <w:rFonts w:hint="eastAsia"/>
            </w:rPr>
            <w:fldChar w:fldCharType="separate"/>
          </w:r>
          <w:r>
            <w:rPr>
              <w:rFonts w:hint="eastAsia"/>
            </w:rPr>
            <w:t>9</w:t>
          </w:r>
          <w:r>
            <w:rPr>
              <w:rFonts w:hint="eastAsia"/>
            </w:rPr>
            <w:fldChar w:fldCharType="end"/>
          </w:r>
          <w:r>
            <w:rPr>
              <w:rFonts w:hint="eastAsia"/>
            </w:rPr>
            <w:fldChar w:fldCharType="end"/>
          </w:r>
        </w:p>
        <w:p>
          <w:pPr>
            <w:pStyle w:val="6"/>
            <w:keepNext w:val="0"/>
            <w:keepLines w:val="0"/>
            <w:pageBreakBefore w:val="0"/>
            <w:widowControl/>
            <w:tabs>
              <w:tab w:val="right" w:leader="dot" w:pos="8296"/>
            </w:tabs>
            <w:kinsoku/>
            <w:wordWrap/>
            <w:overflowPunct/>
            <w:topLinePunct w:val="0"/>
            <w:autoSpaceDE/>
            <w:autoSpaceDN/>
            <w:bidi w:val="0"/>
            <w:adjustRightInd/>
            <w:snapToGrid/>
            <w:spacing w:after="0" w:line="360" w:lineRule="auto"/>
            <w:textAlignment w:val="auto"/>
            <w:rPr>
              <w:rFonts w:hint="eastAsia" w:cstheme="minorBidi"/>
              <w:kern w:val="2"/>
              <w:szCs w:val="24"/>
              <w14:ligatures w14:val="standardContextual"/>
            </w:rPr>
          </w:pPr>
          <w:r>
            <w:fldChar w:fldCharType="begin"/>
          </w:r>
          <w:r>
            <w:instrText xml:space="preserve"> HYPERLINK \l "_Toc238918057" </w:instrText>
          </w:r>
          <w:r>
            <w:fldChar w:fldCharType="separate"/>
          </w:r>
          <w:r>
            <w:rPr>
              <w:rStyle w:val="17"/>
              <w:rFonts w:ascii="仿宋_GB2312"/>
            </w:rPr>
            <w:t>5.气象服务生态文明</w:t>
          </w:r>
          <w:r>
            <w:rPr>
              <w:rFonts w:hint="eastAsia"/>
            </w:rPr>
            <w:tab/>
          </w:r>
          <w:r>
            <w:rPr>
              <w:rFonts w:hint="eastAsia"/>
            </w:rPr>
            <w:fldChar w:fldCharType="begin"/>
          </w:r>
          <w:r>
            <w:rPr>
              <w:rFonts w:hint="eastAsia"/>
            </w:rPr>
            <w:instrText xml:space="preserve"> </w:instrText>
          </w:r>
          <w:r>
            <w:instrText xml:space="preserve">PAGEREF _Toc238918057 \h</w:instrText>
          </w:r>
          <w:r>
            <w:rPr>
              <w:rFonts w:hint="eastAsia"/>
            </w:rPr>
            <w:instrText xml:space="preserve"> </w:instrText>
          </w:r>
          <w:r>
            <w:rPr>
              <w:rFonts w:hint="eastAsia"/>
            </w:rPr>
            <w:fldChar w:fldCharType="separate"/>
          </w:r>
          <w:r>
            <w:rPr>
              <w:rFonts w:hint="eastAsia"/>
            </w:rPr>
            <w:t>9</w:t>
          </w:r>
          <w:r>
            <w:rPr>
              <w:rFonts w:hint="eastAsia"/>
            </w:rPr>
            <w:fldChar w:fldCharType="end"/>
          </w:r>
          <w:r>
            <w:rPr>
              <w:rFonts w:hint="eastAsia"/>
            </w:rPr>
            <w:fldChar w:fldCharType="end"/>
          </w:r>
        </w:p>
        <w:p>
          <w:pPr>
            <w:pStyle w:val="6"/>
            <w:keepNext w:val="0"/>
            <w:keepLines w:val="0"/>
            <w:pageBreakBefore w:val="0"/>
            <w:widowControl/>
            <w:tabs>
              <w:tab w:val="right" w:leader="dot" w:pos="8296"/>
            </w:tabs>
            <w:kinsoku/>
            <w:wordWrap/>
            <w:overflowPunct/>
            <w:topLinePunct w:val="0"/>
            <w:autoSpaceDE/>
            <w:autoSpaceDN/>
            <w:bidi w:val="0"/>
            <w:adjustRightInd/>
            <w:snapToGrid/>
            <w:spacing w:after="0" w:line="360" w:lineRule="auto"/>
            <w:textAlignment w:val="auto"/>
            <w:rPr>
              <w:rFonts w:hint="eastAsia" w:cstheme="minorBidi"/>
              <w:kern w:val="2"/>
              <w:szCs w:val="24"/>
              <w14:ligatures w14:val="standardContextual"/>
            </w:rPr>
          </w:pPr>
          <w:r>
            <w:fldChar w:fldCharType="begin"/>
          </w:r>
          <w:r>
            <w:instrText xml:space="preserve"> HYPERLINK \l "_Toc238918058" </w:instrText>
          </w:r>
          <w:r>
            <w:fldChar w:fldCharType="separate"/>
          </w:r>
          <w:r>
            <w:rPr>
              <w:rStyle w:val="17"/>
              <w:rFonts w:ascii="仿宋_GB2312"/>
            </w:rPr>
            <w:t>6.气象服务临空产业</w:t>
          </w:r>
          <w:r>
            <w:rPr>
              <w:rFonts w:hint="eastAsia"/>
            </w:rPr>
            <w:tab/>
          </w:r>
          <w:r>
            <w:rPr>
              <w:rFonts w:hint="eastAsia"/>
            </w:rPr>
            <w:fldChar w:fldCharType="begin"/>
          </w:r>
          <w:r>
            <w:rPr>
              <w:rFonts w:hint="eastAsia"/>
            </w:rPr>
            <w:instrText xml:space="preserve"> </w:instrText>
          </w:r>
          <w:r>
            <w:instrText xml:space="preserve">PAGEREF _Toc238918058 \h</w:instrText>
          </w:r>
          <w:r>
            <w:rPr>
              <w:rFonts w:hint="eastAsia"/>
            </w:rPr>
            <w:instrText xml:space="preserve"> </w:instrText>
          </w:r>
          <w:r>
            <w:rPr>
              <w:rFonts w:hint="eastAsia"/>
            </w:rPr>
            <w:fldChar w:fldCharType="separate"/>
          </w:r>
          <w:r>
            <w:rPr>
              <w:rFonts w:hint="eastAsia"/>
            </w:rPr>
            <w:t>10</w:t>
          </w:r>
          <w:r>
            <w:rPr>
              <w:rFonts w:hint="eastAsia"/>
            </w:rPr>
            <w:fldChar w:fldCharType="end"/>
          </w:r>
          <w:r>
            <w:rPr>
              <w:rFonts w:hint="eastAsia"/>
            </w:rPr>
            <w:fldChar w:fldCharType="end"/>
          </w:r>
        </w:p>
        <w:p>
          <w:pPr>
            <w:pStyle w:val="12"/>
            <w:keepNext w:val="0"/>
            <w:keepLines w:val="0"/>
            <w:pageBreakBefore w:val="0"/>
            <w:widowControl/>
            <w:tabs>
              <w:tab w:val="right" w:leader="dot" w:pos="8296"/>
            </w:tabs>
            <w:kinsoku/>
            <w:wordWrap/>
            <w:overflowPunct/>
            <w:topLinePunct w:val="0"/>
            <w:autoSpaceDE/>
            <w:autoSpaceDN/>
            <w:bidi w:val="0"/>
            <w:adjustRightInd/>
            <w:snapToGrid/>
            <w:spacing w:after="0" w:line="360" w:lineRule="auto"/>
            <w:textAlignment w:val="auto"/>
            <w:rPr>
              <w:rFonts w:hint="eastAsia" w:cstheme="minorBidi"/>
              <w:kern w:val="2"/>
              <w:szCs w:val="24"/>
              <w14:ligatures w14:val="standardContextual"/>
            </w:rPr>
          </w:pPr>
          <w:r>
            <w:fldChar w:fldCharType="begin"/>
          </w:r>
          <w:r>
            <w:instrText xml:space="preserve"> HYPERLINK \l "_Toc238918059" </w:instrText>
          </w:r>
          <w:r>
            <w:fldChar w:fldCharType="separate"/>
          </w:r>
          <w:r>
            <w:rPr>
              <w:rStyle w:val="17"/>
              <w:rFonts w:ascii="黑体" w:hAnsi="黑体" w:eastAsia="黑体" w:cs="黑体"/>
            </w:rPr>
            <w:t>三、夯实气象业务服务能力基础</w:t>
          </w:r>
          <w:r>
            <w:rPr>
              <w:rFonts w:hint="eastAsia"/>
            </w:rPr>
            <w:tab/>
          </w:r>
          <w:r>
            <w:rPr>
              <w:rFonts w:hint="eastAsia"/>
            </w:rPr>
            <w:fldChar w:fldCharType="begin"/>
          </w:r>
          <w:r>
            <w:rPr>
              <w:rFonts w:hint="eastAsia"/>
            </w:rPr>
            <w:instrText xml:space="preserve"> </w:instrText>
          </w:r>
          <w:r>
            <w:instrText xml:space="preserve">PAGEREF _Toc238918059 \h</w:instrText>
          </w:r>
          <w:r>
            <w:rPr>
              <w:rFonts w:hint="eastAsia"/>
            </w:rPr>
            <w:instrText xml:space="preserve"> </w:instrText>
          </w:r>
          <w:r>
            <w:rPr>
              <w:rFonts w:hint="eastAsia"/>
            </w:rPr>
            <w:fldChar w:fldCharType="separate"/>
          </w:r>
          <w:r>
            <w:rPr>
              <w:rFonts w:hint="eastAsia"/>
            </w:rPr>
            <w:t>11</w:t>
          </w:r>
          <w:r>
            <w:rPr>
              <w:rFonts w:hint="eastAsia"/>
            </w:rPr>
            <w:fldChar w:fldCharType="end"/>
          </w:r>
          <w:r>
            <w:rPr>
              <w:rFonts w:hint="eastAsia"/>
            </w:rPr>
            <w:fldChar w:fldCharType="end"/>
          </w:r>
        </w:p>
        <w:p>
          <w:pPr>
            <w:pStyle w:val="6"/>
            <w:keepNext w:val="0"/>
            <w:keepLines w:val="0"/>
            <w:pageBreakBefore w:val="0"/>
            <w:widowControl/>
            <w:tabs>
              <w:tab w:val="right" w:leader="dot" w:pos="8296"/>
            </w:tabs>
            <w:kinsoku/>
            <w:wordWrap/>
            <w:overflowPunct/>
            <w:topLinePunct w:val="0"/>
            <w:autoSpaceDE/>
            <w:autoSpaceDN/>
            <w:bidi w:val="0"/>
            <w:adjustRightInd/>
            <w:snapToGrid/>
            <w:spacing w:after="0" w:line="360" w:lineRule="auto"/>
            <w:textAlignment w:val="auto"/>
            <w:rPr>
              <w:rFonts w:hint="eastAsia" w:cstheme="minorBidi"/>
              <w:kern w:val="2"/>
              <w:szCs w:val="24"/>
              <w14:ligatures w14:val="standardContextual"/>
            </w:rPr>
          </w:pPr>
          <w:r>
            <w:fldChar w:fldCharType="begin"/>
          </w:r>
          <w:r>
            <w:instrText xml:space="preserve"> HYPERLINK \l "_Toc238918060" </w:instrText>
          </w:r>
          <w:r>
            <w:fldChar w:fldCharType="separate"/>
          </w:r>
          <w:r>
            <w:rPr>
              <w:rStyle w:val="17"/>
              <w:rFonts w:ascii="仿宋_GB2312"/>
            </w:rPr>
            <w:t>1.提升气象监测与数据应用能力</w:t>
          </w:r>
          <w:r>
            <w:rPr>
              <w:rFonts w:hint="eastAsia"/>
            </w:rPr>
            <w:tab/>
          </w:r>
          <w:r>
            <w:rPr>
              <w:rFonts w:hint="eastAsia"/>
            </w:rPr>
            <w:fldChar w:fldCharType="begin"/>
          </w:r>
          <w:r>
            <w:rPr>
              <w:rFonts w:hint="eastAsia"/>
            </w:rPr>
            <w:instrText xml:space="preserve"> </w:instrText>
          </w:r>
          <w:r>
            <w:instrText xml:space="preserve">PAGEREF _Toc238918060 \h</w:instrText>
          </w:r>
          <w:r>
            <w:rPr>
              <w:rFonts w:hint="eastAsia"/>
            </w:rPr>
            <w:instrText xml:space="preserve"> </w:instrText>
          </w:r>
          <w:r>
            <w:rPr>
              <w:rFonts w:hint="eastAsia"/>
            </w:rPr>
            <w:fldChar w:fldCharType="separate"/>
          </w:r>
          <w:r>
            <w:rPr>
              <w:rFonts w:hint="eastAsia"/>
            </w:rPr>
            <w:t>11</w:t>
          </w:r>
          <w:r>
            <w:rPr>
              <w:rFonts w:hint="eastAsia"/>
            </w:rPr>
            <w:fldChar w:fldCharType="end"/>
          </w:r>
          <w:r>
            <w:rPr>
              <w:rFonts w:hint="eastAsia"/>
            </w:rPr>
            <w:fldChar w:fldCharType="end"/>
          </w:r>
        </w:p>
        <w:p>
          <w:pPr>
            <w:pStyle w:val="6"/>
            <w:keepNext w:val="0"/>
            <w:keepLines w:val="0"/>
            <w:pageBreakBefore w:val="0"/>
            <w:widowControl/>
            <w:tabs>
              <w:tab w:val="right" w:leader="dot" w:pos="8296"/>
            </w:tabs>
            <w:kinsoku/>
            <w:wordWrap/>
            <w:overflowPunct/>
            <w:topLinePunct w:val="0"/>
            <w:autoSpaceDE/>
            <w:autoSpaceDN/>
            <w:bidi w:val="0"/>
            <w:adjustRightInd/>
            <w:snapToGrid/>
            <w:spacing w:after="0" w:line="360" w:lineRule="auto"/>
            <w:textAlignment w:val="auto"/>
            <w:rPr>
              <w:rFonts w:hint="eastAsia" w:cstheme="minorBidi"/>
              <w:kern w:val="2"/>
              <w:szCs w:val="24"/>
              <w14:ligatures w14:val="standardContextual"/>
            </w:rPr>
          </w:pPr>
          <w:r>
            <w:fldChar w:fldCharType="begin"/>
          </w:r>
          <w:r>
            <w:instrText xml:space="preserve"> HYPERLINK \l "_Toc238918061" </w:instrText>
          </w:r>
          <w:r>
            <w:fldChar w:fldCharType="separate"/>
          </w:r>
          <w:r>
            <w:rPr>
              <w:rStyle w:val="17"/>
              <w:rFonts w:ascii="仿宋_GB2312"/>
            </w:rPr>
            <w:t>2.全面提升气象预报预警水平</w:t>
          </w:r>
          <w:r>
            <w:rPr>
              <w:rFonts w:hint="eastAsia"/>
            </w:rPr>
            <w:tab/>
          </w:r>
          <w:r>
            <w:rPr>
              <w:rFonts w:hint="eastAsia"/>
            </w:rPr>
            <w:fldChar w:fldCharType="begin"/>
          </w:r>
          <w:r>
            <w:rPr>
              <w:rFonts w:hint="eastAsia"/>
            </w:rPr>
            <w:instrText xml:space="preserve"> </w:instrText>
          </w:r>
          <w:r>
            <w:instrText xml:space="preserve">PAGEREF _Toc238918061 \h</w:instrText>
          </w:r>
          <w:r>
            <w:rPr>
              <w:rFonts w:hint="eastAsia"/>
            </w:rPr>
            <w:instrText xml:space="preserve"> </w:instrText>
          </w:r>
          <w:r>
            <w:rPr>
              <w:rFonts w:hint="eastAsia"/>
            </w:rPr>
            <w:fldChar w:fldCharType="separate"/>
          </w:r>
          <w:r>
            <w:rPr>
              <w:rFonts w:hint="eastAsia"/>
            </w:rPr>
            <w:t>11</w:t>
          </w:r>
          <w:r>
            <w:rPr>
              <w:rFonts w:hint="eastAsia"/>
            </w:rPr>
            <w:fldChar w:fldCharType="end"/>
          </w:r>
          <w:r>
            <w:rPr>
              <w:rFonts w:hint="eastAsia"/>
            </w:rPr>
            <w:fldChar w:fldCharType="end"/>
          </w:r>
        </w:p>
        <w:p>
          <w:pPr>
            <w:pStyle w:val="6"/>
            <w:keepNext w:val="0"/>
            <w:keepLines w:val="0"/>
            <w:pageBreakBefore w:val="0"/>
            <w:widowControl/>
            <w:tabs>
              <w:tab w:val="right" w:leader="dot" w:pos="8296"/>
            </w:tabs>
            <w:kinsoku/>
            <w:wordWrap/>
            <w:overflowPunct/>
            <w:topLinePunct w:val="0"/>
            <w:autoSpaceDE/>
            <w:autoSpaceDN/>
            <w:bidi w:val="0"/>
            <w:adjustRightInd/>
            <w:snapToGrid/>
            <w:spacing w:after="0" w:line="360" w:lineRule="auto"/>
            <w:textAlignment w:val="auto"/>
            <w:rPr>
              <w:rFonts w:hint="eastAsia" w:cstheme="minorBidi"/>
              <w:kern w:val="2"/>
              <w:szCs w:val="24"/>
              <w14:ligatures w14:val="standardContextual"/>
            </w:rPr>
          </w:pPr>
          <w:r>
            <w:fldChar w:fldCharType="begin"/>
          </w:r>
          <w:r>
            <w:instrText xml:space="preserve"> HYPERLINK \l "_Toc238918062" </w:instrText>
          </w:r>
          <w:r>
            <w:fldChar w:fldCharType="separate"/>
          </w:r>
          <w:r>
            <w:rPr>
              <w:rStyle w:val="17"/>
              <w:rFonts w:ascii="仿宋_GB2312"/>
            </w:rPr>
            <w:t>3.坚持创新驱动业务能力发展</w:t>
          </w:r>
          <w:r>
            <w:rPr>
              <w:rFonts w:hint="eastAsia"/>
            </w:rPr>
            <w:tab/>
          </w:r>
          <w:r>
            <w:rPr>
              <w:rFonts w:hint="eastAsia"/>
            </w:rPr>
            <w:fldChar w:fldCharType="begin"/>
          </w:r>
          <w:r>
            <w:rPr>
              <w:rFonts w:hint="eastAsia"/>
            </w:rPr>
            <w:instrText xml:space="preserve"> </w:instrText>
          </w:r>
          <w:r>
            <w:instrText xml:space="preserve">PAGEREF _Toc238918062 \h</w:instrText>
          </w:r>
          <w:r>
            <w:rPr>
              <w:rFonts w:hint="eastAsia"/>
            </w:rPr>
            <w:instrText xml:space="preserve"> </w:instrText>
          </w:r>
          <w:r>
            <w:rPr>
              <w:rFonts w:hint="eastAsia"/>
            </w:rPr>
            <w:fldChar w:fldCharType="separate"/>
          </w:r>
          <w:r>
            <w:rPr>
              <w:rFonts w:hint="eastAsia"/>
            </w:rPr>
            <w:t>12</w:t>
          </w:r>
          <w:r>
            <w:rPr>
              <w:rFonts w:hint="eastAsia"/>
            </w:rPr>
            <w:fldChar w:fldCharType="end"/>
          </w:r>
          <w:r>
            <w:rPr>
              <w:rFonts w:hint="eastAsia"/>
            </w:rPr>
            <w:fldChar w:fldCharType="end"/>
          </w:r>
        </w:p>
        <w:p>
          <w:pPr>
            <w:pStyle w:val="6"/>
            <w:keepNext w:val="0"/>
            <w:keepLines w:val="0"/>
            <w:pageBreakBefore w:val="0"/>
            <w:widowControl/>
            <w:tabs>
              <w:tab w:val="right" w:leader="dot" w:pos="8296"/>
            </w:tabs>
            <w:kinsoku/>
            <w:wordWrap/>
            <w:overflowPunct/>
            <w:topLinePunct w:val="0"/>
            <w:autoSpaceDE/>
            <w:autoSpaceDN/>
            <w:bidi w:val="0"/>
            <w:adjustRightInd/>
            <w:snapToGrid/>
            <w:spacing w:after="0" w:line="360" w:lineRule="auto"/>
            <w:textAlignment w:val="auto"/>
            <w:rPr>
              <w:rFonts w:hint="eastAsia" w:cstheme="minorBidi"/>
              <w:kern w:val="2"/>
              <w:szCs w:val="24"/>
              <w14:ligatures w14:val="standardContextual"/>
            </w:rPr>
          </w:pPr>
          <w:r>
            <w:fldChar w:fldCharType="begin"/>
          </w:r>
          <w:r>
            <w:instrText xml:space="preserve"> HYPERLINK \l "_Toc238918063" </w:instrText>
          </w:r>
          <w:r>
            <w:fldChar w:fldCharType="separate"/>
          </w:r>
          <w:r>
            <w:rPr>
              <w:rStyle w:val="17"/>
              <w:rFonts w:ascii="仿宋_GB2312"/>
            </w:rPr>
            <w:t>4.加强气象基础设施现代化建设</w:t>
          </w:r>
          <w:r>
            <w:rPr>
              <w:rFonts w:hint="eastAsia"/>
            </w:rPr>
            <w:tab/>
          </w:r>
          <w:r>
            <w:rPr>
              <w:rFonts w:hint="eastAsia"/>
            </w:rPr>
            <w:fldChar w:fldCharType="begin"/>
          </w:r>
          <w:r>
            <w:rPr>
              <w:rFonts w:hint="eastAsia"/>
            </w:rPr>
            <w:instrText xml:space="preserve"> </w:instrText>
          </w:r>
          <w:r>
            <w:instrText xml:space="preserve">PAGEREF _Toc238918063 \h</w:instrText>
          </w:r>
          <w:r>
            <w:rPr>
              <w:rFonts w:hint="eastAsia"/>
            </w:rPr>
            <w:instrText xml:space="preserve"> </w:instrText>
          </w:r>
          <w:r>
            <w:rPr>
              <w:rFonts w:hint="eastAsia"/>
            </w:rPr>
            <w:fldChar w:fldCharType="separate"/>
          </w:r>
          <w:r>
            <w:rPr>
              <w:rFonts w:hint="eastAsia"/>
            </w:rPr>
            <w:t>12</w:t>
          </w:r>
          <w:r>
            <w:rPr>
              <w:rFonts w:hint="eastAsia"/>
            </w:rPr>
            <w:fldChar w:fldCharType="end"/>
          </w:r>
          <w:r>
            <w:rPr>
              <w:rFonts w:hint="eastAsia"/>
            </w:rPr>
            <w:fldChar w:fldCharType="end"/>
          </w:r>
        </w:p>
        <w:p>
          <w:pPr>
            <w:pStyle w:val="12"/>
            <w:keepNext w:val="0"/>
            <w:keepLines w:val="0"/>
            <w:pageBreakBefore w:val="0"/>
            <w:widowControl/>
            <w:tabs>
              <w:tab w:val="right" w:leader="dot" w:pos="8296"/>
            </w:tabs>
            <w:kinsoku/>
            <w:wordWrap/>
            <w:overflowPunct/>
            <w:topLinePunct w:val="0"/>
            <w:autoSpaceDE/>
            <w:autoSpaceDN/>
            <w:bidi w:val="0"/>
            <w:adjustRightInd/>
            <w:snapToGrid/>
            <w:spacing w:after="0" w:line="360" w:lineRule="auto"/>
            <w:textAlignment w:val="auto"/>
            <w:rPr>
              <w:rFonts w:hint="eastAsia" w:cstheme="minorBidi"/>
              <w:kern w:val="2"/>
              <w:szCs w:val="24"/>
              <w14:ligatures w14:val="standardContextual"/>
            </w:rPr>
          </w:pPr>
          <w:r>
            <w:fldChar w:fldCharType="begin"/>
          </w:r>
          <w:r>
            <w:instrText xml:space="preserve"> HYPERLINK \l "_Toc238918064" </w:instrText>
          </w:r>
          <w:r>
            <w:fldChar w:fldCharType="separate"/>
          </w:r>
          <w:r>
            <w:rPr>
              <w:rStyle w:val="17"/>
              <w:rFonts w:ascii="黑体" w:hAnsi="黑体" w:eastAsia="黑体" w:cs="黑体"/>
            </w:rPr>
            <w:t>四、推动气象行业现代管理体系建设</w:t>
          </w:r>
          <w:r>
            <w:rPr>
              <w:rFonts w:hint="eastAsia"/>
            </w:rPr>
            <w:tab/>
          </w:r>
          <w:r>
            <w:rPr>
              <w:rFonts w:hint="eastAsia"/>
            </w:rPr>
            <w:fldChar w:fldCharType="begin"/>
          </w:r>
          <w:r>
            <w:rPr>
              <w:rFonts w:hint="eastAsia"/>
            </w:rPr>
            <w:instrText xml:space="preserve"> </w:instrText>
          </w:r>
          <w:r>
            <w:instrText xml:space="preserve">PAGEREF _Toc238918064 \h</w:instrText>
          </w:r>
          <w:r>
            <w:rPr>
              <w:rFonts w:hint="eastAsia"/>
            </w:rPr>
            <w:instrText xml:space="preserve"> </w:instrText>
          </w:r>
          <w:r>
            <w:rPr>
              <w:rFonts w:hint="eastAsia"/>
            </w:rPr>
            <w:fldChar w:fldCharType="separate"/>
          </w:r>
          <w:r>
            <w:rPr>
              <w:rFonts w:hint="eastAsia"/>
            </w:rPr>
            <w:t>13</w:t>
          </w:r>
          <w:r>
            <w:rPr>
              <w:rFonts w:hint="eastAsia"/>
            </w:rPr>
            <w:fldChar w:fldCharType="end"/>
          </w:r>
          <w:r>
            <w:rPr>
              <w:rFonts w:hint="eastAsia"/>
            </w:rPr>
            <w:fldChar w:fldCharType="end"/>
          </w:r>
        </w:p>
        <w:p>
          <w:pPr>
            <w:pStyle w:val="6"/>
            <w:keepNext w:val="0"/>
            <w:keepLines w:val="0"/>
            <w:pageBreakBefore w:val="0"/>
            <w:widowControl/>
            <w:tabs>
              <w:tab w:val="right" w:leader="dot" w:pos="8296"/>
            </w:tabs>
            <w:kinsoku/>
            <w:wordWrap/>
            <w:overflowPunct/>
            <w:topLinePunct w:val="0"/>
            <w:autoSpaceDE/>
            <w:autoSpaceDN/>
            <w:bidi w:val="0"/>
            <w:adjustRightInd/>
            <w:snapToGrid/>
            <w:spacing w:after="0" w:line="360" w:lineRule="auto"/>
            <w:textAlignment w:val="auto"/>
            <w:rPr>
              <w:rFonts w:hint="eastAsia" w:cstheme="minorBidi"/>
              <w:kern w:val="2"/>
              <w:szCs w:val="24"/>
              <w14:ligatures w14:val="standardContextual"/>
            </w:rPr>
          </w:pPr>
          <w:r>
            <w:fldChar w:fldCharType="begin"/>
          </w:r>
          <w:r>
            <w:instrText xml:space="preserve"> HYPERLINK \l "_Toc238918065" </w:instrText>
          </w:r>
          <w:r>
            <w:fldChar w:fldCharType="separate"/>
          </w:r>
          <w:r>
            <w:rPr>
              <w:rStyle w:val="17"/>
              <w:rFonts w:ascii="仿宋_GB2312"/>
            </w:rPr>
            <w:t>1.推进气象行业监管协同共治格局</w:t>
          </w:r>
          <w:r>
            <w:rPr>
              <w:rFonts w:hint="eastAsia"/>
            </w:rPr>
            <w:tab/>
          </w:r>
          <w:r>
            <w:rPr>
              <w:rFonts w:hint="eastAsia"/>
            </w:rPr>
            <w:fldChar w:fldCharType="begin"/>
          </w:r>
          <w:r>
            <w:rPr>
              <w:rFonts w:hint="eastAsia"/>
            </w:rPr>
            <w:instrText xml:space="preserve"> </w:instrText>
          </w:r>
          <w:r>
            <w:instrText xml:space="preserve">PAGEREF _Toc238918065 \h</w:instrText>
          </w:r>
          <w:r>
            <w:rPr>
              <w:rFonts w:hint="eastAsia"/>
            </w:rPr>
            <w:instrText xml:space="preserve"> </w:instrText>
          </w:r>
          <w:r>
            <w:rPr>
              <w:rFonts w:hint="eastAsia"/>
            </w:rPr>
            <w:fldChar w:fldCharType="separate"/>
          </w:r>
          <w:r>
            <w:rPr>
              <w:rFonts w:hint="eastAsia"/>
            </w:rPr>
            <w:t>13</w:t>
          </w:r>
          <w:r>
            <w:rPr>
              <w:rFonts w:hint="eastAsia"/>
            </w:rPr>
            <w:fldChar w:fldCharType="end"/>
          </w:r>
          <w:r>
            <w:rPr>
              <w:rFonts w:hint="eastAsia"/>
            </w:rPr>
            <w:fldChar w:fldCharType="end"/>
          </w:r>
        </w:p>
        <w:p>
          <w:pPr>
            <w:pStyle w:val="6"/>
            <w:keepNext w:val="0"/>
            <w:keepLines w:val="0"/>
            <w:pageBreakBefore w:val="0"/>
            <w:widowControl/>
            <w:tabs>
              <w:tab w:val="right" w:leader="dot" w:pos="8296"/>
            </w:tabs>
            <w:kinsoku/>
            <w:wordWrap/>
            <w:overflowPunct/>
            <w:topLinePunct w:val="0"/>
            <w:autoSpaceDE/>
            <w:autoSpaceDN/>
            <w:bidi w:val="0"/>
            <w:adjustRightInd/>
            <w:snapToGrid/>
            <w:spacing w:after="0" w:line="360" w:lineRule="auto"/>
            <w:textAlignment w:val="auto"/>
            <w:rPr>
              <w:rFonts w:hint="eastAsia" w:cstheme="minorBidi"/>
              <w:kern w:val="2"/>
              <w:szCs w:val="24"/>
              <w14:ligatures w14:val="standardContextual"/>
            </w:rPr>
          </w:pPr>
          <w:r>
            <w:fldChar w:fldCharType="begin"/>
          </w:r>
          <w:r>
            <w:instrText xml:space="preserve"> HYPERLINK \l "_Toc238918066" </w:instrText>
          </w:r>
          <w:r>
            <w:fldChar w:fldCharType="separate"/>
          </w:r>
          <w:r>
            <w:rPr>
              <w:rStyle w:val="17"/>
              <w:rFonts w:ascii="仿宋_GB2312"/>
            </w:rPr>
            <w:t>2.持续深化非现场监管体系建设</w:t>
          </w:r>
          <w:r>
            <w:rPr>
              <w:rFonts w:hint="eastAsia"/>
            </w:rPr>
            <w:tab/>
          </w:r>
          <w:r>
            <w:rPr>
              <w:rFonts w:hint="eastAsia"/>
            </w:rPr>
            <w:fldChar w:fldCharType="begin"/>
          </w:r>
          <w:r>
            <w:rPr>
              <w:rFonts w:hint="eastAsia"/>
            </w:rPr>
            <w:instrText xml:space="preserve"> </w:instrText>
          </w:r>
          <w:r>
            <w:instrText xml:space="preserve">PAGEREF _Toc238918066 \h</w:instrText>
          </w:r>
          <w:r>
            <w:rPr>
              <w:rFonts w:hint="eastAsia"/>
            </w:rPr>
            <w:instrText xml:space="preserve"> </w:instrText>
          </w:r>
          <w:r>
            <w:rPr>
              <w:rFonts w:hint="eastAsia"/>
            </w:rPr>
            <w:fldChar w:fldCharType="separate"/>
          </w:r>
          <w:r>
            <w:rPr>
              <w:rFonts w:hint="eastAsia"/>
            </w:rPr>
            <w:t>13</w:t>
          </w:r>
          <w:r>
            <w:rPr>
              <w:rFonts w:hint="eastAsia"/>
            </w:rPr>
            <w:fldChar w:fldCharType="end"/>
          </w:r>
          <w:r>
            <w:rPr>
              <w:rFonts w:hint="eastAsia"/>
            </w:rPr>
            <w:fldChar w:fldCharType="end"/>
          </w:r>
        </w:p>
        <w:p>
          <w:pPr>
            <w:pStyle w:val="6"/>
            <w:keepNext w:val="0"/>
            <w:keepLines w:val="0"/>
            <w:pageBreakBefore w:val="0"/>
            <w:widowControl/>
            <w:tabs>
              <w:tab w:val="right" w:leader="dot" w:pos="8296"/>
            </w:tabs>
            <w:kinsoku/>
            <w:wordWrap/>
            <w:overflowPunct/>
            <w:topLinePunct w:val="0"/>
            <w:autoSpaceDE/>
            <w:autoSpaceDN/>
            <w:bidi w:val="0"/>
            <w:adjustRightInd/>
            <w:snapToGrid/>
            <w:spacing w:after="0" w:line="360" w:lineRule="auto"/>
            <w:textAlignment w:val="auto"/>
            <w:rPr>
              <w:rFonts w:hint="eastAsia" w:cstheme="minorBidi"/>
              <w:kern w:val="2"/>
              <w:szCs w:val="24"/>
              <w14:ligatures w14:val="standardContextual"/>
            </w:rPr>
          </w:pPr>
          <w:r>
            <w:fldChar w:fldCharType="begin"/>
          </w:r>
          <w:r>
            <w:instrText xml:space="preserve"> HYPERLINK \l "_Toc238918067" </w:instrText>
          </w:r>
          <w:r>
            <w:fldChar w:fldCharType="separate"/>
          </w:r>
          <w:r>
            <w:rPr>
              <w:rStyle w:val="17"/>
              <w:rFonts w:ascii="仿宋_GB2312"/>
            </w:rPr>
            <w:t>3.完善“风险+信用”综合评价体系</w:t>
          </w:r>
          <w:r>
            <w:rPr>
              <w:rFonts w:hint="eastAsia"/>
            </w:rPr>
            <w:tab/>
          </w:r>
          <w:r>
            <w:rPr>
              <w:rFonts w:hint="eastAsia"/>
            </w:rPr>
            <w:fldChar w:fldCharType="begin"/>
          </w:r>
          <w:r>
            <w:rPr>
              <w:rFonts w:hint="eastAsia"/>
            </w:rPr>
            <w:instrText xml:space="preserve"> </w:instrText>
          </w:r>
          <w:r>
            <w:instrText xml:space="preserve">PAGEREF _Toc238918067 \h</w:instrText>
          </w:r>
          <w:r>
            <w:rPr>
              <w:rFonts w:hint="eastAsia"/>
            </w:rPr>
            <w:instrText xml:space="preserve"> </w:instrText>
          </w:r>
          <w:r>
            <w:rPr>
              <w:rFonts w:hint="eastAsia"/>
            </w:rPr>
            <w:fldChar w:fldCharType="separate"/>
          </w:r>
          <w:r>
            <w:rPr>
              <w:rFonts w:hint="eastAsia"/>
            </w:rPr>
            <w:t>13</w:t>
          </w:r>
          <w:r>
            <w:rPr>
              <w:rFonts w:hint="eastAsia"/>
            </w:rPr>
            <w:fldChar w:fldCharType="end"/>
          </w:r>
          <w:r>
            <w:rPr>
              <w:rFonts w:hint="eastAsia"/>
            </w:rPr>
            <w:fldChar w:fldCharType="end"/>
          </w:r>
        </w:p>
        <w:p>
          <w:pPr>
            <w:pStyle w:val="6"/>
            <w:keepNext w:val="0"/>
            <w:keepLines w:val="0"/>
            <w:pageBreakBefore w:val="0"/>
            <w:widowControl/>
            <w:tabs>
              <w:tab w:val="right" w:leader="dot" w:pos="8296"/>
            </w:tabs>
            <w:kinsoku/>
            <w:wordWrap/>
            <w:overflowPunct/>
            <w:topLinePunct w:val="0"/>
            <w:autoSpaceDE/>
            <w:autoSpaceDN/>
            <w:bidi w:val="0"/>
            <w:adjustRightInd/>
            <w:snapToGrid/>
            <w:spacing w:after="0" w:line="360" w:lineRule="auto"/>
            <w:textAlignment w:val="auto"/>
            <w:rPr>
              <w:rFonts w:hint="eastAsia" w:cstheme="minorBidi"/>
              <w:kern w:val="2"/>
              <w:szCs w:val="24"/>
              <w14:ligatures w14:val="standardContextual"/>
            </w:rPr>
          </w:pPr>
          <w:r>
            <w:fldChar w:fldCharType="begin"/>
          </w:r>
          <w:r>
            <w:instrText xml:space="preserve"> HYPERLINK \l "_Toc238918068" </w:instrText>
          </w:r>
          <w:r>
            <w:fldChar w:fldCharType="separate"/>
          </w:r>
          <w:r>
            <w:rPr>
              <w:rStyle w:val="17"/>
              <w:rFonts w:ascii="仿宋_GB2312"/>
            </w:rPr>
            <w:t>4.健全标准体系建设与管理</w:t>
          </w:r>
          <w:r>
            <w:rPr>
              <w:rFonts w:hint="eastAsia"/>
            </w:rPr>
            <w:tab/>
          </w:r>
          <w:r>
            <w:rPr>
              <w:rFonts w:hint="eastAsia"/>
            </w:rPr>
            <w:fldChar w:fldCharType="begin"/>
          </w:r>
          <w:r>
            <w:rPr>
              <w:rFonts w:hint="eastAsia"/>
            </w:rPr>
            <w:instrText xml:space="preserve"> </w:instrText>
          </w:r>
          <w:r>
            <w:instrText xml:space="preserve">PAGEREF _Toc238918068 \h</w:instrText>
          </w:r>
          <w:r>
            <w:rPr>
              <w:rFonts w:hint="eastAsia"/>
            </w:rPr>
            <w:instrText xml:space="preserve"> </w:instrText>
          </w:r>
          <w:r>
            <w:rPr>
              <w:rFonts w:hint="eastAsia"/>
            </w:rPr>
            <w:fldChar w:fldCharType="separate"/>
          </w:r>
          <w:r>
            <w:rPr>
              <w:rFonts w:hint="eastAsia"/>
            </w:rPr>
            <w:t>14</w:t>
          </w:r>
          <w:r>
            <w:rPr>
              <w:rFonts w:hint="eastAsia"/>
            </w:rPr>
            <w:fldChar w:fldCharType="end"/>
          </w:r>
          <w:r>
            <w:rPr>
              <w:rFonts w:hint="eastAsia"/>
            </w:rPr>
            <w:fldChar w:fldCharType="end"/>
          </w:r>
        </w:p>
        <w:p>
          <w:pPr>
            <w:pStyle w:val="11"/>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Theme="minorHAnsi" w:hAnsiTheme="minorHAnsi" w:eastAsiaTheme="minorEastAsia" w:cstheme="minorBidi"/>
              <w:kern w:val="2"/>
              <w:sz w:val="22"/>
              <w:szCs w:val="24"/>
              <w14:ligatures w14:val="standardContextual"/>
            </w:rPr>
          </w:pPr>
          <w:r>
            <w:fldChar w:fldCharType="begin"/>
          </w:r>
          <w:r>
            <w:instrText xml:space="preserve"> HYPERLINK \l "_Toc238918069" </w:instrText>
          </w:r>
          <w:r>
            <w:fldChar w:fldCharType="separate"/>
          </w:r>
          <w:r>
            <w:rPr>
              <w:rStyle w:val="17"/>
              <w:rFonts w:cs="黑体"/>
            </w:rPr>
            <w:t>第三章  保障措施</w:t>
          </w:r>
          <w:r>
            <w:rPr>
              <w:rFonts w:hint="eastAsia"/>
            </w:rPr>
            <w:tab/>
          </w:r>
          <w:r>
            <w:rPr>
              <w:rFonts w:hint="eastAsia"/>
            </w:rPr>
            <w:fldChar w:fldCharType="begin"/>
          </w:r>
          <w:r>
            <w:rPr>
              <w:rFonts w:hint="eastAsia"/>
            </w:rPr>
            <w:instrText xml:space="preserve"> </w:instrText>
          </w:r>
          <w:r>
            <w:instrText xml:space="preserve">PAGEREF _Toc238918069 \h</w:instrText>
          </w:r>
          <w:r>
            <w:rPr>
              <w:rFonts w:hint="eastAsia"/>
            </w:rPr>
            <w:instrText xml:space="preserve"> </w:instrText>
          </w:r>
          <w:r>
            <w:rPr>
              <w:rFonts w:hint="eastAsia"/>
            </w:rPr>
            <w:fldChar w:fldCharType="separate"/>
          </w:r>
          <w:r>
            <w:rPr>
              <w:rFonts w:hint="eastAsia"/>
            </w:rPr>
            <w:t>15</w:t>
          </w:r>
          <w:r>
            <w:rPr>
              <w:rFonts w:hint="eastAsia"/>
            </w:rPr>
            <w:fldChar w:fldCharType="end"/>
          </w:r>
          <w:r>
            <w:rPr>
              <w:rFonts w:hint="eastAsia"/>
            </w:rPr>
            <w:fldChar w:fldCharType="end"/>
          </w:r>
        </w:p>
        <w:p>
          <w:pPr>
            <w:pStyle w:val="12"/>
            <w:keepNext w:val="0"/>
            <w:keepLines w:val="0"/>
            <w:pageBreakBefore w:val="0"/>
            <w:widowControl/>
            <w:tabs>
              <w:tab w:val="right" w:leader="dot" w:pos="8296"/>
            </w:tabs>
            <w:kinsoku/>
            <w:wordWrap/>
            <w:overflowPunct/>
            <w:topLinePunct w:val="0"/>
            <w:autoSpaceDE/>
            <w:autoSpaceDN/>
            <w:bidi w:val="0"/>
            <w:adjustRightInd/>
            <w:snapToGrid/>
            <w:spacing w:after="0" w:line="360" w:lineRule="auto"/>
            <w:textAlignment w:val="auto"/>
            <w:rPr>
              <w:rFonts w:hint="eastAsia" w:cstheme="minorBidi"/>
              <w:kern w:val="2"/>
              <w:szCs w:val="24"/>
              <w14:ligatures w14:val="standardContextual"/>
            </w:rPr>
          </w:pPr>
          <w:r>
            <w:fldChar w:fldCharType="begin"/>
          </w:r>
          <w:r>
            <w:instrText xml:space="preserve"> HYPERLINK \l "_Toc238918070" </w:instrText>
          </w:r>
          <w:r>
            <w:fldChar w:fldCharType="separate"/>
          </w:r>
          <w:r>
            <w:rPr>
              <w:rStyle w:val="17"/>
              <w:rFonts w:ascii="黑体" w:hAnsi="黑体" w:eastAsia="黑体" w:cs="黑体"/>
            </w:rPr>
            <w:t>一、加强组织领导</w:t>
          </w:r>
          <w:r>
            <w:rPr>
              <w:rFonts w:hint="eastAsia"/>
            </w:rPr>
            <w:tab/>
          </w:r>
          <w:r>
            <w:rPr>
              <w:rFonts w:hint="eastAsia"/>
            </w:rPr>
            <w:fldChar w:fldCharType="begin"/>
          </w:r>
          <w:r>
            <w:rPr>
              <w:rFonts w:hint="eastAsia"/>
            </w:rPr>
            <w:instrText xml:space="preserve"> </w:instrText>
          </w:r>
          <w:r>
            <w:instrText xml:space="preserve">PAGEREF _Toc238918070 \h</w:instrText>
          </w:r>
          <w:r>
            <w:rPr>
              <w:rFonts w:hint="eastAsia"/>
            </w:rPr>
            <w:instrText xml:space="preserve"> </w:instrText>
          </w:r>
          <w:r>
            <w:rPr>
              <w:rFonts w:hint="eastAsia"/>
            </w:rPr>
            <w:fldChar w:fldCharType="separate"/>
          </w:r>
          <w:r>
            <w:rPr>
              <w:rFonts w:hint="eastAsia"/>
            </w:rPr>
            <w:t>15</w:t>
          </w:r>
          <w:r>
            <w:rPr>
              <w:rFonts w:hint="eastAsia"/>
            </w:rPr>
            <w:fldChar w:fldCharType="end"/>
          </w:r>
          <w:r>
            <w:rPr>
              <w:rFonts w:hint="eastAsia"/>
            </w:rPr>
            <w:fldChar w:fldCharType="end"/>
          </w:r>
        </w:p>
        <w:p>
          <w:pPr>
            <w:pStyle w:val="12"/>
            <w:keepNext w:val="0"/>
            <w:keepLines w:val="0"/>
            <w:pageBreakBefore w:val="0"/>
            <w:widowControl/>
            <w:tabs>
              <w:tab w:val="right" w:leader="dot" w:pos="8296"/>
            </w:tabs>
            <w:kinsoku/>
            <w:wordWrap/>
            <w:overflowPunct/>
            <w:topLinePunct w:val="0"/>
            <w:autoSpaceDE/>
            <w:autoSpaceDN/>
            <w:bidi w:val="0"/>
            <w:adjustRightInd/>
            <w:snapToGrid/>
            <w:spacing w:after="0" w:line="360" w:lineRule="auto"/>
            <w:textAlignment w:val="auto"/>
            <w:rPr>
              <w:rFonts w:hint="eastAsia" w:cstheme="minorBidi"/>
              <w:kern w:val="2"/>
              <w:szCs w:val="24"/>
              <w14:ligatures w14:val="standardContextual"/>
            </w:rPr>
          </w:pPr>
          <w:r>
            <w:fldChar w:fldCharType="begin"/>
          </w:r>
          <w:r>
            <w:instrText xml:space="preserve"> HYPERLINK \l "_Toc238918071" </w:instrText>
          </w:r>
          <w:r>
            <w:fldChar w:fldCharType="separate"/>
          </w:r>
          <w:r>
            <w:rPr>
              <w:rStyle w:val="17"/>
              <w:rFonts w:ascii="黑体" w:hAnsi="黑体" w:eastAsia="黑体" w:cs="黑体"/>
            </w:rPr>
            <w:t>二、完善保障机制</w:t>
          </w:r>
          <w:r>
            <w:rPr>
              <w:rFonts w:hint="eastAsia"/>
            </w:rPr>
            <w:tab/>
          </w:r>
          <w:r>
            <w:rPr>
              <w:rFonts w:hint="eastAsia"/>
            </w:rPr>
            <w:fldChar w:fldCharType="begin"/>
          </w:r>
          <w:r>
            <w:rPr>
              <w:rFonts w:hint="eastAsia"/>
            </w:rPr>
            <w:instrText xml:space="preserve"> </w:instrText>
          </w:r>
          <w:r>
            <w:instrText xml:space="preserve">PAGEREF _Toc238918071 \h</w:instrText>
          </w:r>
          <w:r>
            <w:rPr>
              <w:rFonts w:hint="eastAsia"/>
            </w:rPr>
            <w:instrText xml:space="preserve"> </w:instrText>
          </w:r>
          <w:r>
            <w:rPr>
              <w:rFonts w:hint="eastAsia"/>
            </w:rPr>
            <w:fldChar w:fldCharType="separate"/>
          </w:r>
          <w:r>
            <w:rPr>
              <w:rFonts w:hint="eastAsia"/>
            </w:rPr>
            <w:t>15</w:t>
          </w:r>
          <w:r>
            <w:rPr>
              <w:rFonts w:hint="eastAsia"/>
            </w:rPr>
            <w:fldChar w:fldCharType="end"/>
          </w:r>
          <w:r>
            <w:rPr>
              <w:rFonts w:hint="eastAsia"/>
            </w:rPr>
            <w:fldChar w:fldCharType="end"/>
          </w:r>
        </w:p>
        <w:p>
          <w:pPr>
            <w:pStyle w:val="12"/>
            <w:keepNext w:val="0"/>
            <w:keepLines w:val="0"/>
            <w:pageBreakBefore w:val="0"/>
            <w:widowControl/>
            <w:tabs>
              <w:tab w:val="right" w:leader="dot" w:pos="8296"/>
            </w:tabs>
            <w:kinsoku/>
            <w:wordWrap/>
            <w:overflowPunct/>
            <w:topLinePunct w:val="0"/>
            <w:autoSpaceDE/>
            <w:autoSpaceDN/>
            <w:bidi w:val="0"/>
            <w:adjustRightInd/>
            <w:snapToGrid/>
            <w:spacing w:after="0" w:line="360" w:lineRule="auto"/>
            <w:textAlignment w:val="auto"/>
            <w:rPr>
              <w:rFonts w:hint="eastAsia" w:cstheme="minorBidi"/>
              <w:kern w:val="2"/>
              <w:szCs w:val="24"/>
              <w14:ligatures w14:val="standardContextual"/>
            </w:rPr>
          </w:pPr>
          <w:r>
            <w:fldChar w:fldCharType="begin"/>
          </w:r>
          <w:r>
            <w:instrText xml:space="preserve"> HYPERLINK \l "_Toc238918072" </w:instrText>
          </w:r>
          <w:r>
            <w:fldChar w:fldCharType="separate"/>
          </w:r>
          <w:r>
            <w:rPr>
              <w:rStyle w:val="17"/>
              <w:rFonts w:ascii="黑体" w:hAnsi="黑体" w:eastAsia="黑体" w:cs="黑体"/>
            </w:rPr>
            <w:t>三、加强人才建设</w:t>
          </w:r>
          <w:r>
            <w:rPr>
              <w:rFonts w:hint="eastAsia"/>
            </w:rPr>
            <w:tab/>
          </w:r>
          <w:r>
            <w:rPr>
              <w:rFonts w:hint="eastAsia"/>
            </w:rPr>
            <w:fldChar w:fldCharType="begin"/>
          </w:r>
          <w:r>
            <w:rPr>
              <w:rFonts w:hint="eastAsia"/>
            </w:rPr>
            <w:instrText xml:space="preserve"> </w:instrText>
          </w:r>
          <w:r>
            <w:instrText xml:space="preserve">PAGEREF _Toc238918072 \h</w:instrText>
          </w:r>
          <w:r>
            <w:rPr>
              <w:rFonts w:hint="eastAsia"/>
            </w:rPr>
            <w:instrText xml:space="preserve"> </w:instrText>
          </w:r>
          <w:r>
            <w:rPr>
              <w:rFonts w:hint="eastAsia"/>
            </w:rPr>
            <w:fldChar w:fldCharType="separate"/>
          </w:r>
          <w:r>
            <w:rPr>
              <w:rFonts w:hint="eastAsia"/>
            </w:rPr>
            <w:t>15</w:t>
          </w:r>
          <w:r>
            <w:rPr>
              <w:rFonts w:hint="eastAsia"/>
            </w:rPr>
            <w:fldChar w:fldCharType="end"/>
          </w:r>
          <w:r>
            <w:rPr>
              <w:rFonts w:hint="eastAsia"/>
            </w:rPr>
            <w:fldChar w:fldCharType="end"/>
          </w:r>
        </w:p>
        <w:p>
          <w:pPr>
            <w:pStyle w:val="12"/>
            <w:keepNext w:val="0"/>
            <w:keepLines w:val="0"/>
            <w:pageBreakBefore w:val="0"/>
            <w:widowControl/>
            <w:tabs>
              <w:tab w:val="right" w:leader="dot" w:pos="8296"/>
            </w:tabs>
            <w:kinsoku/>
            <w:wordWrap/>
            <w:overflowPunct/>
            <w:topLinePunct w:val="0"/>
            <w:autoSpaceDE/>
            <w:autoSpaceDN/>
            <w:bidi w:val="0"/>
            <w:adjustRightInd/>
            <w:snapToGrid/>
            <w:spacing w:after="0" w:line="360" w:lineRule="auto"/>
            <w:textAlignment w:val="auto"/>
            <w:rPr>
              <w:rFonts w:hint="eastAsia" w:cstheme="minorBidi"/>
              <w:kern w:val="2"/>
              <w:szCs w:val="24"/>
              <w14:ligatures w14:val="standardContextual"/>
            </w:rPr>
          </w:pPr>
          <w:r>
            <w:fldChar w:fldCharType="begin"/>
          </w:r>
          <w:r>
            <w:instrText xml:space="preserve"> HYPERLINK \l "_Toc238918073" </w:instrText>
          </w:r>
          <w:r>
            <w:fldChar w:fldCharType="separate"/>
          </w:r>
          <w:r>
            <w:rPr>
              <w:rStyle w:val="17"/>
              <w:rFonts w:ascii="黑体" w:hAnsi="黑体" w:eastAsia="黑体" w:cs="黑体"/>
            </w:rPr>
            <w:t>四、扩大开放合作</w:t>
          </w:r>
          <w:r>
            <w:rPr>
              <w:rFonts w:hint="eastAsia"/>
            </w:rPr>
            <w:tab/>
          </w:r>
          <w:r>
            <w:rPr>
              <w:rFonts w:hint="eastAsia"/>
            </w:rPr>
            <w:fldChar w:fldCharType="begin"/>
          </w:r>
          <w:r>
            <w:rPr>
              <w:rFonts w:hint="eastAsia"/>
            </w:rPr>
            <w:instrText xml:space="preserve"> </w:instrText>
          </w:r>
          <w:r>
            <w:instrText xml:space="preserve">PAGEREF _Toc238918073 \h</w:instrText>
          </w:r>
          <w:r>
            <w:rPr>
              <w:rFonts w:hint="eastAsia"/>
            </w:rPr>
            <w:instrText xml:space="preserve"> </w:instrText>
          </w:r>
          <w:r>
            <w:rPr>
              <w:rFonts w:hint="eastAsia"/>
            </w:rPr>
            <w:fldChar w:fldCharType="separate"/>
          </w:r>
          <w:r>
            <w:rPr>
              <w:rFonts w:hint="eastAsia"/>
            </w:rPr>
            <w:t>15</w:t>
          </w:r>
          <w:r>
            <w:rPr>
              <w:rFonts w:hint="eastAsia"/>
            </w:rPr>
            <w:fldChar w:fldCharType="end"/>
          </w:r>
          <w:r>
            <w:rPr>
              <w:rFonts w:hint="eastAsia"/>
            </w:rPr>
            <w:fldChar w:fldCharType="end"/>
          </w:r>
        </w:p>
        <w:p>
          <w:pPr>
            <w:rPr>
              <w:rFonts w:hint="eastAsia"/>
            </w:rPr>
          </w:pPr>
          <w:r>
            <w:rPr>
              <w:rFonts w:ascii="宋体" w:hAnsi="宋体" w:eastAsia="宋体"/>
              <w:bCs/>
              <w:szCs w:val="21"/>
              <w:lang w:val="zh-CN"/>
            </w:rPr>
            <w:fldChar w:fldCharType="end"/>
          </w:r>
        </w:p>
      </w:sdtContent>
    </w:sdt>
    <w:p>
      <w:pPr>
        <w:widowControl/>
        <w:jc w:val="left"/>
        <w:rPr>
          <w:rFonts w:hint="eastAsia" w:ascii="方正小标宋简体" w:eastAsia="方正小标宋简体"/>
          <w:sz w:val="44"/>
          <w:szCs w:val="44"/>
        </w:rPr>
      </w:pPr>
      <w:r>
        <w:rPr>
          <w:rFonts w:ascii="方正小标宋简体" w:eastAsia="方正小标宋简体"/>
          <w:sz w:val="44"/>
          <w:szCs w:val="44"/>
        </w:rPr>
        <w:br w:type="page"/>
      </w:r>
    </w:p>
    <w:p>
      <w:pPr>
        <w:jc w:val="center"/>
        <w:rPr>
          <w:rFonts w:hint="eastAsia" w:ascii="方正小标宋简体" w:eastAsia="方正小标宋简体"/>
          <w:sz w:val="44"/>
          <w:szCs w:val="44"/>
        </w:rPr>
        <w:sectPr>
          <w:footerReference r:id="rId3" w:type="default"/>
          <w:pgSz w:w="11906" w:h="16838"/>
          <w:pgMar w:top="1440" w:right="1800" w:bottom="1440" w:left="1800" w:header="851" w:footer="992" w:gutter="0"/>
          <w:cols w:space="425" w:num="1"/>
          <w:docGrid w:type="lines" w:linePitch="312" w:charSpace="0"/>
        </w:sectPr>
      </w:pPr>
    </w:p>
    <w:p>
      <w:pPr>
        <w:pStyle w:val="3"/>
        <w:adjustRightInd w:val="0"/>
        <w:snapToGrid w:val="0"/>
        <w:spacing w:before="0" w:after="0" w:line="560" w:lineRule="exact"/>
        <w:jc w:val="center"/>
        <w:rPr>
          <w:rFonts w:hint="eastAsia" w:ascii="黑体" w:hAnsi="黑体" w:eastAsia="黑体" w:cs="黑体"/>
          <w:b w:val="0"/>
          <w:bCs w:val="0"/>
          <w:sz w:val="36"/>
          <w:szCs w:val="36"/>
        </w:rPr>
      </w:pPr>
      <w:bookmarkStart w:id="0" w:name="_Toc31591"/>
      <w:bookmarkStart w:id="1" w:name="_Toc238918038"/>
      <w:r>
        <w:rPr>
          <w:rFonts w:hint="eastAsia" w:ascii="黑体" w:hAnsi="黑体" w:eastAsia="黑体" w:cs="黑体"/>
          <w:b w:val="0"/>
          <w:bCs w:val="0"/>
          <w:sz w:val="36"/>
          <w:szCs w:val="36"/>
        </w:rPr>
        <w:t xml:space="preserve">第一章  </w:t>
      </w:r>
      <w:bookmarkEnd w:id="0"/>
      <w:r>
        <w:rPr>
          <w:rFonts w:hint="eastAsia" w:ascii="黑体" w:hAnsi="黑体" w:eastAsia="黑体" w:cs="黑体"/>
          <w:b w:val="0"/>
          <w:bCs w:val="0"/>
          <w:sz w:val="36"/>
          <w:szCs w:val="36"/>
        </w:rPr>
        <w:t>总体要求</w:t>
      </w:r>
      <w:bookmarkEnd w:id="1"/>
    </w:p>
    <w:p>
      <w:pPr>
        <w:pStyle w:val="4"/>
        <w:adjustRightInd w:val="0"/>
        <w:snapToGrid w:val="0"/>
        <w:spacing w:before="156" w:beforeLines="50" w:after="0" w:line="560" w:lineRule="exact"/>
        <w:ind w:firstLine="640" w:firstLineChars="200"/>
        <w:rPr>
          <w:rFonts w:hint="eastAsia" w:ascii="黑体" w:hAnsi="黑体" w:eastAsia="黑体" w:cs="黑体"/>
          <w:b w:val="0"/>
          <w:bCs w:val="0"/>
        </w:rPr>
      </w:pPr>
      <w:bookmarkStart w:id="2" w:name="_Toc238918039"/>
      <w:bookmarkStart w:id="3" w:name="_Toc17800"/>
      <w:r>
        <w:rPr>
          <w:rFonts w:hint="eastAsia" w:ascii="黑体" w:hAnsi="黑体" w:eastAsia="黑体" w:cs="黑体"/>
          <w:b w:val="0"/>
          <w:bCs w:val="0"/>
        </w:rPr>
        <w:t>一、指导思想</w:t>
      </w:r>
      <w:bookmarkEnd w:id="2"/>
      <w:bookmarkEnd w:id="3"/>
    </w:p>
    <w:p>
      <w:pPr>
        <w:pStyle w:val="31"/>
        <w:ind w:firstLine="640"/>
        <w:rPr>
          <w:rFonts w:hint="eastAsia"/>
          <w:color w:val="000000"/>
        </w:rPr>
      </w:pPr>
      <w:r>
        <w:rPr>
          <w:rFonts w:hint="eastAsia"/>
          <w:color w:val="000000"/>
        </w:rPr>
        <w:t>以习近平新时代中国特色社会主义思想为指导，深入贯彻党的二十大和二十届历次全会精神，以习近平总书记对气象工作的重要指示精神为根本遵循，以推动气象服务大兴经济社会高质量发展为主题，以推动气象科技能力现代化和社会服务现代化为重要着力点，以提供优质高效气象服务为根本目的，坚持需求牵引、创新驱动、多方协同，不断提升气象监测精密、预报精准、服务精细水平，全方位保障大兴经济社会高质量发展。</w:t>
      </w:r>
    </w:p>
    <w:p>
      <w:pPr>
        <w:pStyle w:val="4"/>
        <w:adjustRightInd w:val="0"/>
        <w:snapToGrid w:val="0"/>
        <w:spacing w:before="156" w:beforeLines="50" w:after="0" w:line="560" w:lineRule="exact"/>
        <w:ind w:firstLine="640" w:firstLineChars="200"/>
        <w:rPr>
          <w:rFonts w:hint="eastAsia" w:ascii="黑体" w:hAnsi="黑体" w:eastAsia="黑体" w:cs="黑体"/>
          <w:b w:val="0"/>
          <w:bCs w:val="0"/>
        </w:rPr>
      </w:pPr>
      <w:bookmarkStart w:id="4" w:name="_Toc238918040"/>
      <w:bookmarkStart w:id="5" w:name="_Toc32617"/>
      <w:r>
        <w:rPr>
          <w:rFonts w:hint="eastAsia" w:ascii="黑体" w:hAnsi="黑体" w:eastAsia="黑体" w:cs="黑体"/>
          <w:b w:val="0"/>
          <w:bCs w:val="0"/>
        </w:rPr>
        <w:t>二、基本原则</w:t>
      </w:r>
      <w:bookmarkEnd w:id="4"/>
      <w:bookmarkEnd w:id="5"/>
    </w:p>
    <w:p>
      <w:pPr>
        <w:pStyle w:val="31"/>
        <w:ind w:firstLine="640"/>
        <w:rPr>
          <w:rFonts w:hint="eastAsia"/>
          <w:color w:val="000000"/>
        </w:rPr>
      </w:pPr>
      <w:r>
        <w:rPr>
          <w:rFonts w:hint="eastAsia"/>
          <w:color w:val="000000"/>
        </w:rPr>
        <w:t>围绕中心、服务大局。聚焦气象服务保障生命安全、生产发展、生活富裕、生态良好，实现监测精密、预报精准、服务精细，加快推进气象科技能力现代化和社会服务现代化。</w:t>
      </w:r>
    </w:p>
    <w:p>
      <w:pPr>
        <w:pStyle w:val="5"/>
        <w:adjustRightInd w:val="0"/>
        <w:ind w:firstLine="643"/>
        <w:rPr>
          <w:rFonts w:hint="eastAsia" w:ascii="仿宋_GB2312"/>
        </w:rPr>
      </w:pPr>
      <w:bookmarkStart w:id="6" w:name="_Toc21098"/>
      <w:bookmarkStart w:id="7" w:name="_Toc238918041"/>
      <w:r>
        <w:rPr>
          <w:rFonts w:hint="eastAsia" w:ascii="仿宋_GB2312"/>
        </w:rPr>
        <w:t>1.坚持服务大局，聚焦高质量发展</w:t>
      </w:r>
      <w:bookmarkEnd w:id="6"/>
      <w:bookmarkEnd w:id="7"/>
    </w:p>
    <w:p>
      <w:pPr>
        <w:pStyle w:val="31"/>
        <w:ind w:firstLine="640"/>
        <w:rPr>
          <w:rFonts w:hint="eastAsia"/>
          <w:color w:val="000000"/>
        </w:rPr>
      </w:pPr>
      <w:r>
        <w:rPr>
          <w:color w:val="000000"/>
        </w:rPr>
        <w:t>从大兴经济社会发展大局出发，紧密结合大兴区委区政府的发展战略和目标，</w:t>
      </w:r>
      <w:r>
        <w:rPr>
          <w:rFonts w:hint="eastAsia"/>
          <w:color w:val="000000"/>
        </w:rPr>
        <w:t>重点</w:t>
      </w:r>
      <w:r>
        <w:rPr>
          <w:color w:val="000000"/>
        </w:rPr>
        <w:t>落实大兴经济社会高质量发展的战略要求</w:t>
      </w:r>
      <w:r>
        <w:rPr>
          <w:rFonts w:hint="eastAsia"/>
          <w:color w:val="000000"/>
        </w:rPr>
        <w:t>，</w:t>
      </w:r>
      <w:r>
        <w:rPr>
          <w:color w:val="000000"/>
        </w:rPr>
        <w:t>围绕</w:t>
      </w:r>
      <w:r>
        <w:rPr>
          <w:rFonts w:hint="eastAsia"/>
          <w:color w:val="000000"/>
        </w:rPr>
        <w:t>大兴</w:t>
      </w:r>
      <w:r>
        <w:rPr>
          <w:color w:val="000000"/>
        </w:rPr>
        <w:t>“</w:t>
      </w:r>
      <w:r>
        <w:rPr>
          <w:rFonts w:hint="eastAsia"/>
          <w:color w:val="000000"/>
        </w:rPr>
        <w:t>6+5+3</w:t>
      </w:r>
      <w:r>
        <w:rPr>
          <w:color w:val="000000"/>
        </w:rPr>
        <w:t>”</w:t>
      </w:r>
      <w:r>
        <w:rPr>
          <w:rFonts w:hint="eastAsia"/>
          <w:color w:val="000000"/>
        </w:rPr>
        <w:t>产业发展布局</w:t>
      </w:r>
      <w:r>
        <w:rPr>
          <w:color w:val="000000"/>
        </w:rPr>
        <w:t>，</w:t>
      </w:r>
      <w:r>
        <w:rPr>
          <w:rFonts w:hint="eastAsia"/>
          <w:color w:val="000000"/>
        </w:rPr>
        <w:t>不断提升</w:t>
      </w:r>
      <w:r>
        <w:rPr>
          <w:color w:val="000000"/>
        </w:rPr>
        <w:t>气象服务的精准性与</w:t>
      </w:r>
      <w:r>
        <w:rPr>
          <w:rFonts w:hint="eastAsia"/>
          <w:color w:val="000000"/>
        </w:rPr>
        <w:t>及时</w:t>
      </w:r>
      <w:r>
        <w:rPr>
          <w:color w:val="000000"/>
        </w:rPr>
        <w:t>性，推动气象服务在保障生命安全、生产发展、生活富裕、生态良好等方面发挥更大作用。</w:t>
      </w:r>
    </w:p>
    <w:p>
      <w:pPr>
        <w:pStyle w:val="5"/>
        <w:adjustRightInd w:val="0"/>
        <w:ind w:firstLine="643"/>
        <w:rPr>
          <w:rFonts w:hint="eastAsia" w:ascii="仿宋_GB2312"/>
        </w:rPr>
      </w:pPr>
      <w:bookmarkStart w:id="8" w:name="_Toc238918042"/>
      <w:bookmarkStart w:id="9" w:name="_Toc15146"/>
      <w:r>
        <w:rPr>
          <w:rFonts w:hint="eastAsia" w:ascii="仿宋_GB2312"/>
        </w:rPr>
        <w:t>2.坚持人民至上，确保气象服务民生导向</w:t>
      </w:r>
      <w:bookmarkEnd w:id="8"/>
      <w:bookmarkEnd w:id="9"/>
    </w:p>
    <w:p>
      <w:pPr>
        <w:pStyle w:val="31"/>
        <w:ind w:firstLine="640"/>
        <w:rPr>
          <w:rFonts w:hint="eastAsia"/>
          <w:color w:val="000000"/>
        </w:rPr>
      </w:pPr>
      <w:r>
        <w:rPr>
          <w:rFonts w:hint="eastAsia"/>
          <w:color w:val="000000"/>
        </w:rPr>
        <w:t>始终把人民对美好生活的向往作为奋斗目标</w:t>
      </w:r>
      <w:r>
        <w:rPr>
          <w:color w:val="000000"/>
        </w:rPr>
        <w:t>。突出</w:t>
      </w:r>
      <w:r>
        <w:rPr>
          <w:rFonts w:hint="eastAsia"/>
          <w:color w:val="000000"/>
        </w:rPr>
        <w:t>坚持</w:t>
      </w:r>
      <w:r>
        <w:rPr>
          <w:color w:val="000000"/>
        </w:rPr>
        <w:t>人民至上的发展理念，将气象服务的覆盖面和精准度延伸到</w:t>
      </w:r>
      <w:r>
        <w:rPr>
          <w:rFonts w:hint="eastAsia"/>
          <w:color w:val="000000"/>
        </w:rPr>
        <w:t>人民</w:t>
      </w:r>
      <w:r>
        <w:rPr>
          <w:color w:val="000000"/>
        </w:rPr>
        <w:t>群众的日常生活和</w:t>
      </w:r>
      <w:r>
        <w:rPr>
          <w:rFonts w:hint="eastAsia"/>
          <w:color w:val="000000"/>
        </w:rPr>
        <w:t>生产</w:t>
      </w:r>
      <w:r>
        <w:rPr>
          <w:color w:val="000000"/>
        </w:rPr>
        <w:t>活动中。</w:t>
      </w:r>
      <w:r>
        <w:rPr>
          <w:rFonts w:hint="eastAsia"/>
          <w:color w:val="000000"/>
        </w:rPr>
        <w:t>聚焦人民群众的气象服务需求，</w:t>
      </w:r>
      <w:r>
        <w:rPr>
          <w:color w:val="000000"/>
        </w:rPr>
        <w:t>特别是在</w:t>
      </w:r>
      <w:r>
        <w:rPr>
          <w:rFonts w:hint="eastAsia"/>
          <w:color w:val="000000"/>
        </w:rPr>
        <w:t>防灾减灾</w:t>
      </w:r>
      <w:r>
        <w:rPr>
          <w:color w:val="000000"/>
        </w:rPr>
        <w:t>方面，着力提高服务的实用性和</w:t>
      </w:r>
      <w:r>
        <w:rPr>
          <w:rFonts w:hint="eastAsia"/>
          <w:color w:val="000000"/>
        </w:rPr>
        <w:t>准确</w:t>
      </w:r>
      <w:r>
        <w:rPr>
          <w:color w:val="000000"/>
        </w:rPr>
        <w:t>性，确保气象服务切实提升公众的安全感、幸福感和获得感。</w:t>
      </w:r>
    </w:p>
    <w:p>
      <w:pPr>
        <w:pStyle w:val="5"/>
        <w:adjustRightInd w:val="0"/>
        <w:ind w:firstLine="643"/>
        <w:rPr>
          <w:rFonts w:hint="eastAsia" w:ascii="仿宋_GB2312"/>
        </w:rPr>
      </w:pPr>
      <w:bookmarkStart w:id="10" w:name="_Toc238918043"/>
      <w:bookmarkStart w:id="11" w:name="_Toc28824"/>
      <w:r>
        <w:rPr>
          <w:rFonts w:hint="eastAsia" w:ascii="仿宋_GB2312"/>
        </w:rPr>
        <w:t>3.坚持创新驱动，推动气象科技能力现代化和社会服务现代化</w:t>
      </w:r>
      <w:bookmarkEnd w:id="10"/>
      <w:bookmarkEnd w:id="11"/>
    </w:p>
    <w:p>
      <w:pPr>
        <w:pStyle w:val="31"/>
        <w:ind w:firstLine="640"/>
        <w:rPr>
          <w:rFonts w:hint="eastAsia"/>
          <w:color w:val="000000"/>
        </w:rPr>
      </w:pPr>
      <w:r>
        <w:rPr>
          <w:color w:val="000000"/>
        </w:rPr>
        <w:t>将科技创新作为驱动气象</w:t>
      </w:r>
      <w:r>
        <w:rPr>
          <w:rFonts w:hint="eastAsia"/>
          <w:color w:val="000000"/>
        </w:rPr>
        <w:t>事业</w:t>
      </w:r>
      <w:r>
        <w:rPr>
          <w:color w:val="000000"/>
        </w:rPr>
        <w:t>发展的核心引擎，</w:t>
      </w:r>
      <w:r>
        <w:rPr>
          <w:rFonts w:hint="eastAsia"/>
          <w:color w:val="000000"/>
        </w:rPr>
        <w:t>紧抓新一代信息技术发展应用的历史机遇</w:t>
      </w:r>
      <w:r>
        <w:rPr>
          <w:color w:val="000000"/>
        </w:rPr>
        <w:t>，如大数据、人工智能、云计算等，</w:t>
      </w:r>
      <w:r>
        <w:rPr>
          <w:rFonts w:hint="eastAsia"/>
          <w:color w:val="000000"/>
        </w:rPr>
        <w:t>强化</w:t>
      </w:r>
      <w:r>
        <w:rPr>
          <w:color w:val="000000"/>
        </w:rPr>
        <w:t>数字化、智能化和信息化</w:t>
      </w:r>
      <w:r>
        <w:rPr>
          <w:rFonts w:hint="eastAsia"/>
          <w:color w:val="000000"/>
        </w:rPr>
        <w:t>在气象工作中</w:t>
      </w:r>
      <w:r>
        <w:rPr>
          <w:color w:val="000000"/>
        </w:rPr>
        <w:t>的</w:t>
      </w:r>
      <w:r>
        <w:rPr>
          <w:rFonts w:hint="eastAsia"/>
          <w:color w:val="000000"/>
        </w:rPr>
        <w:t>研发应用</w:t>
      </w:r>
      <w:r>
        <w:rPr>
          <w:color w:val="000000"/>
        </w:rPr>
        <w:t>，提升气象预报的精准性</w:t>
      </w:r>
      <w:r>
        <w:rPr>
          <w:rFonts w:hint="eastAsia"/>
          <w:color w:val="000000"/>
        </w:rPr>
        <w:t>和时效性</w:t>
      </w:r>
      <w:r>
        <w:rPr>
          <w:color w:val="000000"/>
        </w:rPr>
        <w:t>，</w:t>
      </w:r>
      <w:r>
        <w:rPr>
          <w:rFonts w:hint="eastAsia"/>
          <w:color w:val="000000"/>
        </w:rPr>
        <w:t>全面提升</w:t>
      </w:r>
      <w:r>
        <w:rPr>
          <w:color w:val="000000"/>
        </w:rPr>
        <w:t>气象服务</w:t>
      </w:r>
      <w:r>
        <w:rPr>
          <w:rFonts w:hint="eastAsia"/>
          <w:color w:val="000000"/>
        </w:rPr>
        <w:t>效能</w:t>
      </w:r>
      <w:r>
        <w:rPr>
          <w:color w:val="000000"/>
        </w:rPr>
        <w:t>。</w:t>
      </w:r>
    </w:p>
    <w:p>
      <w:pPr>
        <w:pStyle w:val="5"/>
        <w:adjustRightInd w:val="0"/>
        <w:ind w:firstLine="643"/>
        <w:rPr>
          <w:rFonts w:hint="eastAsia" w:ascii="仿宋_GB2312"/>
        </w:rPr>
      </w:pPr>
      <w:bookmarkStart w:id="12" w:name="_Toc238918044"/>
      <w:bookmarkStart w:id="13" w:name="_Toc626"/>
      <w:r>
        <w:rPr>
          <w:rFonts w:hint="eastAsia" w:ascii="仿宋_GB2312"/>
        </w:rPr>
        <w:t>4.坚持系统思维，统筹协调各方资源</w:t>
      </w:r>
      <w:bookmarkEnd w:id="12"/>
      <w:bookmarkEnd w:id="13"/>
    </w:p>
    <w:p>
      <w:pPr>
        <w:pStyle w:val="31"/>
        <w:ind w:firstLine="640"/>
        <w:rPr>
          <w:rFonts w:hint="eastAsia"/>
          <w:color w:val="000000"/>
        </w:rPr>
      </w:pPr>
      <w:r>
        <w:rPr>
          <w:color w:val="000000"/>
        </w:rPr>
        <w:t>强化系统思维，强调气象事业发展</w:t>
      </w:r>
      <w:r>
        <w:rPr>
          <w:rFonts w:hint="eastAsia"/>
          <w:color w:val="000000"/>
        </w:rPr>
        <w:t>与全区经济社会发展、相关行业发展</w:t>
      </w:r>
      <w:r>
        <w:rPr>
          <w:color w:val="000000"/>
        </w:rPr>
        <w:t>中</w:t>
      </w:r>
      <w:r>
        <w:rPr>
          <w:rFonts w:hint="eastAsia"/>
          <w:color w:val="000000"/>
        </w:rPr>
        <w:t>的</w:t>
      </w:r>
      <w:r>
        <w:rPr>
          <w:color w:val="000000"/>
        </w:rPr>
        <w:t>协同作用</w:t>
      </w:r>
      <w:r>
        <w:rPr>
          <w:rFonts w:hint="eastAsia"/>
          <w:color w:val="000000"/>
        </w:rPr>
        <w:t>。同时，</w:t>
      </w:r>
      <w:r>
        <w:rPr>
          <w:color w:val="000000"/>
        </w:rPr>
        <w:t>构建“大平台、大系统”的气象事业发展格局。从立体化气象观测、数据处理与应用、智能化预报，到防灾减灾、气象服务、科技创新等方面，通过系统性安排和整合资源，</w:t>
      </w:r>
      <w:r>
        <w:rPr>
          <w:rFonts w:hint="eastAsia"/>
          <w:color w:val="000000"/>
        </w:rPr>
        <w:t>实施重大项目，</w:t>
      </w:r>
      <w:r>
        <w:rPr>
          <w:color w:val="000000"/>
        </w:rPr>
        <w:t>实现气象事业</w:t>
      </w:r>
      <w:r>
        <w:rPr>
          <w:rFonts w:hint="eastAsia"/>
          <w:color w:val="000000"/>
        </w:rPr>
        <w:t>发展</w:t>
      </w:r>
      <w:r>
        <w:rPr>
          <w:color w:val="000000"/>
        </w:rPr>
        <w:t>的整体效益最大化。</w:t>
      </w:r>
    </w:p>
    <w:p>
      <w:pPr>
        <w:pStyle w:val="4"/>
        <w:adjustRightInd w:val="0"/>
        <w:snapToGrid w:val="0"/>
        <w:spacing w:before="156" w:beforeLines="50" w:after="0" w:line="560" w:lineRule="exact"/>
        <w:ind w:firstLine="640" w:firstLineChars="200"/>
        <w:rPr>
          <w:rFonts w:hint="eastAsia" w:ascii="黑体" w:hAnsi="黑体" w:eastAsia="黑体" w:cs="黑体"/>
          <w:b w:val="0"/>
          <w:bCs w:val="0"/>
        </w:rPr>
      </w:pPr>
      <w:bookmarkStart w:id="14" w:name="_Toc29415"/>
      <w:bookmarkStart w:id="15" w:name="_Toc238918045"/>
      <w:r>
        <w:rPr>
          <w:rFonts w:hint="eastAsia" w:ascii="黑体" w:hAnsi="黑体" w:eastAsia="黑体" w:cs="黑体"/>
          <w:b w:val="0"/>
          <w:bCs w:val="0"/>
        </w:rPr>
        <w:t>三、发展目标</w:t>
      </w:r>
      <w:bookmarkEnd w:id="14"/>
      <w:bookmarkEnd w:id="15"/>
    </w:p>
    <w:p>
      <w:pPr>
        <w:pStyle w:val="31"/>
        <w:ind w:firstLine="640"/>
        <w:rPr>
          <w:rFonts w:hint="eastAsia"/>
          <w:color w:val="000000"/>
        </w:rPr>
      </w:pPr>
      <w:r>
        <w:rPr>
          <w:rFonts w:hint="eastAsia"/>
          <w:color w:val="000000"/>
        </w:rPr>
        <w:t>到2030年，基本建成与大兴经济社会高质量发展相适应的监测精密、预报精准、服务精细、管理规范的气象现代化业务体系，</w:t>
      </w:r>
      <w:r>
        <w:rPr>
          <w:rFonts w:hint="eastAsia" w:hAnsi="宋体"/>
          <w:color w:val="000000" w:themeColor="text1"/>
          <w:szCs w:val="32"/>
          <w14:textFill>
            <w14:solidFill>
              <w14:schemeClr w14:val="tx1"/>
            </w14:solidFill>
          </w14:textFill>
        </w:rPr>
        <w:t>形成业务能力坚实、服务精细高效、社会治理有效、保障持续稳定的气象高质量发展格局，气象科技能力现代化和社会服务现代化水平显著提高，</w:t>
      </w:r>
      <w:r>
        <w:rPr>
          <w:rFonts w:hint="eastAsia"/>
          <w:color w:val="000000"/>
        </w:rPr>
        <w:t>为大兴区经济社会高质量发展提供有力气象保障。</w:t>
      </w:r>
    </w:p>
    <w:p>
      <w:pPr>
        <w:spacing w:line="360" w:lineRule="auto"/>
        <w:ind w:firstLine="643" w:firstLineChars="200"/>
        <w:rPr>
          <w:rFonts w:hint="eastAsia" w:ascii="宋体" w:hAnsi="宋体" w:eastAsia="仿宋_GB2312"/>
          <w:b/>
          <w:bCs/>
          <w:color w:val="000000"/>
          <w:sz w:val="32"/>
          <w:szCs w:val="32"/>
        </w:rPr>
      </w:pPr>
      <w:r>
        <w:rPr>
          <w:rFonts w:hint="eastAsia" w:ascii="宋体" w:hAnsi="宋体" w:eastAsia="仿宋_GB2312"/>
          <w:b/>
          <w:bCs/>
          <w:color w:val="000000"/>
          <w:sz w:val="32"/>
          <w:szCs w:val="32"/>
        </w:rPr>
        <w:t>——气象防灾减灾第一道防线更加牢固。</w:t>
      </w:r>
      <w:r>
        <w:rPr>
          <w:rFonts w:hint="eastAsia" w:ascii="仿宋_GB2312" w:hAnsi="仿宋_GB2312" w:eastAsia="仿宋_GB2312" w:cs="仿宋_GB2312"/>
          <w:sz w:val="32"/>
          <w:szCs w:val="32"/>
        </w:rPr>
        <w:t>以预警信号为先导的多部门、跨区域联动机制更加牢固，气象灾害防御水平显著提升，气象灾害预报预警信息覆盖率、及时率进一步提升，气象灾害风险预估产品在防灾减灾应急响应中得到应用。</w:t>
      </w:r>
      <w:r>
        <w:rPr>
          <w:rFonts w:ascii="仿宋_GB2312" w:hAnsi="仿宋_GB2312" w:eastAsia="仿宋_GB2312" w:cs="仿宋_GB2312"/>
          <w:sz w:val="32"/>
          <w:szCs w:val="32"/>
        </w:rPr>
        <w:t>气象</w:t>
      </w:r>
      <w:r>
        <w:rPr>
          <w:rFonts w:hint="eastAsia" w:ascii="仿宋_GB2312" w:hAnsi="仿宋_GB2312" w:eastAsia="仿宋_GB2312" w:cs="仿宋_GB2312"/>
          <w:sz w:val="32"/>
          <w:szCs w:val="32"/>
        </w:rPr>
        <w:t>特色科普活动受众进一步扩大，公众气象防灾减灾知识和科学素养明显</w:t>
      </w:r>
      <w:r>
        <w:rPr>
          <w:rFonts w:ascii="仿宋_GB2312" w:hAnsi="仿宋_GB2312" w:eastAsia="仿宋_GB2312" w:cs="仿宋_GB2312"/>
          <w:sz w:val="32"/>
          <w:szCs w:val="32"/>
        </w:rPr>
        <w:t>提高</w:t>
      </w:r>
      <w:r>
        <w:rPr>
          <w:rFonts w:hint="eastAsia" w:ascii="仿宋_GB2312" w:hAnsi="仿宋_GB2312" w:eastAsia="仿宋_GB2312" w:cs="仿宋_GB2312"/>
          <w:sz w:val="32"/>
          <w:szCs w:val="32"/>
        </w:rPr>
        <w:t>。</w:t>
      </w:r>
    </w:p>
    <w:p>
      <w:pPr>
        <w:widowControl/>
        <w:spacing w:line="360" w:lineRule="auto"/>
        <w:ind w:firstLine="643" w:firstLineChars="200"/>
        <w:rPr>
          <w:rFonts w:hint="eastAsia" w:ascii="仿宋_GB2312" w:hAnsi="仿宋_GB2312" w:eastAsia="仿宋_GB2312" w:cs="仿宋_GB2312"/>
          <w:sz w:val="32"/>
          <w:szCs w:val="32"/>
        </w:rPr>
      </w:pPr>
      <w:r>
        <w:rPr>
          <w:rFonts w:hint="eastAsia" w:ascii="宋体" w:hAnsi="宋体" w:eastAsia="仿宋_GB2312"/>
          <w:b/>
          <w:bCs/>
          <w:color w:val="000000"/>
          <w:sz w:val="32"/>
          <w:szCs w:val="32"/>
        </w:rPr>
        <w:t>——气象赋能经济社会发展效能明显提升。</w:t>
      </w:r>
      <w:r>
        <w:rPr>
          <w:rFonts w:hint="eastAsia" w:ascii="仿宋_GB2312" w:hAnsi="仿宋_GB2312" w:eastAsia="仿宋_GB2312" w:cs="仿宋_GB2312"/>
          <w:sz w:val="32"/>
          <w:szCs w:val="32"/>
        </w:rPr>
        <w:t>面向公众、行业的气象服务供给能力全面提升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公众气象服务满意度持续保持高水平。实现气象高质量发展与行业领域发展深度融合，深化乡村振兴、生态文明建设等领域的气象服务，不断延伸拓展气象服务场景，数智气象服务能力进一步提升，形成一批具有大兴辨识度的气象工作标志性成果，推动气象服务全景赋能本区经济社会发展。</w:t>
      </w:r>
    </w:p>
    <w:p>
      <w:pPr>
        <w:spacing w:line="360" w:lineRule="auto"/>
        <w:ind w:firstLine="643" w:firstLineChars="200"/>
        <w:rPr>
          <w:rFonts w:hint="eastAsia" w:ascii="宋体" w:hAnsi="宋体" w:eastAsia="仿宋_GB2312"/>
          <w:color w:val="000000"/>
          <w:sz w:val="32"/>
          <w:szCs w:val="32"/>
        </w:rPr>
      </w:pPr>
      <w:r>
        <w:rPr>
          <w:rFonts w:hint="eastAsia" w:ascii="宋体" w:hAnsi="宋体" w:eastAsia="仿宋_GB2312"/>
          <w:b/>
          <w:bCs/>
          <w:color w:val="000000"/>
          <w:sz w:val="32"/>
          <w:szCs w:val="32"/>
        </w:rPr>
        <w:t>——气象业务服务基础能力更加坚实。</w:t>
      </w:r>
      <w:r>
        <w:rPr>
          <w:rFonts w:hint="eastAsia" w:ascii="宋体" w:hAnsi="宋体" w:eastAsia="仿宋_GB2312"/>
          <w:color w:val="000000"/>
          <w:sz w:val="32"/>
          <w:szCs w:val="32"/>
        </w:rPr>
        <w:t>实现多源气象数据深度融合与应用，运用人工智能技术提升预报服务水平，完善气象行业与社会观测数据的共享共用机制。深化智能网格预报与区域数值模式的应用，“百米级、分钟级”高精度预报技术得到有效</w:t>
      </w:r>
      <w:r>
        <w:rPr>
          <w:rFonts w:hint="eastAsia" w:ascii="仿宋_GB2312" w:hAnsi="仿宋_GB2312" w:eastAsia="仿宋_GB2312" w:cs="仿宋_GB2312"/>
          <w:sz w:val="32"/>
          <w:szCs w:val="32"/>
        </w:rPr>
        <w:t>拓展，高影响天气监测无盲区，预警细化到乡镇（街道），短时强降雨、雷雨大风等突发强天气有效预警时间进一步提高，延伸期预测产品实现引进应用，为防灾减灾提供有力支</w:t>
      </w:r>
      <w:r>
        <w:rPr>
          <w:rFonts w:hint="eastAsia" w:ascii="宋体" w:hAnsi="宋体" w:eastAsia="仿宋_GB2312"/>
          <w:color w:val="000000"/>
          <w:sz w:val="32"/>
          <w:szCs w:val="32"/>
        </w:rPr>
        <w:t>持。</w:t>
      </w:r>
    </w:p>
    <w:p>
      <w:pPr>
        <w:spacing w:line="360" w:lineRule="auto"/>
        <w:ind w:firstLine="643" w:firstLineChars="200"/>
        <w:rPr>
          <w:rFonts w:hint="eastAsia" w:ascii="宋体" w:hAnsi="宋体" w:eastAsia="仿宋_GB2312"/>
          <w:color w:val="000000"/>
          <w:sz w:val="32"/>
          <w:szCs w:val="32"/>
        </w:rPr>
      </w:pPr>
      <w:r>
        <w:rPr>
          <w:rFonts w:hint="eastAsia" w:ascii="宋体" w:hAnsi="宋体" w:eastAsia="仿宋_GB2312"/>
          <w:b/>
          <w:bCs/>
          <w:color w:val="000000"/>
          <w:sz w:val="32"/>
          <w:szCs w:val="32"/>
        </w:rPr>
        <w:t>——气象社会管理更加现代规范高效。</w:t>
      </w:r>
      <w:r>
        <w:rPr>
          <w:rFonts w:hint="eastAsia" w:ascii="宋体" w:hAnsi="宋体" w:eastAsia="仿宋_GB2312"/>
          <w:color w:val="000000"/>
          <w:sz w:val="32"/>
          <w:szCs w:val="32"/>
        </w:rPr>
        <w:t>全面依法履行气象主管机构职责，气象营商环境不断优化，</w:t>
      </w:r>
      <w:r>
        <w:rPr>
          <w:rFonts w:ascii="宋体" w:hAnsi="宋体" w:eastAsia="仿宋_GB2312"/>
          <w:color w:val="000000"/>
          <w:sz w:val="32"/>
          <w:szCs w:val="32"/>
        </w:rPr>
        <w:t>推进非现场为主的数字化监管模式，</w:t>
      </w:r>
      <w:r>
        <w:rPr>
          <w:rFonts w:hint="eastAsia" w:ascii="宋体" w:hAnsi="宋体" w:eastAsia="仿宋_GB2312"/>
          <w:color w:val="000000"/>
          <w:sz w:val="32"/>
          <w:szCs w:val="32"/>
        </w:rPr>
        <w:t>显著提高气象改革和数智治理效能。基于数字化改革的气象社会监管更加智慧高效，共建共治共享的气象行业管理更加规范，</w:t>
      </w:r>
      <w:r>
        <w:rPr>
          <w:rFonts w:ascii="宋体" w:hAnsi="宋体" w:eastAsia="仿宋_GB2312"/>
          <w:color w:val="000000"/>
          <w:sz w:val="32"/>
          <w:szCs w:val="32"/>
        </w:rPr>
        <w:t>实现“无事不扰、无处不在”的智慧监管。建立重点单位“风险+信用”评价与分级分类监管机制，按风险等级动态调整检查比例与频次，提升监管效能与服务能力，实现精准、高效、智慧监管。</w:t>
      </w:r>
    </w:p>
    <w:p>
      <w:pPr>
        <w:rPr>
          <w:rFonts w:hint="eastAsia" w:ascii="黑体" w:hAnsi="黑体" w:eastAsia="黑体" w:cs="Times New Roman"/>
          <w:sz w:val="28"/>
          <w:szCs w:val="28"/>
        </w:rPr>
      </w:pPr>
      <w:r>
        <w:rPr>
          <w:rFonts w:hint="eastAsia" w:ascii="黑体" w:hAnsi="黑体" w:eastAsia="黑体" w:cs="Times New Roman"/>
          <w:sz w:val="28"/>
          <w:szCs w:val="28"/>
        </w:rPr>
        <w:br w:type="page"/>
      </w:r>
    </w:p>
    <w:p>
      <w:pPr>
        <w:jc w:val="center"/>
        <w:rPr>
          <w:rFonts w:hint="eastAsia" w:ascii="黑体" w:hAnsi="黑体" w:eastAsia="黑体" w:cs="Times New Roman"/>
          <w:sz w:val="28"/>
          <w:szCs w:val="28"/>
        </w:rPr>
      </w:pPr>
      <w:r>
        <w:rPr>
          <w:rFonts w:hint="eastAsia" w:ascii="黑体" w:hAnsi="黑体" w:eastAsia="黑体" w:cs="Times New Roman"/>
          <w:sz w:val="28"/>
          <w:szCs w:val="28"/>
        </w:rPr>
        <w:t>大兴区“十五五”时期气象事业发展主要指标</w:t>
      </w:r>
    </w:p>
    <w:tbl>
      <w:tblPr>
        <w:tblStyle w:val="14"/>
        <w:tblW w:w="79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4"/>
        <w:gridCol w:w="750"/>
        <w:gridCol w:w="2272"/>
        <w:gridCol w:w="1313"/>
        <w:gridCol w:w="1365"/>
        <w:gridCol w:w="9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tblHeader/>
          <w:jc w:val="center"/>
        </w:trPr>
        <w:tc>
          <w:tcPr>
            <w:tcW w:w="1274" w:type="dxa"/>
            <w:vAlign w:val="center"/>
          </w:tcPr>
          <w:p>
            <w:pPr>
              <w:widowControl/>
              <w:spacing w:line="280" w:lineRule="exact"/>
              <w:jc w:val="center"/>
              <w:rPr>
                <w:rFonts w:hint="eastAsia" w:ascii="宋体" w:hAnsi="宋体" w:cs="宋体"/>
                <w:b/>
                <w:bCs/>
                <w:color w:val="000000"/>
                <w:kern w:val="0"/>
                <w:szCs w:val="21"/>
              </w:rPr>
            </w:pPr>
            <w:bookmarkStart w:id="16" w:name="_Hlk206248180"/>
            <w:r>
              <w:rPr>
                <w:rFonts w:hint="eastAsia" w:ascii="宋体" w:hAnsi="宋体" w:cs="宋体"/>
                <w:b/>
                <w:bCs/>
                <w:color w:val="000000"/>
                <w:kern w:val="0"/>
                <w:szCs w:val="21"/>
              </w:rPr>
              <w:t>分项</w:t>
            </w:r>
          </w:p>
        </w:tc>
        <w:tc>
          <w:tcPr>
            <w:tcW w:w="750" w:type="dxa"/>
            <w:vAlign w:val="center"/>
          </w:tcPr>
          <w:p>
            <w:pPr>
              <w:widowControl/>
              <w:jc w:val="center"/>
              <w:rPr>
                <w:rFonts w:hint="eastAsia" w:ascii="宋体" w:hAnsi="宋体" w:cs="宋体"/>
                <w:b/>
                <w:bCs/>
                <w:color w:val="000000"/>
                <w:kern w:val="0"/>
                <w:szCs w:val="21"/>
              </w:rPr>
            </w:pPr>
            <w:r>
              <w:rPr>
                <w:rFonts w:hint="eastAsia" w:ascii="宋体" w:hAnsi="宋体" w:cs="宋体"/>
                <w:b/>
                <w:bCs/>
                <w:color w:val="000000"/>
                <w:kern w:val="0"/>
                <w:szCs w:val="21"/>
              </w:rPr>
              <w:t>序号</w:t>
            </w:r>
          </w:p>
        </w:tc>
        <w:tc>
          <w:tcPr>
            <w:tcW w:w="2272" w:type="dxa"/>
            <w:vAlign w:val="center"/>
          </w:tcPr>
          <w:p>
            <w:pPr>
              <w:widowControl/>
              <w:jc w:val="center"/>
              <w:rPr>
                <w:rFonts w:hint="eastAsia" w:ascii="宋体" w:hAnsi="宋体" w:cs="宋体"/>
                <w:b/>
                <w:bCs/>
                <w:color w:val="000000"/>
                <w:kern w:val="0"/>
                <w:szCs w:val="21"/>
              </w:rPr>
            </w:pPr>
            <w:r>
              <w:rPr>
                <w:rFonts w:hint="eastAsia" w:ascii="宋体" w:hAnsi="宋体" w:cs="宋体"/>
                <w:b/>
                <w:bCs/>
                <w:color w:val="000000"/>
                <w:kern w:val="0"/>
                <w:szCs w:val="21"/>
              </w:rPr>
              <w:t>指标</w:t>
            </w:r>
          </w:p>
        </w:tc>
        <w:tc>
          <w:tcPr>
            <w:tcW w:w="1313" w:type="dxa"/>
            <w:vAlign w:val="center"/>
          </w:tcPr>
          <w:p>
            <w:pPr>
              <w:widowControl/>
              <w:jc w:val="center"/>
              <w:rPr>
                <w:rFonts w:hint="eastAsia" w:ascii="宋体" w:hAnsi="宋体" w:eastAsia="宋体" w:cs="宋体"/>
                <w:b/>
                <w:bCs/>
                <w:color w:val="000000"/>
                <w:kern w:val="0"/>
                <w:szCs w:val="21"/>
              </w:rPr>
            </w:pPr>
            <w:r>
              <w:rPr>
                <w:rFonts w:hint="eastAsia" w:ascii="宋体" w:hAnsi="宋体" w:cs="宋体"/>
                <w:b/>
                <w:bCs/>
                <w:color w:val="000000"/>
                <w:kern w:val="0"/>
                <w:szCs w:val="21"/>
              </w:rPr>
              <w:t>2025年</w:t>
            </w:r>
          </w:p>
        </w:tc>
        <w:tc>
          <w:tcPr>
            <w:tcW w:w="1365" w:type="dxa"/>
            <w:vAlign w:val="center"/>
          </w:tcPr>
          <w:p>
            <w:pPr>
              <w:widowControl/>
              <w:jc w:val="center"/>
              <w:rPr>
                <w:rFonts w:hint="eastAsia" w:ascii="宋体" w:hAnsi="宋体" w:eastAsia="宋体" w:cs="宋体"/>
                <w:b/>
                <w:bCs/>
                <w:color w:val="000000"/>
                <w:kern w:val="0"/>
                <w:szCs w:val="21"/>
              </w:rPr>
            </w:pPr>
            <w:r>
              <w:rPr>
                <w:rFonts w:hint="eastAsia" w:ascii="宋体" w:hAnsi="宋体" w:cs="宋体"/>
                <w:b/>
                <w:bCs/>
                <w:color w:val="000000"/>
                <w:kern w:val="0"/>
                <w:szCs w:val="21"/>
              </w:rPr>
              <w:t>2030年目标</w:t>
            </w:r>
          </w:p>
        </w:tc>
        <w:tc>
          <w:tcPr>
            <w:tcW w:w="966" w:type="dxa"/>
            <w:vAlign w:val="center"/>
          </w:tcPr>
          <w:p>
            <w:pPr>
              <w:widowControl/>
              <w:jc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6" w:hRule="atLeast"/>
          <w:jc w:val="center"/>
        </w:trPr>
        <w:tc>
          <w:tcPr>
            <w:tcW w:w="1274" w:type="dxa"/>
            <w:vMerge w:val="restart"/>
            <w:vAlign w:val="center"/>
          </w:tcPr>
          <w:p>
            <w:pPr>
              <w:widowControl/>
              <w:snapToGrid w:val="0"/>
              <w:spacing w:line="240" w:lineRule="exact"/>
              <w:jc w:val="center"/>
              <w:rPr>
                <w:rFonts w:hint="eastAsia" w:ascii="微软雅黑" w:hAnsi="微软雅黑" w:eastAsia="微软雅黑" w:cs="宋体"/>
                <w:b/>
                <w:bCs/>
                <w:color w:val="000000"/>
                <w:kern w:val="0"/>
                <w:sz w:val="20"/>
                <w:szCs w:val="20"/>
              </w:rPr>
            </w:pPr>
            <w:r>
              <w:rPr>
                <w:rFonts w:hint="eastAsia" w:ascii="微软雅黑" w:hAnsi="微软雅黑" w:eastAsia="微软雅黑" w:cs="宋体"/>
                <w:b/>
                <w:bCs/>
                <w:color w:val="000000"/>
                <w:kern w:val="0"/>
                <w:sz w:val="20"/>
                <w:szCs w:val="20"/>
              </w:rPr>
              <w:t>监测</w:t>
            </w:r>
          </w:p>
          <w:p>
            <w:pPr>
              <w:widowControl/>
              <w:snapToGrid w:val="0"/>
              <w:spacing w:line="240" w:lineRule="exact"/>
              <w:jc w:val="center"/>
              <w:rPr>
                <w:rFonts w:hint="eastAsia" w:ascii="微软雅黑" w:hAnsi="微软雅黑" w:eastAsia="微软雅黑" w:cs="宋体"/>
                <w:b/>
                <w:bCs/>
                <w:color w:val="000000"/>
                <w:kern w:val="0"/>
                <w:sz w:val="20"/>
                <w:szCs w:val="20"/>
              </w:rPr>
            </w:pPr>
            <w:r>
              <w:rPr>
                <w:rFonts w:hint="eastAsia" w:ascii="微软雅黑" w:hAnsi="微软雅黑" w:eastAsia="微软雅黑" w:cs="宋体"/>
                <w:b/>
                <w:bCs/>
                <w:color w:val="000000"/>
                <w:kern w:val="0"/>
                <w:sz w:val="20"/>
                <w:szCs w:val="20"/>
              </w:rPr>
              <w:t>精密</w:t>
            </w:r>
          </w:p>
        </w:tc>
        <w:tc>
          <w:tcPr>
            <w:tcW w:w="750" w:type="dxa"/>
            <w:vAlign w:val="center"/>
          </w:tcPr>
          <w:p>
            <w:pPr>
              <w:snapToGrid w:val="0"/>
              <w:spacing w:line="240" w:lineRule="exact"/>
              <w:jc w:val="center"/>
              <w:rPr>
                <w:rFonts w:hint="eastAsia" w:ascii="微软雅黑" w:hAnsi="微软雅黑" w:eastAsia="微软雅黑" w:cs="微软雅黑"/>
                <w:spacing w:val="3"/>
                <w:sz w:val="20"/>
                <w:szCs w:val="20"/>
              </w:rPr>
            </w:pPr>
            <w:r>
              <w:rPr>
                <w:rFonts w:hint="eastAsia" w:ascii="微软雅黑" w:hAnsi="微软雅黑" w:eastAsia="微软雅黑" w:cs="微软雅黑"/>
                <w:spacing w:val="3"/>
                <w:sz w:val="20"/>
                <w:szCs w:val="20"/>
              </w:rPr>
              <w:t>1</w:t>
            </w:r>
          </w:p>
        </w:tc>
        <w:tc>
          <w:tcPr>
            <w:tcW w:w="2272" w:type="dxa"/>
            <w:vAlign w:val="center"/>
          </w:tcPr>
          <w:p>
            <w:pPr>
              <w:widowControl/>
              <w:snapToGrid w:val="0"/>
              <w:spacing w:line="240" w:lineRule="exact"/>
              <w:jc w:val="center"/>
              <w:rPr>
                <w:rFonts w:hint="eastAsia" w:ascii="微软雅黑" w:hAnsi="微软雅黑" w:eastAsia="微软雅黑" w:cs="宋体"/>
                <w:color w:val="000000"/>
                <w:sz w:val="20"/>
                <w:szCs w:val="20"/>
              </w:rPr>
            </w:pPr>
            <w:r>
              <w:rPr>
                <w:rFonts w:hint="eastAsia" w:ascii="微软雅黑" w:hAnsi="微软雅黑" w:eastAsia="微软雅黑" w:cs="宋体"/>
                <w:color w:val="000000"/>
                <w:sz w:val="20"/>
                <w:szCs w:val="20"/>
              </w:rPr>
              <w:t>地面自动气象站传输及时率</w:t>
            </w:r>
          </w:p>
        </w:tc>
        <w:tc>
          <w:tcPr>
            <w:tcW w:w="1313" w:type="dxa"/>
            <w:vAlign w:val="center"/>
          </w:tcPr>
          <w:p>
            <w:pPr>
              <w:widowControl/>
              <w:snapToGrid w:val="0"/>
              <w:spacing w:line="240" w:lineRule="exact"/>
              <w:jc w:val="center"/>
              <w:rPr>
                <w:rFonts w:hint="eastAsia" w:ascii="微软雅黑" w:hAnsi="微软雅黑" w:eastAsia="微软雅黑" w:cs="宋体"/>
                <w:color w:val="000000"/>
                <w:sz w:val="20"/>
                <w:szCs w:val="20"/>
              </w:rPr>
            </w:pPr>
            <w:r>
              <w:rPr>
                <w:rFonts w:hint="eastAsia" w:ascii="微软雅黑" w:hAnsi="微软雅黑" w:eastAsia="微软雅黑" w:cs="宋体"/>
                <w:color w:val="000000"/>
                <w:sz w:val="20"/>
                <w:szCs w:val="20"/>
              </w:rPr>
              <w:t>98%</w:t>
            </w:r>
          </w:p>
        </w:tc>
        <w:tc>
          <w:tcPr>
            <w:tcW w:w="1365" w:type="dxa"/>
            <w:vAlign w:val="center"/>
          </w:tcPr>
          <w:p>
            <w:pPr>
              <w:widowControl/>
              <w:snapToGrid w:val="0"/>
              <w:spacing w:line="240" w:lineRule="exact"/>
              <w:jc w:val="center"/>
              <w:rPr>
                <w:rFonts w:hint="eastAsia" w:ascii="微软雅黑" w:hAnsi="微软雅黑" w:eastAsia="微软雅黑" w:cs="宋体"/>
                <w:color w:val="000000"/>
                <w:sz w:val="20"/>
                <w:szCs w:val="20"/>
              </w:rPr>
            </w:pPr>
            <w:r>
              <w:rPr>
                <w:rFonts w:hint="eastAsia" w:ascii="微软雅黑" w:hAnsi="微软雅黑" w:eastAsia="微软雅黑" w:cs="宋体"/>
                <w:color w:val="000000"/>
                <w:sz w:val="20"/>
                <w:szCs w:val="20"/>
              </w:rPr>
              <w:t>98%</w:t>
            </w:r>
          </w:p>
        </w:tc>
        <w:tc>
          <w:tcPr>
            <w:tcW w:w="966" w:type="dxa"/>
            <w:vAlign w:val="center"/>
          </w:tcPr>
          <w:p>
            <w:pPr>
              <w:widowControl/>
              <w:snapToGrid w:val="0"/>
              <w:spacing w:line="240" w:lineRule="exact"/>
              <w:jc w:val="center"/>
              <w:rPr>
                <w:rFonts w:hint="eastAsia" w:ascii="微软雅黑" w:hAnsi="微软雅黑" w:eastAsia="微软雅黑" w:cs="宋体"/>
                <w:color w:val="000000"/>
                <w:sz w:val="20"/>
                <w:szCs w:val="20"/>
              </w:rPr>
            </w:pPr>
            <w:r>
              <w:rPr>
                <w:rFonts w:hint="eastAsia" w:ascii="微软雅黑" w:hAnsi="微软雅黑" w:eastAsia="微软雅黑" w:cs="宋体"/>
                <w:color w:val="000000"/>
                <w:sz w:val="20"/>
                <w:szCs w:val="20"/>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15" w:hRule="atLeast"/>
          <w:jc w:val="center"/>
        </w:trPr>
        <w:tc>
          <w:tcPr>
            <w:tcW w:w="1274" w:type="dxa"/>
            <w:vMerge w:val="continue"/>
            <w:textDirection w:val="tbRlV"/>
            <w:vAlign w:val="center"/>
          </w:tcPr>
          <w:p>
            <w:pPr>
              <w:widowControl/>
              <w:snapToGrid w:val="0"/>
              <w:spacing w:line="240" w:lineRule="exact"/>
              <w:ind w:left="113" w:right="113"/>
              <w:jc w:val="center"/>
              <w:rPr>
                <w:rFonts w:hint="eastAsia" w:ascii="微软雅黑" w:hAnsi="微软雅黑" w:eastAsia="微软雅黑" w:cs="宋体"/>
                <w:b/>
                <w:bCs/>
                <w:color w:val="000000"/>
                <w:kern w:val="0"/>
                <w:sz w:val="20"/>
                <w:szCs w:val="20"/>
              </w:rPr>
            </w:pPr>
          </w:p>
        </w:tc>
        <w:tc>
          <w:tcPr>
            <w:tcW w:w="750" w:type="dxa"/>
            <w:vAlign w:val="center"/>
          </w:tcPr>
          <w:p>
            <w:pPr>
              <w:snapToGrid w:val="0"/>
              <w:spacing w:line="240" w:lineRule="exact"/>
              <w:jc w:val="center"/>
              <w:rPr>
                <w:rFonts w:hint="eastAsia" w:ascii="微软雅黑" w:hAnsi="微软雅黑" w:eastAsia="微软雅黑" w:cs="微软雅黑"/>
                <w:spacing w:val="3"/>
                <w:sz w:val="20"/>
                <w:szCs w:val="20"/>
              </w:rPr>
            </w:pPr>
            <w:r>
              <w:rPr>
                <w:rFonts w:hint="eastAsia" w:ascii="微软雅黑" w:hAnsi="微软雅黑" w:eastAsia="微软雅黑" w:cs="宋体"/>
                <w:color w:val="000000"/>
                <w:sz w:val="20"/>
                <w:szCs w:val="20"/>
              </w:rPr>
              <w:t>2</w:t>
            </w:r>
          </w:p>
        </w:tc>
        <w:tc>
          <w:tcPr>
            <w:tcW w:w="2272" w:type="dxa"/>
            <w:vAlign w:val="center"/>
          </w:tcPr>
          <w:p>
            <w:pPr>
              <w:widowControl/>
              <w:snapToGrid w:val="0"/>
              <w:spacing w:line="240" w:lineRule="exact"/>
              <w:jc w:val="center"/>
              <w:rPr>
                <w:rFonts w:hint="eastAsia" w:ascii="微软雅黑" w:hAnsi="微软雅黑" w:eastAsia="微软雅黑" w:cs="宋体"/>
                <w:color w:val="000000"/>
                <w:sz w:val="20"/>
                <w:szCs w:val="20"/>
              </w:rPr>
            </w:pPr>
            <w:r>
              <w:rPr>
                <w:rFonts w:hint="eastAsia" w:ascii="微软雅黑" w:hAnsi="微软雅黑" w:eastAsia="微软雅黑" w:cs="宋体"/>
                <w:color w:val="000000"/>
                <w:sz w:val="20"/>
                <w:szCs w:val="20"/>
              </w:rPr>
              <w:t>地面气象观测可用性高于全国平均</w:t>
            </w:r>
          </w:p>
        </w:tc>
        <w:tc>
          <w:tcPr>
            <w:tcW w:w="1313" w:type="dxa"/>
            <w:vAlign w:val="center"/>
          </w:tcPr>
          <w:p>
            <w:pPr>
              <w:widowControl/>
              <w:snapToGrid w:val="0"/>
              <w:spacing w:line="240" w:lineRule="exact"/>
              <w:jc w:val="center"/>
              <w:rPr>
                <w:rFonts w:hint="eastAsia" w:ascii="微软雅黑" w:hAnsi="微软雅黑" w:eastAsia="微软雅黑" w:cs="宋体"/>
                <w:color w:val="000000"/>
                <w:sz w:val="20"/>
                <w:szCs w:val="20"/>
              </w:rPr>
            </w:pPr>
            <w:r>
              <w:rPr>
                <w:rFonts w:hint="eastAsia" w:ascii="微软雅黑" w:hAnsi="微软雅黑" w:eastAsia="微软雅黑" w:cs="宋体"/>
                <w:color w:val="000000"/>
                <w:sz w:val="20"/>
                <w:szCs w:val="20"/>
              </w:rPr>
              <w:t>0</w:t>
            </w:r>
          </w:p>
        </w:tc>
        <w:tc>
          <w:tcPr>
            <w:tcW w:w="1365" w:type="dxa"/>
            <w:vAlign w:val="center"/>
          </w:tcPr>
          <w:p>
            <w:pPr>
              <w:widowControl/>
              <w:snapToGrid w:val="0"/>
              <w:spacing w:line="240" w:lineRule="exact"/>
              <w:jc w:val="center"/>
              <w:rPr>
                <w:rFonts w:hint="eastAsia" w:ascii="微软雅黑" w:hAnsi="微软雅黑" w:eastAsia="微软雅黑" w:cs="宋体"/>
                <w:color w:val="000000"/>
                <w:sz w:val="20"/>
                <w:szCs w:val="20"/>
              </w:rPr>
            </w:pPr>
            <w:r>
              <w:rPr>
                <w:rFonts w:hint="eastAsia" w:ascii="微软雅黑" w:hAnsi="微软雅黑" w:eastAsia="微软雅黑" w:cs="宋体"/>
                <w:color w:val="000000"/>
                <w:sz w:val="20"/>
                <w:szCs w:val="20"/>
              </w:rPr>
              <w:t>3%</w:t>
            </w:r>
          </w:p>
        </w:tc>
        <w:tc>
          <w:tcPr>
            <w:tcW w:w="966" w:type="dxa"/>
            <w:vAlign w:val="center"/>
          </w:tcPr>
          <w:p>
            <w:pPr>
              <w:widowControl/>
              <w:snapToGrid w:val="0"/>
              <w:spacing w:line="240" w:lineRule="exact"/>
              <w:jc w:val="center"/>
              <w:rPr>
                <w:rFonts w:hint="eastAsia" w:ascii="微软雅黑" w:hAnsi="微软雅黑" w:eastAsia="微软雅黑" w:cs="宋体"/>
                <w:color w:val="000000"/>
                <w:sz w:val="20"/>
                <w:szCs w:val="20"/>
              </w:rPr>
            </w:pPr>
            <w:r>
              <w:rPr>
                <w:rFonts w:hint="eastAsia" w:ascii="微软雅黑" w:hAnsi="微软雅黑" w:eastAsia="微软雅黑" w:cs="宋体"/>
                <w:color w:val="000000"/>
                <w:sz w:val="20"/>
                <w:szCs w:val="20"/>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3" w:hRule="atLeast"/>
          <w:jc w:val="center"/>
        </w:trPr>
        <w:tc>
          <w:tcPr>
            <w:tcW w:w="1274" w:type="dxa"/>
            <w:vMerge w:val="restart"/>
            <w:vAlign w:val="center"/>
          </w:tcPr>
          <w:p>
            <w:pPr>
              <w:widowControl/>
              <w:snapToGrid w:val="0"/>
              <w:spacing w:line="240" w:lineRule="exact"/>
              <w:ind w:left="113" w:right="113"/>
              <w:jc w:val="center"/>
              <w:rPr>
                <w:rFonts w:hint="eastAsia" w:ascii="微软雅黑" w:hAnsi="微软雅黑" w:eastAsia="微软雅黑" w:cs="宋体"/>
                <w:b/>
                <w:bCs/>
                <w:color w:val="000000"/>
                <w:kern w:val="0"/>
                <w:sz w:val="20"/>
                <w:szCs w:val="20"/>
              </w:rPr>
            </w:pPr>
            <w:r>
              <w:rPr>
                <w:rFonts w:hint="eastAsia" w:ascii="微软雅黑" w:hAnsi="微软雅黑" w:eastAsia="微软雅黑" w:cs="宋体"/>
                <w:b/>
                <w:bCs/>
                <w:color w:val="000000"/>
                <w:kern w:val="0"/>
                <w:sz w:val="20"/>
                <w:szCs w:val="20"/>
              </w:rPr>
              <w:t>预报</w:t>
            </w:r>
          </w:p>
          <w:p>
            <w:pPr>
              <w:widowControl/>
              <w:snapToGrid w:val="0"/>
              <w:spacing w:line="240" w:lineRule="exact"/>
              <w:ind w:left="113" w:right="113"/>
              <w:jc w:val="center"/>
              <w:rPr>
                <w:rFonts w:hint="eastAsia" w:ascii="微软雅黑" w:hAnsi="微软雅黑" w:eastAsia="微软雅黑" w:cs="宋体"/>
                <w:b/>
                <w:bCs/>
                <w:color w:val="000000"/>
                <w:kern w:val="0"/>
                <w:sz w:val="20"/>
                <w:szCs w:val="20"/>
              </w:rPr>
            </w:pPr>
            <w:r>
              <w:rPr>
                <w:rFonts w:hint="eastAsia" w:ascii="微软雅黑" w:hAnsi="微软雅黑" w:eastAsia="微软雅黑" w:cs="宋体"/>
                <w:b/>
                <w:bCs/>
                <w:color w:val="000000"/>
                <w:kern w:val="0"/>
                <w:sz w:val="20"/>
                <w:szCs w:val="20"/>
              </w:rPr>
              <w:t>精准</w:t>
            </w:r>
          </w:p>
        </w:tc>
        <w:tc>
          <w:tcPr>
            <w:tcW w:w="750" w:type="dxa"/>
            <w:vAlign w:val="center"/>
          </w:tcPr>
          <w:p>
            <w:pPr>
              <w:snapToGrid w:val="0"/>
              <w:spacing w:line="240" w:lineRule="exact"/>
              <w:jc w:val="center"/>
              <w:rPr>
                <w:rFonts w:hint="eastAsia" w:ascii="微软雅黑" w:hAnsi="微软雅黑" w:eastAsia="微软雅黑" w:cs="宋体"/>
                <w:sz w:val="20"/>
                <w:szCs w:val="20"/>
              </w:rPr>
            </w:pPr>
            <w:r>
              <w:rPr>
                <w:rFonts w:hint="eastAsia" w:ascii="微软雅黑" w:hAnsi="微软雅黑" w:eastAsia="微软雅黑" w:cs="微软雅黑"/>
                <w:spacing w:val="3"/>
                <w:sz w:val="20"/>
                <w:szCs w:val="20"/>
              </w:rPr>
              <w:t>3</w:t>
            </w:r>
          </w:p>
        </w:tc>
        <w:tc>
          <w:tcPr>
            <w:tcW w:w="2272" w:type="dxa"/>
            <w:vAlign w:val="center"/>
          </w:tcPr>
          <w:p>
            <w:pPr>
              <w:widowControl/>
              <w:snapToGrid w:val="0"/>
              <w:spacing w:line="240" w:lineRule="exact"/>
              <w:jc w:val="center"/>
              <w:rPr>
                <w:rFonts w:hint="eastAsia" w:ascii="微软雅黑" w:hAnsi="微软雅黑" w:eastAsia="微软雅黑" w:cs="宋体"/>
                <w:color w:val="000000"/>
                <w:sz w:val="20"/>
                <w:szCs w:val="20"/>
              </w:rPr>
            </w:pPr>
            <w:r>
              <w:rPr>
                <w:rFonts w:hint="eastAsia" w:ascii="微软雅黑" w:hAnsi="微软雅黑" w:eastAsia="微软雅黑" w:cs="宋体"/>
                <w:color w:val="000000"/>
                <w:sz w:val="20"/>
                <w:szCs w:val="20"/>
              </w:rPr>
              <w:t>强对流天气预警提前量</w:t>
            </w:r>
          </w:p>
        </w:tc>
        <w:tc>
          <w:tcPr>
            <w:tcW w:w="1313" w:type="dxa"/>
            <w:vAlign w:val="center"/>
          </w:tcPr>
          <w:p>
            <w:pPr>
              <w:widowControl/>
              <w:snapToGrid w:val="0"/>
              <w:spacing w:line="240" w:lineRule="exact"/>
              <w:jc w:val="center"/>
              <w:rPr>
                <w:rFonts w:hint="eastAsia" w:ascii="微软雅黑" w:hAnsi="微软雅黑" w:eastAsia="微软雅黑" w:cs="宋体"/>
                <w:color w:val="000000"/>
                <w:sz w:val="20"/>
                <w:szCs w:val="20"/>
              </w:rPr>
            </w:pPr>
            <w:r>
              <w:rPr>
                <w:rFonts w:hint="eastAsia" w:ascii="微软雅黑" w:hAnsi="微软雅黑" w:eastAsia="微软雅黑" w:cs="宋体"/>
                <w:color w:val="000000"/>
                <w:sz w:val="20"/>
                <w:szCs w:val="20"/>
              </w:rPr>
              <w:t>256分钟</w:t>
            </w:r>
          </w:p>
        </w:tc>
        <w:tc>
          <w:tcPr>
            <w:tcW w:w="1365" w:type="dxa"/>
            <w:vAlign w:val="center"/>
          </w:tcPr>
          <w:p>
            <w:pPr>
              <w:widowControl/>
              <w:snapToGrid w:val="0"/>
              <w:spacing w:line="240" w:lineRule="exact"/>
              <w:jc w:val="center"/>
              <w:rPr>
                <w:rFonts w:hint="eastAsia" w:ascii="微软雅黑" w:hAnsi="微软雅黑" w:eastAsia="微软雅黑" w:cs="宋体"/>
                <w:color w:val="000000"/>
                <w:sz w:val="20"/>
                <w:szCs w:val="20"/>
              </w:rPr>
            </w:pPr>
            <w:r>
              <w:rPr>
                <w:rFonts w:hint="eastAsia" w:ascii="微软雅黑" w:hAnsi="微软雅黑" w:eastAsia="微软雅黑" w:cs="宋体"/>
                <w:color w:val="000000"/>
                <w:sz w:val="20"/>
                <w:szCs w:val="20"/>
              </w:rPr>
              <w:t>300分钟</w:t>
            </w:r>
          </w:p>
        </w:tc>
        <w:tc>
          <w:tcPr>
            <w:tcW w:w="966" w:type="dxa"/>
            <w:vAlign w:val="center"/>
          </w:tcPr>
          <w:p>
            <w:pPr>
              <w:snapToGrid w:val="0"/>
              <w:jc w:val="center"/>
              <w:rPr>
                <w:rFonts w:hint="eastAsia" w:ascii="微软雅黑" w:hAnsi="微软雅黑" w:eastAsia="微软雅黑" w:cs="微软雅黑"/>
                <w:sz w:val="20"/>
                <w:szCs w:val="20"/>
              </w:rPr>
            </w:pPr>
            <w:r>
              <w:rPr>
                <w:rFonts w:hint="eastAsia" w:ascii="微软雅黑" w:hAnsi="微软雅黑" w:eastAsia="微软雅黑" w:cs="宋体"/>
                <w:color w:val="000000"/>
                <w:sz w:val="20"/>
                <w:szCs w:val="20"/>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4" w:hRule="atLeast"/>
          <w:jc w:val="center"/>
        </w:trPr>
        <w:tc>
          <w:tcPr>
            <w:tcW w:w="1274" w:type="dxa"/>
            <w:vMerge w:val="continue"/>
            <w:vAlign w:val="center"/>
          </w:tcPr>
          <w:p>
            <w:pPr>
              <w:widowControl/>
              <w:snapToGrid w:val="0"/>
              <w:spacing w:line="240" w:lineRule="exact"/>
              <w:ind w:left="113" w:right="113"/>
              <w:jc w:val="center"/>
              <w:rPr>
                <w:rFonts w:hint="eastAsia" w:ascii="微软雅黑" w:hAnsi="微软雅黑" w:eastAsia="微软雅黑" w:cs="宋体"/>
                <w:b/>
                <w:spacing w:val="3"/>
                <w:sz w:val="20"/>
                <w:szCs w:val="20"/>
              </w:rPr>
            </w:pPr>
          </w:p>
        </w:tc>
        <w:tc>
          <w:tcPr>
            <w:tcW w:w="750" w:type="dxa"/>
            <w:vAlign w:val="center"/>
          </w:tcPr>
          <w:p>
            <w:pPr>
              <w:snapToGrid w:val="0"/>
              <w:spacing w:line="240" w:lineRule="exact"/>
              <w:jc w:val="center"/>
              <w:rPr>
                <w:rFonts w:hint="eastAsia" w:ascii="微软雅黑" w:hAnsi="微软雅黑" w:eastAsia="微软雅黑" w:cs="宋体"/>
                <w:color w:val="000000"/>
                <w:sz w:val="20"/>
                <w:szCs w:val="20"/>
              </w:rPr>
            </w:pPr>
            <w:r>
              <w:rPr>
                <w:rFonts w:hint="eastAsia" w:ascii="微软雅黑" w:hAnsi="微软雅黑" w:eastAsia="微软雅黑" w:cs="宋体"/>
                <w:color w:val="000000"/>
                <w:sz w:val="20"/>
                <w:szCs w:val="20"/>
              </w:rPr>
              <w:t>4</w:t>
            </w:r>
          </w:p>
        </w:tc>
        <w:tc>
          <w:tcPr>
            <w:tcW w:w="2272" w:type="dxa"/>
            <w:vAlign w:val="center"/>
          </w:tcPr>
          <w:p>
            <w:pPr>
              <w:widowControl/>
              <w:snapToGrid w:val="0"/>
              <w:spacing w:line="240" w:lineRule="exact"/>
              <w:jc w:val="center"/>
              <w:rPr>
                <w:rFonts w:hint="eastAsia" w:ascii="微软雅黑" w:hAnsi="微软雅黑" w:eastAsia="微软雅黑" w:cs="宋体"/>
                <w:color w:val="000000"/>
                <w:sz w:val="20"/>
                <w:szCs w:val="20"/>
              </w:rPr>
            </w:pPr>
            <w:r>
              <w:rPr>
                <w:rFonts w:hint="eastAsia" w:ascii="微软雅黑" w:hAnsi="微软雅黑" w:eastAsia="微软雅黑" w:cs="宋体"/>
                <w:color w:val="000000"/>
                <w:sz w:val="20"/>
                <w:szCs w:val="20"/>
              </w:rPr>
              <w:t>气象灾害风险预估产品</w:t>
            </w:r>
          </w:p>
        </w:tc>
        <w:tc>
          <w:tcPr>
            <w:tcW w:w="1313" w:type="dxa"/>
            <w:vAlign w:val="center"/>
          </w:tcPr>
          <w:p>
            <w:pPr>
              <w:widowControl/>
              <w:snapToGrid w:val="0"/>
              <w:spacing w:line="240" w:lineRule="exact"/>
              <w:jc w:val="center"/>
              <w:rPr>
                <w:rFonts w:hint="eastAsia" w:ascii="微软雅黑" w:hAnsi="微软雅黑" w:eastAsia="微软雅黑" w:cs="宋体"/>
                <w:color w:val="000000"/>
                <w:sz w:val="20"/>
                <w:szCs w:val="20"/>
              </w:rPr>
            </w:pPr>
            <w:r>
              <w:rPr>
                <w:rFonts w:hint="eastAsia" w:ascii="微软雅黑" w:hAnsi="微软雅黑" w:eastAsia="微软雅黑" w:cs="宋体"/>
                <w:color w:val="000000"/>
                <w:sz w:val="20"/>
                <w:szCs w:val="20"/>
              </w:rPr>
              <w:t>无</w:t>
            </w:r>
          </w:p>
        </w:tc>
        <w:tc>
          <w:tcPr>
            <w:tcW w:w="1365" w:type="dxa"/>
            <w:vAlign w:val="center"/>
          </w:tcPr>
          <w:p>
            <w:pPr>
              <w:widowControl/>
              <w:snapToGrid w:val="0"/>
              <w:spacing w:line="240" w:lineRule="exact"/>
              <w:jc w:val="center"/>
              <w:rPr>
                <w:rFonts w:hint="eastAsia" w:ascii="微软雅黑" w:hAnsi="微软雅黑" w:eastAsia="微软雅黑" w:cs="宋体"/>
                <w:color w:val="000000"/>
                <w:sz w:val="20"/>
                <w:szCs w:val="20"/>
              </w:rPr>
            </w:pPr>
            <w:r>
              <w:rPr>
                <w:rFonts w:hint="eastAsia" w:ascii="微软雅黑" w:hAnsi="微软雅黑" w:eastAsia="微软雅黑" w:cs="宋体"/>
                <w:color w:val="000000"/>
                <w:sz w:val="20"/>
                <w:szCs w:val="20"/>
              </w:rPr>
              <w:t>有</w:t>
            </w:r>
          </w:p>
        </w:tc>
        <w:tc>
          <w:tcPr>
            <w:tcW w:w="966" w:type="dxa"/>
            <w:vAlign w:val="center"/>
          </w:tcPr>
          <w:p>
            <w:pPr>
              <w:widowControl/>
              <w:snapToGrid w:val="0"/>
              <w:spacing w:line="240" w:lineRule="exact"/>
              <w:jc w:val="center"/>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7" w:hRule="atLeast"/>
          <w:jc w:val="center"/>
        </w:trPr>
        <w:tc>
          <w:tcPr>
            <w:tcW w:w="1274" w:type="dxa"/>
            <w:vMerge w:val="restart"/>
            <w:vAlign w:val="center"/>
          </w:tcPr>
          <w:p>
            <w:pPr>
              <w:widowControl/>
              <w:snapToGrid w:val="0"/>
              <w:spacing w:line="240" w:lineRule="exact"/>
              <w:ind w:left="113" w:right="113"/>
              <w:jc w:val="center"/>
              <w:rPr>
                <w:rFonts w:hint="eastAsia" w:ascii="微软雅黑" w:hAnsi="微软雅黑" w:eastAsia="微软雅黑" w:cs="宋体"/>
                <w:b/>
                <w:spacing w:val="3"/>
                <w:sz w:val="20"/>
                <w:szCs w:val="20"/>
              </w:rPr>
            </w:pPr>
            <w:r>
              <w:rPr>
                <w:rFonts w:hint="eastAsia" w:ascii="微软雅黑" w:hAnsi="微软雅黑" w:eastAsia="微软雅黑" w:cs="宋体"/>
                <w:b/>
                <w:spacing w:val="3"/>
                <w:sz w:val="20"/>
                <w:szCs w:val="20"/>
              </w:rPr>
              <w:t>服务</w:t>
            </w:r>
          </w:p>
          <w:p>
            <w:pPr>
              <w:widowControl/>
              <w:snapToGrid w:val="0"/>
              <w:spacing w:line="240" w:lineRule="exact"/>
              <w:ind w:left="113" w:right="113"/>
              <w:jc w:val="center"/>
              <w:rPr>
                <w:rFonts w:hint="eastAsia" w:ascii="微软雅黑" w:hAnsi="微软雅黑" w:eastAsia="微软雅黑" w:cs="宋体"/>
                <w:b/>
                <w:spacing w:val="3"/>
                <w:sz w:val="20"/>
                <w:szCs w:val="20"/>
              </w:rPr>
            </w:pPr>
            <w:r>
              <w:rPr>
                <w:rFonts w:hint="eastAsia" w:ascii="微软雅黑" w:hAnsi="微软雅黑" w:eastAsia="微软雅黑" w:cs="宋体"/>
                <w:b/>
                <w:spacing w:val="3"/>
                <w:sz w:val="20"/>
                <w:szCs w:val="20"/>
              </w:rPr>
              <w:t>精细</w:t>
            </w:r>
          </w:p>
        </w:tc>
        <w:tc>
          <w:tcPr>
            <w:tcW w:w="750" w:type="dxa"/>
            <w:vAlign w:val="center"/>
          </w:tcPr>
          <w:p>
            <w:pPr>
              <w:snapToGrid w:val="0"/>
              <w:spacing w:line="240" w:lineRule="exact"/>
              <w:jc w:val="center"/>
              <w:rPr>
                <w:rFonts w:hint="eastAsia" w:ascii="微软雅黑" w:hAnsi="微软雅黑" w:eastAsia="微软雅黑" w:cs="宋体"/>
                <w:spacing w:val="3"/>
                <w:sz w:val="20"/>
                <w:szCs w:val="20"/>
              </w:rPr>
            </w:pPr>
            <w:r>
              <w:rPr>
                <w:rFonts w:hint="eastAsia" w:ascii="微软雅黑" w:hAnsi="微软雅黑" w:eastAsia="微软雅黑" w:cs="宋体"/>
                <w:spacing w:val="3"/>
                <w:sz w:val="20"/>
                <w:szCs w:val="20"/>
              </w:rPr>
              <w:t>5</w:t>
            </w:r>
          </w:p>
        </w:tc>
        <w:tc>
          <w:tcPr>
            <w:tcW w:w="2272" w:type="dxa"/>
            <w:vAlign w:val="center"/>
          </w:tcPr>
          <w:p>
            <w:pPr>
              <w:widowControl/>
              <w:snapToGrid w:val="0"/>
              <w:spacing w:line="240" w:lineRule="exact"/>
              <w:jc w:val="center"/>
              <w:rPr>
                <w:rFonts w:hint="eastAsia" w:ascii="微软雅黑" w:hAnsi="微软雅黑" w:eastAsia="微软雅黑" w:cs="宋体"/>
                <w:color w:val="000000"/>
                <w:sz w:val="20"/>
                <w:szCs w:val="20"/>
              </w:rPr>
            </w:pPr>
            <w:r>
              <w:rPr>
                <w:rFonts w:hint="eastAsia" w:ascii="微软雅黑" w:hAnsi="微软雅黑" w:eastAsia="微软雅黑" w:cs="宋体"/>
                <w:color w:val="000000"/>
                <w:sz w:val="20"/>
                <w:szCs w:val="20"/>
              </w:rPr>
              <w:t>公众气象服务满意度</w:t>
            </w:r>
          </w:p>
        </w:tc>
        <w:tc>
          <w:tcPr>
            <w:tcW w:w="1313" w:type="dxa"/>
            <w:vAlign w:val="center"/>
          </w:tcPr>
          <w:p>
            <w:pPr>
              <w:widowControl/>
              <w:snapToGrid w:val="0"/>
              <w:spacing w:line="240" w:lineRule="exact"/>
              <w:jc w:val="center"/>
              <w:rPr>
                <w:rFonts w:hint="eastAsia" w:ascii="微软雅黑" w:hAnsi="微软雅黑" w:eastAsia="微软雅黑" w:cs="宋体"/>
                <w:color w:val="000000"/>
                <w:sz w:val="20"/>
                <w:szCs w:val="20"/>
              </w:rPr>
            </w:pPr>
            <w:r>
              <w:rPr>
                <w:rFonts w:hint="eastAsia" w:ascii="微软雅黑" w:hAnsi="微软雅黑" w:eastAsia="微软雅黑" w:cs="宋体"/>
                <w:color w:val="000000"/>
                <w:sz w:val="20"/>
                <w:szCs w:val="20"/>
              </w:rPr>
              <w:t>95.1</w:t>
            </w:r>
          </w:p>
        </w:tc>
        <w:tc>
          <w:tcPr>
            <w:tcW w:w="1365" w:type="dxa"/>
            <w:vAlign w:val="center"/>
          </w:tcPr>
          <w:p>
            <w:pPr>
              <w:widowControl/>
              <w:snapToGrid w:val="0"/>
              <w:spacing w:line="240" w:lineRule="exact"/>
              <w:jc w:val="center"/>
              <w:rPr>
                <w:rFonts w:hint="eastAsia" w:ascii="微软雅黑" w:hAnsi="微软雅黑" w:eastAsia="微软雅黑" w:cs="宋体"/>
                <w:color w:val="000000"/>
                <w:sz w:val="20"/>
                <w:szCs w:val="20"/>
              </w:rPr>
            </w:pPr>
            <w:r>
              <w:rPr>
                <w:rFonts w:hint="eastAsia" w:ascii="微软雅黑" w:hAnsi="微软雅黑" w:eastAsia="微软雅黑" w:cs="宋体"/>
                <w:color w:val="000000"/>
                <w:sz w:val="20"/>
                <w:szCs w:val="20"/>
              </w:rPr>
              <w:t>≥96.5</w:t>
            </w:r>
          </w:p>
        </w:tc>
        <w:tc>
          <w:tcPr>
            <w:tcW w:w="966" w:type="dxa"/>
            <w:vAlign w:val="center"/>
          </w:tcPr>
          <w:p>
            <w:pPr>
              <w:snapToGrid w:val="0"/>
              <w:spacing w:line="240" w:lineRule="exact"/>
              <w:jc w:val="center"/>
              <w:rPr>
                <w:rFonts w:hint="eastAsia" w:ascii="微软雅黑" w:hAnsi="微软雅黑" w:eastAsia="微软雅黑" w:cs="宋体"/>
                <w:spacing w:val="3"/>
                <w:sz w:val="20"/>
                <w:szCs w:val="20"/>
              </w:rPr>
            </w:pPr>
            <w:r>
              <w:rPr>
                <w:rFonts w:hint="eastAsia" w:ascii="微软雅黑" w:hAnsi="微软雅黑" w:eastAsia="微软雅黑" w:cs="宋体"/>
                <w:spacing w:val="3"/>
                <w:sz w:val="20"/>
                <w:szCs w:val="20"/>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6" w:hRule="atLeast"/>
          <w:jc w:val="center"/>
        </w:trPr>
        <w:tc>
          <w:tcPr>
            <w:tcW w:w="1274" w:type="dxa"/>
            <w:vMerge w:val="continue"/>
            <w:vAlign w:val="center"/>
          </w:tcPr>
          <w:p>
            <w:pPr>
              <w:snapToGrid w:val="0"/>
              <w:spacing w:line="240" w:lineRule="exact"/>
              <w:rPr>
                <w:rFonts w:hint="eastAsia" w:ascii="微软雅黑" w:hAnsi="微软雅黑" w:eastAsia="微软雅黑" w:cs="宋体"/>
                <w:b/>
                <w:spacing w:val="3"/>
                <w:sz w:val="20"/>
                <w:szCs w:val="20"/>
              </w:rPr>
            </w:pPr>
          </w:p>
        </w:tc>
        <w:tc>
          <w:tcPr>
            <w:tcW w:w="750" w:type="dxa"/>
            <w:vAlign w:val="center"/>
          </w:tcPr>
          <w:p>
            <w:pPr>
              <w:snapToGrid w:val="0"/>
              <w:spacing w:line="240" w:lineRule="exact"/>
              <w:jc w:val="center"/>
              <w:rPr>
                <w:rFonts w:hint="eastAsia" w:ascii="微软雅黑" w:hAnsi="微软雅黑" w:eastAsia="微软雅黑" w:cs="宋体"/>
                <w:spacing w:val="3"/>
                <w:sz w:val="20"/>
                <w:szCs w:val="20"/>
              </w:rPr>
            </w:pPr>
            <w:r>
              <w:rPr>
                <w:rFonts w:hint="eastAsia" w:ascii="微软雅黑" w:hAnsi="微软雅黑" w:eastAsia="微软雅黑" w:cs="宋体"/>
                <w:spacing w:val="3"/>
                <w:sz w:val="20"/>
                <w:szCs w:val="20"/>
              </w:rPr>
              <w:t>6</w:t>
            </w:r>
          </w:p>
        </w:tc>
        <w:tc>
          <w:tcPr>
            <w:tcW w:w="2272" w:type="dxa"/>
            <w:vAlign w:val="center"/>
          </w:tcPr>
          <w:p>
            <w:pPr>
              <w:widowControl/>
              <w:snapToGrid w:val="0"/>
              <w:spacing w:line="240" w:lineRule="exact"/>
              <w:jc w:val="center"/>
              <w:rPr>
                <w:rFonts w:hint="eastAsia" w:ascii="微软雅黑" w:hAnsi="微软雅黑" w:eastAsia="微软雅黑" w:cs="宋体"/>
                <w:color w:val="000000"/>
                <w:sz w:val="20"/>
                <w:szCs w:val="20"/>
              </w:rPr>
            </w:pPr>
            <w:r>
              <w:rPr>
                <w:rFonts w:hint="eastAsia" w:ascii="微软雅黑" w:hAnsi="微软雅黑" w:eastAsia="微软雅黑" w:cs="宋体"/>
                <w:color w:val="000000"/>
                <w:sz w:val="20"/>
                <w:szCs w:val="20"/>
              </w:rPr>
              <w:t>气象信息化服务覆盖率</w:t>
            </w:r>
          </w:p>
        </w:tc>
        <w:tc>
          <w:tcPr>
            <w:tcW w:w="1313" w:type="dxa"/>
            <w:vAlign w:val="center"/>
          </w:tcPr>
          <w:p>
            <w:pPr>
              <w:widowControl/>
              <w:snapToGrid w:val="0"/>
              <w:spacing w:line="240" w:lineRule="exact"/>
              <w:jc w:val="center"/>
              <w:rPr>
                <w:rFonts w:hint="eastAsia" w:ascii="微软雅黑" w:hAnsi="微软雅黑" w:eastAsia="微软雅黑" w:cs="宋体"/>
                <w:color w:val="000000"/>
                <w:sz w:val="20"/>
                <w:szCs w:val="20"/>
              </w:rPr>
            </w:pPr>
            <w:r>
              <w:rPr>
                <w:rFonts w:hint="eastAsia" w:ascii="微软雅黑" w:hAnsi="微软雅黑" w:eastAsia="微软雅黑" w:cs="宋体"/>
                <w:color w:val="000000"/>
                <w:sz w:val="20"/>
                <w:szCs w:val="20"/>
              </w:rPr>
              <w:t>53.1</w:t>
            </w:r>
          </w:p>
        </w:tc>
        <w:tc>
          <w:tcPr>
            <w:tcW w:w="1365" w:type="dxa"/>
            <w:vAlign w:val="center"/>
          </w:tcPr>
          <w:p>
            <w:pPr>
              <w:widowControl/>
              <w:snapToGrid w:val="0"/>
              <w:spacing w:line="240" w:lineRule="exact"/>
              <w:jc w:val="center"/>
              <w:rPr>
                <w:rFonts w:hint="eastAsia" w:ascii="微软雅黑" w:hAnsi="微软雅黑" w:eastAsia="微软雅黑" w:cs="宋体"/>
                <w:color w:val="000000"/>
                <w:sz w:val="20"/>
                <w:szCs w:val="20"/>
              </w:rPr>
            </w:pPr>
            <w:r>
              <w:rPr>
                <w:rFonts w:hint="eastAsia" w:ascii="微软雅黑" w:hAnsi="微软雅黑" w:eastAsia="微软雅黑" w:cs="宋体"/>
                <w:color w:val="000000"/>
                <w:sz w:val="20"/>
                <w:szCs w:val="20"/>
              </w:rPr>
              <w:t>70</w:t>
            </w:r>
          </w:p>
        </w:tc>
        <w:tc>
          <w:tcPr>
            <w:tcW w:w="966" w:type="dxa"/>
            <w:vAlign w:val="center"/>
          </w:tcPr>
          <w:p>
            <w:pPr>
              <w:snapToGrid w:val="0"/>
              <w:spacing w:line="240" w:lineRule="exact"/>
              <w:jc w:val="center"/>
              <w:rPr>
                <w:rFonts w:hint="eastAsia" w:ascii="微软雅黑" w:hAnsi="微软雅黑" w:eastAsia="微软雅黑" w:cs="宋体"/>
                <w:spacing w:val="3"/>
                <w:sz w:val="20"/>
                <w:szCs w:val="20"/>
              </w:rPr>
            </w:pPr>
            <w:r>
              <w:rPr>
                <w:rFonts w:hint="eastAsia" w:ascii="微软雅黑" w:hAnsi="微软雅黑" w:eastAsia="微软雅黑" w:cs="宋体"/>
                <w:spacing w:val="3"/>
                <w:sz w:val="20"/>
                <w:szCs w:val="20"/>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0" w:hRule="atLeast"/>
          <w:jc w:val="center"/>
        </w:trPr>
        <w:tc>
          <w:tcPr>
            <w:tcW w:w="1274" w:type="dxa"/>
            <w:vAlign w:val="center"/>
          </w:tcPr>
          <w:p>
            <w:pPr>
              <w:widowControl/>
              <w:snapToGrid w:val="0"/>
              <w:spacing w:line="240" w:lineRule="exact"/>
              <w:ind w:left="113" w:right="113"/>
              <w:jc w:val="center"/>
              <w:rPr>
                <w:rFonts w:hint="eastAsia" w:ascii="微软雅黑" w:hAnsi="微软雅黑" w:eastAsia="微软雅黑" w:cs="宋体"/>
                <w:b/>
                <w:bCs/>
                <w:color w:val="000000"/>
                <w:kern w:val="0"/>
                <w:sz w:val="20"/>
                <w:szCs w:val="20"/>
              </w:rPr>
            </w:pPr>
            <w:r>
              <w:rPr>
                <w:rFonts w:hint="eastAsia" w:ascii="微软雅黑" w:hAnsi="微软雅黑" w:eastAsia="微软雅黑" w:cs="宋体"/>
                <w:b/>
                <w:bCs/>
                <w:color w:val="000000"/>
                <w:kern w:val="0"/>
                <w:sz w:val="20"/>
                <w:szCs w:val="20"/>
              </w:rPr>
              <w:t>管理</w:t>
            </w:r>
          </w:p>
          <w:p>
            <w:pPr>
              <w:widowControl/>
              <w:snapToGrid w:val="0"/>
              <w:spacing w:line="240" w:lineRule="exact"/>
              <w:ind w:left="113" w:right="113"/>
              <w:jc w:val="center"/>
              <w:rPr>
                <w:rFonts w:hint="eastAsia" w:ascii="微软雅黑" w:hAnsi="微软雅黑" w:eastAsia="微软雅黑" w:cs="宋体"/>
                <w:b/>
                <w:bCs/>
                <w:color w:val="000000"/>
                <w:kern w:val="0"/>
                <w:sz w:val="20"/>
                <w:szCs w:val="20"/>
              </w:rPr>
            </w:pPr>
            <w:r>
              <w:rPr>
                <w:rFonts w:hint="eastAsia" w:ascii="微软雅黑" w:hAnsi="微软雅黑" w:eastAsia="微软雅黑" w:cs="宋体"/>
                <w:b/>
                <w:bCs/>
                <w:color w:val="000000"/>
                <w:kern w:val="0"/>
                <w:sz w:val="20"/>
                <w:szCs w:val="20"/>
              </w:rPr>
              <w:t>规范</w:t>
            </w:r>
          </w:p>
        </w:tc>
        <w:tc>
          <w:tcPr>
            <w:tcW w:w="750" w:type="dxa"/>
            <w:vAlign w:val="center"/>
          </w:tcPr>
          <w:p>
            <w:pPr>
              <w:snapToGrid w:val="0"/>
              <w:spacing w:line="240" w:lineRule="exact"/>
              <w:jc w:val="center"/>
              <w:rPr>
                <w:rFonts w:hint="eastAsia" w:ascii="微软雅黑" w:hAnsi="微软雅黑" w:eastAsia="微软雅黑" w:cs="宋体"/>
                <w:spacing w:val="3"/>
                <w:sz w:val="20"/>
                <w:szCs w:val="20"/>
              </w:rPr>
            </w:pPr>
            <w:r>
              <w:rPr>
                <w:rFonts w:hint="eastAsia" w:ascii="微软雅黑" w:hAnsi="微软雅黑" w:eastAsia="微软雅黑" w:cs="宋体"/>
                <w:spacing w:val="3"/>
                <w:sz w:val="20"/>
                <w:szCs w:val="20"/>
              </w:rPr>
              <w:t>7</w:t>
            </w:r>
          </w:p>
        </w:tc>
        <w:tc>
          <w:tcPr>
            <w:tcW w:w="2272" w:type="dxa"/>
            <w:vAlign w:val="center"/>
          </w:tcPr>
          <w:p>
            <w:pPr>
              <w:widowControl/>
              <w:snapToGrid w:val="0"/>
              <w:spacing w:line="240" w:lineRule="exact"/>
              <w:jc w:val="center"/>
              <w:rPr>
                <w:rFonts w:hint="eastAsia" w:ascii="微软雅黑" w:hAnsi="微软雅黑" w:eastAsia="微软雅黑" w:cs="宋体"/>
                <w:color w:val="000000"/>
                <w:sz w:val="20"/>
                <w:szCs w:val="20"/>
              </w:rPr>
            </w:pPr>
            <w:r>
              <w:rPr>
                <w:rFonts w:hint="eastAsia" w:ascii="微软雅黑" w:hAnsi="微软雅黑" w:eastAsia="微软雅黑" w:cs="宋体"/>
                <w:color w:val="000000"/>
                <w:sz w:val="20"/>
                <w:szCs w:val="20"/>
              </w:rPr>
              <w:t>气象行政执法非现场执法占比</w:t>
            </w:r>
          </w:p>
        </w:tc>
        <w:tc>
          <w:tcPr>
            <w:tcW w:w="1313" w:type="dxa"/>
            <w:vAlign w:val="center"/>
          </w:tcPr>
          <w:p>
            <w:pPr>
              <w:widowControl/>
              <w:snapToGrid w:val="0"/>
              <w:spacing w:line="240" w:lineRule="exact"/>
              <w:jc w:val="center"/>
              <w:rPr>
                <w:rFonts w:hint="eastAsia" w:ascii="微软雅黑" w:hAnsi="微软雅黑" w:eastAsia="微软雅黑" w:cs="宋体"/>
                <w:color w:val="000000"/>
                <w:sz w:val="20"/>
                <w:szCs w:val="20"/>
              </w:rPr>
            </w:pPr>
            <w:r>
              <w:rPr>
                <w:rFonts w:hint="eastAsia" w:ascii="微软雅黑" w:hAnsi="微软雅黑" w:eastAsia="微软雅黑" w:cs="宋体"/>
                <w:color w:val="000000"/>
                <w:sz w:val="20"/>
                <w:szCs w:val="20"/>
              </w:rPr>
              <w:t>50%</w:t>
            </w:r>
          </w:p>
        </w:tc>
        <w:tc>
          <w:tcPr>
            <w:tcW w:w="1365" w:type="dxa"/>
            <w:vAlign w:val="center"/>
          </w:tcPr>
          <w:p>
            <w:pPr>
              <w:widowControl/>
              <w:snapToGrid w:val="0"/>
              <w:spacing w:line="240" w:lineRule="exact"/>
              <w:jc w:val="center"/>
              <w:rPr>
                <w:rFonts w:hint="eastAsia" w:ascii="微软雅黑" w:hAnsi="微软雅黑" w:eastAsia="微软雅黑" w:cs="宋体"/>
                <w:color w:val="000000"/>
                <w:sz w:val="20"/>
                <w:szCs w:val="20"/>
              </w:rPr>
            </w:pPr>
            <w:r>
              <w:rPr>
                <w:rFonts w:hint="eastAsia" w:ascii="微软雅黑" w:hAnsi="微软雅黑" w:eastAsia="微软雅黑" w:cs="宋体"/>
                <w:color w:val="000000"/>
                <w:sz w:val="20"/>
                <w:szCs w:val="20"/>
                <w:lang w:val="en-US" w:eastAsia="zh-CN"/>
              </w:rPr>
              <w:t>70</w:t>
            </w:r>
            <w:r>
              <w:rPr>
                <w:rFonts w:hint="eastAsia" w:ascii="微软雅黑" w:hAnsi="微软雅黑" w:eastAsia="微软雅黑" w:cs="宋体"/>
                <w:color w:val="000000"/>
                <w:sz w:val="20"/>
                <w:szCs w:val="20"/>
              </w:rPr>
              <w:t>%</w:t>
            </w:r>
          </w:p>
        </w:tc>
        <w:tc>
          <w:tcPr>
            <w:tcW w:w="966" w:type="dxa"/>
            <w:vAlign w:val="center"/>
          </w:tcPr>
          <w:p>
            <w:pPr>
              <w:snapToGrid w:val="0"/>
              <w:spacing w:line="240" w:lineRule="exact"/>
              <w:rPr>
                <w:rFonts w:hint="eastAsia" w:ascii="微软雅黑" w:hAnsi="微软雅黑" w:eastAsia="微软雅黑" w:cs="宋体"/>
                <w:spacing w:val="3"/>
                <w:sz w:val="20"/>
                <w:szCs w:val="20"/>
                <w:lang w:val="en"/>
              </w:rPr>
            </w:pPr>
            <w:r>
              <w:rPr>
                <w:rFonts w:hint="eastAsia" w:ascii="微软雅黑" w:hAnsi="微软雅黑" w:eastAsia="微软雅黑" w:cs="宋体"/>
                <w:spacing w:val="3"/>
                <w:sz w:val="20"/>
                <w:szCs w:val="20"/>
              </w:rPr>
              <w:t>预期性</w:t>
            </w:r>
          </w:p>
        </w:tc>
      </w:tr>
      <w:bookmarkEnd w:id="16"/>
    </w:tbl>
    <w:p>
      <w:pPr>
        <w:rPr>
          <w:rFonts w:hint="eastAsia" w:ascii="黑体" w:hAnsi="黑体" w:eastAsia="黑体"/>
          <w:sz w:val="32"/>
          <w:szCs w:val="32"/>
        </w:rPr>
      </w:pPr>
    </w:p>
    <w:p>
      <w:pPr>
        <w:rPr>
          <w:rFonts w:hint="eastAsia" w:ascii="黑体" w:hAnsi="黑体" w:eastAsia="黑体" w:cs="黑体"/>
          <w:sz w:val="36"/>
          <w:szCs w:val="36"/>
        </w:rPr>
      </w:pPr>
      <w:bookmarkStart w:id="17" w:name="_Toc14895"/>
      <w:r>
        <w:rPr>
          <w:rFonts w:hint="eastAsia" w:ascii="黑体" w:hAnsi="黑体" w:eastAsia="黑体" w:cs="黑体"/>
          <w:sz w:val="36"/>
          <w:szCs w:val="36"/>
        </w:rPr>
        <w:br w:type="page"/>
      </w:r>
    </w:p>
    <w:p>
      <w:pPr>
        <w:pStyle w:val="3"/>
        <w:adjustRightInd w:val="0"/>
        <w:snapToGrid w:val="0"/>
        <w:spacing w:before="0" w:after="0" w:line="560" w:lineRule="exact"/>
        <w:jc w:val="center"/>
        <w:rPr>
          <w:rFonts w:hint="eastAsia" w:ascii="黑体" w:hAnsi="黑体" w:eastAsia="黑体" w:cs="黑体"/>
          <w:b w:val="0"/>
          <w:bCs w:val="0"/>
          <w:sz w:val="36"/>
          <w:szCs w:val="36"/>
        </w:rPr>
      </w:pPr>
      <w:bookmarkStart w:id="18" w:name="_Toc238918046"/>
      <w:r>
        <w:rPr>
          <w:rFonts w:hint="eastAsia" w:ascii="黑体" w:hAnsi="黑体" w:eastAsia="黑体" w:cs="黑体"/>
          <w:b w:val="0"/>
          <w:bCs w:val="0"/>
          <w:sz w:val="36"/>
          <w:szCs w:val="36"/>
        </w:rPr>
        <w:t>第二章  主要任务</w:t>
      </w:r>
      <w:bookmarkEnd w:id="17"/>
      <w:bookmarkEnd w:id="18"/>
    </w:p>
    <w:p>
      <w:pPr>
        <w:pStyle w:val="4"/>
        <w:adjustRightInd w:val="0"/>
        <w:snapToGrid w:val="0"/>
        <w:spacing w:before="156" w:beforeLines="50" w:after="0" w:line="560" w:lineRule="exact"/>
        <w:ind w:firstLine="640" w:firstLineChars="200"/>
        <w:rPr>
          <w:rFonts w:hint="eastAsia" w:ascii="黑体" w:hAnsi="黑体" w:eastAsia="黑体" w:cs="黑体"/>
          <w:b w:val="0"/>
          <w:bCs w:val="0"/>
        </w:rPr>
      </w:pPr>
      <w:bookmarkStart w:id="19" w:name="_Toc14930"/>
      <w:bookmarkStart w:id="20" w:name="_Toc238918047"/>
      <w:r>
        <w:rPr>
          <w:rFonts w:hint="eastAsia" w:ascii="黑体" w:hAnsi="黑体" w:eastAsia="黑体" w:cs="黑体"/>
          <w:b w:val="0"/>
          <w:bCs w:val="0"/>
        </w:rPr>
        <w:t>一、筑牢气象防灾减灾第一道防线</w:t>
      </w:r>
      <w:bookmarkEnd w:id="19"/>
      <w:bookmarkEnd w:id="20"/>
    </w:p>
    <w:p>
      <w:pPr>
        <w:pStyle w:val="5"/>
        <w:adjustRightInd w:val="0"/>
        <w:ind w:firstLine="643"/>
        <w:rPr>
          <w:rFonts w:hint="eastAsia" w:ascii="仿宋_GB2312"/>
        </w:rPr>
      </w:pPr>
      <w:bookmarkStart w:id="21" w:name="_Toc238918048"/>
      <w:bookmarkStart w:id="22" w:name="_Toc6186"/>
      <w:r>
        <w:rPr>
          <w:rFonts w:hint="eastAsia" w:ascii="仿宋_GB2312"/>
        </w:rPr>
        <w:t>1.加强气象防灾减灾机制建设</w:t>
      </w:r>
      <w:bookmarkEnd w:id="21"/>
      <w:bookmarkEnd w:id="22"/>
    </w:p>
    <w:p>
      <w:pPr>
        <w:pStyle w:val="31"/>
        <w:ind w:firstLine="640"/>
        <w:rPr>
          <w:rFonts w:hint="eastAsia"/>
          <w:color w:val="auto"/>
        </w:rPr>
      </w:pPr>
      <w:r>
        <w:rPr>
          <w:rFonts w:hint="eastAsia"/>
          <w:color w:val="auto"/>
        </w:rPr>
        <w:t>聚焦气象灾害高风险区域和高敏感行业，建立健全气象灾害防御相关标准规范。优化完善气象灾害应急预案，健全以气象灾害预警为先导的多部门、跨区域联动机制。</w:t>
      </w:r>
      <w:r>
        <w:rPr>
          <w:color w:val="auto"/>
        </w:rPr>
        <w:t>推动部门数据互联互通，实现信息共享、资源互补和协同行动</w:t>
      </w:r>
      <w:r>
        <w:rPr>
          <w:rFonts w:hint="eastAsia"/>
          <w:color w:val="auto"/>
        </w:rPr>
        <w:t>。提高突发事件应急救援气象保障能力。加强气象灾害风险管理，发挥金融保险的作用，探索建立极端天气防灾避险、巨灾保险等风险转移制度。</w:t>
      </w:r>
    </w:p>
    <w:p>
      <w:pPr>
        <w:pStyle w:val="5"/>
        <w:adjustRightInd w:val="0"/>
        <w:ind w:firstLine="643"/>
        <w:rPr>
          <w:rFonts w:hint="eastAsia" w:ascii="仿宋_GB2312"/>
        </w:rPr>
      </w:pPr>
      <w:bookmarkStart w:id="23" w:name="_Toc145787399"/>
      <w:bookmarkStart w:id="24" w:name="_Toc1163158620"/>
      <w:bookmarkStart w:id="25" w:name="_Toc541284419"/>
      <w:bookmarkStart w:id="26" w:name="_Toc2045877778"/>
      <w:bookmarkStart w:id="27" w:name="_Toc1839458483"/>
      <w:bookmarkStart w:id="28" w:name="_Toc302146148"/>
      <w:bookmarkStart w:id="29" w:name="_Toc619179319"/>
      <w:bookmarkStart w:id="30" w:name="_Toc238918049"/>
      <w:bookmarkStart w:id="31" w:name="_Toc846"/>
      <w:r>
        <w:rPr>
          <w:rFonts w:hint="eastAsia" w:ascii="仿宋_GB2312"/>
        </w:rPr>
        <w:t>2.提高气象灾害风险预估</w:t>
      </w:r>
      <w:bookmarkEnd w:id="23"/>
      <w:bookmarkEnd w:id="24"/>
      <w:bookmarkEnd w:id="25"/>
      <w:bookmarkEnd w:id="26"/>
      <w:bookmarkEnd w:id="27"/>
      <w:bookmarkEnd w:id="28"/>
      <w:bookmarkEnd w:id="29"/>
      <w:r>
        <w:rPr>
          <w:rFonts w:hint="eastAsia" w:ascii="仿宋_GB2312"/>
        </w:rPr>
        <w:t>防御能力</w:t>
      </w:r>
      <w:bookmarkEnd w:id="30"/>
      <w:bookmarkEnd w:id="31"/>
    </w:p>
    <w:p>
      <w:pPr>
        <w:pStyle w:val="31"/>
        <w:ind w:firstLine="640"/>
        <w:rPr>
          <w:rFonts w:hint="eastAsia"/>
          <w:color w:val="auto"/>
        </w:rPr>
      </w:pPr>
      <w:r>
        <w:rPr>
          <w:color w:val="auto"/>
        </w:rPr>
        <w:t>建立行业</w:t>
      </w:r>
      <w:r>
        <w:rPr>
          <w:rFonts w:hint="eastAsia"/>
          <w:color w:val="auto"/>
        </w:rPr>
        <w:t>气象</w:t>
      </w:r>
      <w:r>
        <w:rPr>
          <w:color w:val="auto"/>
        </w:rPr>
        <w:t>风险</w:t>
      </w:r>
      <w:r>
        <w:rPr>
          <w:rFonts w:hint="eastAsia"/>
          <w:color w:val="auto"/>
        </w:rPr>
        <w:t>数据库</w:t>
      </w:r>
      <w:r>
        <w:rPr>
          <w:color w:val="auto"/>
        </w:rPr>
        <w:t>，系统</w:t>
      </w:r>
      <w:r>
        <w:rPr>
          <w:rFonts w:hint="eastAsia"/>
          <w:color w:val="auto"/>
        </w:rPr>
        <w:t>研究</w:t>
      </w:r>
      <w:r>
        <w:rPr>
          <w:color w:val="auto"/>
        </w:rPr>
        <w:t>量化内涝、交通、能源等城市安全运行</w:t>
      </w:r>
      <w:r>
        <w:rPr>
          <w:rFonts w:hint="eastAsia"/>
          <w:color w:val="auto"/>
        </w:rPr>
        <w:t>及</w:t>
      </w:r>
      <w:r>
        <w:rPr>
          <w:color w:val="auto"/>
        </w:rPr>
        <w:t>相关行业关键风险点，</w:t>
      </w:r>
      <w:r>
        <w:rPr>
          <w:rFonts w:hint="eastAsia"/>
          <w:color w:val="auto"/>
        </w:rPr>
        <w:t>利用气象灾害综合风险普查成果，基于主客观预报产品和致灾临界阈值，利用人工智能等新一代信息技术，建立暴雨、暴雪、高温、大风等单灾种的气象灾害风险预估模型，探索构建强对流等多灾种叠加的气象灾害综合风险预估模型，初步形成本区气象灾害风险预估业务服务产品并应用推广。</w:t>
      </w:r>
    </w:p>
    <w:p>
      <w:pPr>
        <w:pStyle w:val="5"/>
        <w:adjustRightInd w:val="0"/>
        <w:ind w:firstLine="643"/>
        <w:rPr>
          <w:rFonts w:hint="eastAsia" w:ascii="仿宋_GB2312"/>
        </w:rPr>
      </w:pPr>
      <w:bookmarkStart w:id="32" w:name="_Toc1353910428"/>
      <w:bookmarkStart w:id="33" w:name="_Toc927748964"/>
      <w:bookmarkStart w:id="34" w:name="_Toc1315923202"/>
      <w:bookmarkStart w:id="35" w:name="_Toc1667459519"/>
      <w:bookmarkStart w:id="36" w:name="_Toc91746874"/>
      <w:bookmarkStart w:id="37" w:name="_Toc1598343594"/>
      <w:bookmarkStart w:id="38" w:name="_Toc1483456244"/>
      <w:bookmarkStart w:id="39" w:name="_Toc1661478568"/>
      <w:bookmarkStart w:id="40" w:name="_Toc980518901"/>
      <w:bookmarkStart w:id="41" w:name="_Toc884209638"/>
      <w:bookmarkStart w:id="42" w:name="_Toc818122932"/>
      <w:bookmarkStart w:id="43" w:name="_Toc2067137636"/>
      <w:bookmarkStart w:id="44" w:name="_Toc1018078328"/>
      <w:bookmarkStart w:id="45" w:name="_Toc981668435"/>
      <w:bookmarkStart w:id="46" w:name="_Toc1395830541"/>
      <w:bookmarkStart w:id="47" w:name="_Toc1639888327"/>
      <w:bookmarkStart w:id="48" w:name="_Toc806099725"/>
      <w:bookmarkStart w:id="49" w:name="_Toc2048334213"/>
      <w:bookmarkStart w:id="50" w:name="_Toc1676827604"/>
      <w:bookmarkStart w:id="51" w:name="_Toc265164188"/>
      <w:bookmarkStart w:id="52" w:name="_Toc170710602"/>
      <w:bookmarkStart w:id="53" w:name="_Toc1104173011"/>
      <w:bookmarkStart w:id="54" w:name="_Toc530371808"/>
      <w:bookmarkStart w:id="55" w:name="_Toc625725697"/>
      <w:bookmarkStart w:id="56" w:name="_Toc492225123"/>
      <w:bookmarkStart w:id="57" w:name="_Toc5515"/>
      <w:bookmarkStart w:id="58" w:name="_Toc1429894585"/>
      <w:bookmarkStart w:id="59" w:name="_Toc555113803"/>
      <w:bookmarkStart w:id="60" w:name="_Toc397783073"/>
      <w:bookmarkStart w:id="61" w:name="_Toc238918050"/>
      <w:bookmarkStart w:id="62" w:name="_Toc589189491"/>
      <w:bookmarkStart w:id="63" w:name="_Toc1125324299"/>
      <w:r>
        <w:rPr>
          <w:rFonts w:hint="eastAsia" w:ascii="仿宋_GB2312"/>
        </w:rPr>
        <w:t>3.全面提升气象灾害预警能力</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31"/>
        <w:ind w:firstLine="640"/>
        <w:rPr>
          <w:rFonts w:hint="eastAsia"/>
          <w:color w:val="auto"/>
        </w:rPr>
      </w:pPr>
      <w:r>
        <w:rPr>
          <w:rFonts w:hint="eastAsia"/>
          <w:color w:val="auto"/>
        </w:rPr>
        <w:t>依托新一代信息技术和信息发布渠道，不断提升气象灾害预警信息的精准靶向发布能力，实现预警信息发布覆盖率、时效性的有效提升。</w:t>
      </w:r>
      <w:r>
        <w:rPr>
          <w:color w:val="auto"/>
        </w:rPr>
        <w:t>优化递进式气象预报预警和高级别气象灾害预警“叫应”机制，</w:t>
      </w:r>
      <w:r>
        <w:rPr>
          <w:rFonts w:hint="eastAsia"/>
          <w:color w:val="auto"/>
        </w:rPr>
        <w:t>不断提高叫应自动化、智能化水平，进一步提升</w:t>
      </w:r>
      <w:r>
        <w:rPr>
          <w:color w:val="auto"/>
        </w:rPr>
        <w:t>“早期预警”、“影响预警”、“临灾预警”能力。</w:t>
      </w:r>
    </w:p>
    <w:p>
      <w:pPr>
        <w:pStyle w:val="5"/>
        <w:adjustRightInd w:val="0"/>
        <w:ind w:firstLine="643"/>
        <w:rPr>
          <w:rFonts w:hint="eastAsia" w:ascii="仿宋_GB2312"/>
        </w:rPr>
      </w:pPr>
      <w:bookmarkStart w:id="64" w:name="_Toc238918051"/>
      <w:bookmarkStart w:id="65" w:name="_Toc32456"/>
      <w:r>
        <w:rPr>
          <w:rFonts w:hint="eastAsia" w:ascii="仿宋_GB2312"/>
        </w:rPr>
        <w:t>4.强化防灾减灾科普知识宣传</w:t>
      </w:r>
      <w:bookmarkEnd w:id="64"/>
      <w:bookmarkEnd w:id="65"/>
    </w:p>
    <w:p>
      <w:pPr>
        <w:pStyle w:val="31"/>
        <w:ind w:firstLine="640"/>
        <w:rPr>
          <w:rFonts w:hint="eastAsia"/>
          <w:color w:val="auto"/>
        </w:rPr>
      </w:pPr>
      <w:r>
        <w:rPr>
          <w:rFonts w:hint="eastAsia"/>
          <w:color w:val="auto"/>
        </w:rPr>
        <w:t>推动“3.23”世界气象日等品牌科普活动创新升级，打造一批具有气象特点的科普品牌活动。创新媒体融合发展机制，推进气象科普融媒体共建共享，实现气象科普活动专业化、品牌化、多样化全面提升。</w:t>
      </w:r>
      <w:r>
        <w:rPr>
          <w:rFonts w:hint="eastAsia" w:cs="仿宋_GB2312"/>
          <w:color w:val="000000"/>
          <w:szCs w:val="32"/>
        </w:rPr>
        <w:t>加强气象科普基础硬件建设，丰富区内气象科普场所、优化气象科普基地设备。不断增加优秀气象科普供给，</w:t>
      </w:r>
      <w:r>
        <w:rPr>
          <w:rFonts w:hint="eastAsia"/>
          <w:color w:val="auto"/>
        </w:rPr>
        <w:t>推动气象防灾减灾科普知识的传播，提升全区防灾减灾意识和科学应对能力。</w:t>
      </w:r>
    </w:p>
    <w:tbl>
      <w:tblPr>
        <w:tblStyle w:val="14"/>
        <w:tblW w:w="829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296" w:type="dxa"/>
          </w:tcPr>
          <w:p>
            <w:pPr>
              <w:spacing w:line="560" w:lineRule="exact"/>
              <w:jc w:val="center"/>
              <w:rPr>
                <w:rFonts w:hint="eastAsia" w:ascii="仿宋_GB2312" w:eastAsia="仿宋_GB2312"/>
                <w:sz w:val="32"/>
                <w:szCs w:val="32"/>
              </w:rPr>
            </w:pPr>
            <w:r>
              <w:rPr>
                <w:rFonts w:hint="eastAsia" w:ascii="楷体_GB2312" w:hAnsi="楷体_GB2312" w:eastAsia="楷体_GB2312" w:cs="楷体_GB2312"/>
                <w:b/>
                <w:sz w:val="28"/>
                <w:szCs w:val="28"/>
              </w:rPr>
              <w:t>专栏1：筑牢防灾减灾第一道防线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296" w:type="dxa"/>
          </w:tcPr>
          <w:p>
            <w:pPr>
              <w:widowControl/>
              <w:spacing w:line="560" w:lineRule="exact"/>
              <w:ind w:firstLine="643"/>
              <w:rPr>
                <w:rFonts w:ascii="宋体" w:hAnsi="Times New Roman" w:cs="宋体"/>
                <w:sz w:val="32"/>
                <w:szCs w:val="32"/>
              </w:rPr>
            </w:pPr>
            <w:r>
              <w:rPr>
                <w:rFonts w:hint="eastAsia" w:ascii="仿宋_GB2312" w:hAnsi="仿宋_GB2312" w:eastAsia="仿宋_GB2312" w:cs="仿宋_GB2312"/>
                <w:b/>
                <w:bCs/>
                <w:sz w:val="28"/>
                <w:szCs w:val="28"/>
              </w:rPr>
              <w:t>实施大兴智慧气象服务提升工程。</w:t>
            </w:r>
            <w:r>
              <w:rPr>
                <w:rFonts w:hint="eastAsia" w:ascii="仿宋_GB2312" w:hAnsi="仿宋_GB2312" w:eastAsia="仿宋_GB2312" w:cs="仿宋_GB2312"/>
                <w:sz w:val="28"/>
                <w:szCs w:val="28"/>
              </w:rPr>
              <w:t>加强监测分析与预警能力建设。构建“天地空”一体化监测数据库，实现卫星、地面、地基垂直观测等多源气象实况数据融合分析，实现灾害性天气的实时监测与定量评估。重点提升极端天气事件的预警精度，确保对高温、暴雨等异常天气的快速响应。升级智慧气象服务平台。将服务平台从网页端扩展至移动端，融入京通、京办等，全面扩大服务平台应用范围。集成数值预报模型与 AI 算法，开发灾害天气多维分析工具，同时构建分灾种致灾阈值体系，为风险预警提供科学依据。深化气象数据与生态、文旅、交通等行业数据的协同应用，基于“百米级、分钟级”高分辨率预报服务产品，研发提供支撑城市管理决策的定制化精细化预报预警服务产品。提升极端气候事件监测预测预警能力，实现对高影响天气气候事件以及极端气候事件的全过程监测，构建基于机器学习和基于物理机制的客观算法的极端气候事件预测模型。完善分级叫应机制，确保预警信息精准触达应急管理部门与公众。</w:t>
            </w:r>
          </w:p>
        </w:tc>
      </w:tr>
    </w:tbl>
    <w:p>
      <w:pPr>
        <w:pStyle w:val="4"/>
        <w:adjustRightInd w:val="0"/>
        <w:snapToGrid w:val="0"/>
        <w:spacing w:before="156" w:beforeLines="50" w:after="0" w:line="560" w:lineRule="exact"/>
        <w:ind w:firstLine="640" w:firstLineChars="200"/>
        <w:rPr>
          <w:rFonts w:hint="eastAsia" w:ascii="黑体" w:hAnsi="黑体" w:eastAsia="黑体" w:cs="黑体"/>
          <w:b w:val="0"/>
          <w:bCs w:val="0"/>
        </w:rPr>
      </w:pPr>
      <w:bookmarkStart w:id="66" w:name="_Toc21099"/>
      <w:bookmarkStart w:id="67" w:name="_Toc238918052"/>
      <w:r>
        <w:rPr>
          <w:rFonts w:hint="eastAsia" w:ascii="黑体" w:hAnsi="黑体" w:eastAsia="黑体" w:cs="黑体"/>
          <w:b w:val="0"/>
          <w:bCs w:val="0"/>
        </w:rPr>
        <w:t>二、提高气象服务经济社会能力</w:t>
      </w:r>
      <w:bookmarkEnd w:id="66"/>
      <w:bookmarkEnd w:id="67"/>
    </w:p>
    <w:p>
      <w:pPr>
        <w:pStyle w:val="5"/>
        <w:adjustRightInd w:val="0"/>
        <w:ind w:firstLine="643"/>
        <w:rPr>
          <w:rFonts w:hint="eastAsia" w:ascii="仿宋_GB2312"/>
        </w:rPr>
      </w:pPr>
      <w:bookmarkStart w:id="68" w:name="_Toc7140"/>
      <w:bookmarkStart w:id="69" w:name="_Toc238918053"/>
      <w:r>
        <w:rPr>
          <w:rFonts w:hint="eastAsia" w:ascii="仿宋_GB2312"/>
        </w:rPr>
        <w:t>1.气象服务公众生活</w:t>
      </w:r>
      <w:bookmarkEnd w:id="68"/>
      <w:bookmarkEnd w:id="69"/>
    </w:p>
    <w:p>
      <w:pPr>
        <w:pStyle w:val="31"/>
        <w:ind w:firstLine="640"/>
        <w:rPr>
          <w:rFonts w:cs="仿宋_GB2312"/>
          <w:color w:val="auto"/>
          <w:szCs w:val="32"/>
        </w:rPr>
      </w:pPr>
      <w:r>
        <w:rPr>
          <w:rFonts w:hint="eastAsia" w:cs="仿宋_GB2312"/>
          <w:color w:val="auto"/>
          <w:szCs w:val="32"/>
        </w:rPr>
        <w:t>进一步优化公众气象服务供给，围绕人民群众美好生活需要，</w:t>
      </w:r>
      <w:r>
        <w:rPr>
          <w:rFonts w:cs="仿宋_GB2312"/>
          <w:color w:val="auto"/>
          <w:szCs w:val="32"/>
        </w:rPr>
        <w:t>打造“气象+”融合服务生态，</w:t>
      </w:r>
      <w:r>
        <w:rPr>
          <w:rFonts w:hint="eastAsia" w:cs="仿宋_GB2312"/>
          <w:color w:val="auto"/>
          <w:szCs w:val="32"/>
        </w:rPr>
        <w:t>逐步</w:t>
      </w:r>
      <w:r>
        <w:rPr>
          <w:rFonts w:cs="仿宋_GB2312"/>
          <w:color w:val="auto"/>
          <w:szCs w:val="32"/>
        </w:rPr>
        <w:t>发展覆盖衣、食、住、行、游、购、娱、学、康等多元场景的精细化气象服务产品，推动气象服务产品数字化、智能化</w:t>
      </w:r>
      <w:r>
        <w:rPr>
          <w:rFonts w:hint="eastAsia" w:cs="仿宋_GB2312"/>
          <w:color w:val="auto"/>
          <w:szCs w:val="32"/>
        </w:rPr>
        <w:t>、个性化</w:t>
      </w:r>
      <w:r>
        <w:rPr>
          <w:rFonts w:cs="仿宋_GB2312"/>
          <w:color w:val="auto"/>
          <w:szCs w:val="32"/>
        </w:rPr>
        <w:t>升级</w:t>
      </w:r>
      <w:r>
        <w:rPr>
          <w:rFonts w:hint="eastAsia" w:cs="仿宋_GB2312"/>
          <w:color w:val="auto"/>
          <w:szCs w:val="32"/>
        </w:rPr>
        <w:t>。拓展公众气象服务渠道，实现公众气象服务产品、气象信息服务有机融入主要媒体、主流资讯、政务平台等，提高公众服务覆盖面。</w:t>
      </w:r>
    </w:p>
    <w:p>
      <w:pPr>
        <w:pStyle w:val="5"/>
        <w:adjustRightInd w:val="0"/>
        <w:ind w:firstLine="643"/>
        <w:rPr>
          <w:rFonts w:hint="eastAsia" w:ascii="仿宋_GB2312"/>
        </w:rPr>
      </w:pPr>
      <w:bookmarkStart w:id="70" w:name="_Toc238918054"/>
      <w:r>
        <w:rPr>
          <w:rFonts w:hint="eastAsia" w:ascii="仿宋_GB2312"/>
        </w:rPr>
        <w:t>2.气象服务重大活动</w:t>
      </w:r>
      <w:bookmarkEnd w:id="70"/>
    </w:p>
    <w:p>
      <w:pPr>
        <w:pStyle w:val="31"/>
        <w:ind w:firstLine="640"/>
        <w:rPr>
          <w:rFonts w:hint="eastAsia"/>
          <w:color w:val="auto"/>
        </w:rPr>
      </w:pPr>
      <w:r>
        <w:rPr>
          <w:color w:val="auto"/>
        </w:rPr>
        <w:t>提升重大活动气象服务保障能力，将气象工作纳入重大活动常态化服务保障机制，深度融入重大活动运行指挥体系，开展定时、定点、定量气象预报预警和关键区域专项服务，强化大风、高温、暴雨等灾害性天气对</w:t>
      </w:r>
      <w:r>
        <w:rPr>
          <w:rFonts w:hint="eastAsia"/>
          <w:color w:val="auto"/>
        </w:rPr>
        <w:t>重大活动</w:t>
      </w:r>
      <w:r>
        <w:rPr>
          <w:color w:val="auto"/>
        </w:rPr>
        <w:t>的影响预报和风险预警</w:t>
      </w:r>
      <w:r>
        <w:rPr>
          <w:rFonts w:hint="eastAsia"/>
          <w:color w:val="auto"/>
        </w:rPr>
        <w:t>，全力做好大兴西瓜</w:t>
      </w:r>
      <w:r>
        <w:rPr>
          <w:color w:val="auto"/>
        </w:rPr>
        <w:t>节、</w:t>
      </w:r>
      <w:r>
        <w:rPr>
          <w:rFonts w:hint="eastAsia"/>
          <w:color w:val="auto"/>
        </w:rPr>
        <w:t>半程马拉松（花马）、</w:t>
      </w:r>
      <w:r>
        <w:rPr>
          <w:color w:val="auto"/>
        </w:rPr>
        <w:t>采育葡萄季等</w:t>
      </w:r>
      <w:r>
        <w:rPr>
          <w:rFonts w:hint="eastAsia"/>
          <w:color w:val="auto"/>
        </w:rPr>
        <w:t>各类</w:t>
      </w:r>
      <w:r>
        <w:rPr>
          <w:color w:val="auto"/>
        </w:rPr>
        <w:t>体育赛事、文旅活动的</w:t>
      </w:r>
      <w:r>
        <w:rPr>
          <w:rFonts w:hint="eastAsia"/>
          <w:color w:val="auto"/>
        </w:rPr>
        <w:t>重大活动气象保障</w:t>
      </w:r>
      <w:r>
        <w:rPr>
          <w:color w:val="auto"/>
        </w:rPr>
        <w:t>。</w:t>
      </w:r>
    </w:p>
    <w:p>
      <w:pPr>
        <w:pStyle w:val="5"/>
        <w:adjustRightInd w:val="0"/>
        <w:ind w:firstLine="643"/>
        <w:rPr>
          <w:rFonts w:hint="eastAsia" w:ascii="仿宋_GB2312"/>
        </w:rPr>
      </w:pPr>
      <w:bookmarkStart w:id="71" w:name="_Toc238918055"/>
      <w:bookmarkStart w:id="72" w:name="_Toc23296"/>
      <w:r>
        <w:rPr>
          <w:rFonts w:hint="eastAsia" w:ascii="仿宋_GB2312"/>
        </w:rPr>
        <w:t>3.气象服务乡村振兴</w:t>
      </w:r>
      <w:bookmarkEnd w:id="71"/>
      <w:bookmarkEnd w:id="72"/>
    </w:p>
    <w:p>
      <w:pPr>
        <w:pStyle w:val="31"/>
        <w:ind w:firstLine="640"/>
        <w:rPr>
          <w:rFonts w:hint="eastAsia"/>
          <w:color w:val="auto"/>
        </w:rPr>
      </w:pPr>
      <w:r>
        <w:rPr>
          <w:rFonts w:hint="eastAsia"/>
          <w:color w:val="auto"/>
        </w:rPr>
        <w:t>优化完善</w:t>
      </w:r>
      <w:r>
        <w:rPr>
          <w:color w:val="auto"/>
        </w:rPr>
        <w:t>新型气象为农服务体系，服务国家</w:t>
      </w:r>
      <w:r>
        <w:rPr>
          <w:rFonts w:hint="eastAsia"/>
          <w:color w:val="auto"/>
        </w:rPr>
        <w:t>乡村振兴示范区。提升高标准农田气象服务能力。联合农业农村部门推进多要素气象站、作物自动观测、自动土壤水分站、农田遥感监测等高标准农田气象观测站网和数据的建设共享工作。加强农业气象灾害风险预估研究。逐步完善分作物、分灾种、分时段的农业气象灾害风险预估技术体系，提升农业气象灾害风险评估和预警精细化水平。加强智慧农业气象新技术研究。融合卫星遥感、地面观测和网格实况、预报产品等多源数据，提高农业气象智慧观测能力，提升农业气象灾害精细化监测预测水平。加强特色农业气象服务中心建设，完善特色农业气象服务体系，开展全链条气象服务。</w:t>
      </w:r>
    </w:p>
    <w:p>
      <w:pPr>
        <w:pStyle w:val="5"/>
        <w:adjustRightInd w:val="0"/>
        <w:ind w:firstLine="643"/>
        <w:rPr>
          <w:rFonts w:hint="eastAsia" w:ascii="仿宋_GB2312"/>
        </w:rPr>
      </w:pPr>
      <w:bookmarkStart w:id="73" w:name="_Toc20737"/>
      <w:bookmarkStart w:id="74" w:name="_Toc238918056"/>
      <w:r>
        <w:rPr>
          <w:rFonts w:hint="eastAsia" w:ascii="仿宋_GB2312"/>
        </w:rPr>
        <w:t>4.气象服务重点行业</w:t>
      </w:r>
      <w:bookmarkEnd w:id="73"/>
      <w:bookmarkEnd w:id="74"/>
    </w:p>
    <w:p>
      <w:pPr>
        <w:pStyle w:val="31"/>
        <w:ind w:firstLine="640"/>
        <w:rPr>
          <w:rFonts w:hint="eastAsia"/>
          <w:color w:val="auto"/>
        </w:rPr>
      </w:pPr>
      <w:r>
        <w:rPr>
          <w:rFonts w:hint="eastAsia"/>
          <w:color w:val="auto"/>
        </w:rPr>
        <w:t>开展旅游景区高影响气象灾害风险隐患调查，</w:t>
      </w:r>
      <w:r>
        <w:rPr>
          <w:color w:val="auto"/>
        </w:rPr>
        <w:t>建立分灾种分场景的旅游气象灾害风险预警体系</w:t>
      </w:r>
      <w:r>
        <w:rPr>
          <w:rFonts w:hint="eastAsia"/>
          <w:color w:val="auto"/>
        </w:rPr>
        <w:t>，开展季节性、特色旅游、旅游线路等各类产品的研发。健全康养气象服务产品体系，引进优化相关健康气象指标，确定关键气象条件及阈值指标，开展健康气象精细化服务。依托自动站监测数据、数值模式、地理信息等多源资料，持续提升低能见度和道路结冰监测预报预警服务能力，提高交通气象服务能力。</w:t>
      </w:r>
      <w:r>
        <w:rPr>
          <w:rFonts w:hint="eastAsia" w:ascii="宋体" w:hAnsi="宋体" w:cs="仿宋_GB2312"/>
          <w:color w:val="000000" w:themeColor="text1"/>
          <w:szCs w:val="32"/>
          <w14:textFill>
            <w14:solidFill>
              <w14:schemeClr w14:val="tx1"/>
            </w14:solidFill>
          </w14:textFill>
        </w:rPr>
        <w:t>强化与本区供水供电供热管理部门和相关单位联动，根据需求建立联动机制与服务体系，为能源保供提供气象保障。</w:t>
      </w:r>
      <w:r>
        <w:rPr>
          <w:color w:val="auto"/>
        </w:rPr>
        <w:t>提升</w:t>
      </w:r>
      <w:r>
        <w:rPr>
          <w:rFonts w:hint="eastAsia"/>
          <w:color w:val="auto"/>
        </w:rPr>
        <w:t>面向大兴国际旅游度假区、国际氢能示范区、荟聚商务区、京南物流基地</w:t>
      </w:r>
      <w:r>
        <w:rPr>
          <w:color w:val="auto"/>
        </w:rPr>
        <w:t>等重点</w:t>
      </w:r>
      <w:r>
        <w:rPr>
          <w:rFonts w:hint="eastAsia"/>
          <w:color w:val="auto"/>
        </w:rPr>
        <w:t>产业发展区域的气象服务保障能力</w:t>
      </w:r>
      <w:r>
        <w:rPr>
          <w:color w:val="auto"/>
        </w:rPr>
        <w:t>，强化</w:t>
      </w:r>
      <w:r>
        <w:rPr>
          <w:rFonts w:hint="eastAsia"/>
          <w:color w:val="auto"/>
        </w:rPr>
        <w:t>数智化、</w:t>
      </w:r>
      <w:r>
        <w:rPr>
          <w:color w:val="auto"/>
        </w:rPr>
        <w:t>精细化、</w:t>
      </w:r>
      <w:r>
        <w:rPr>
          <w:rFonts w:hint="eastAsia"/>
          <w:color w:val="auto"/>
        </w:rPr>
        <w:t>个性化的</w:t>
      </w:r>
      <w:r>
        <w:rPr>
          <w:color w:val="auto"/>
        </w:rPr>
        <w:t>气象服务。</w:t>
      </w:r>
    </w:p>
    <w:p>
      <w:pPr>
        <w:pStyle w:val="5"/>
        <w:adjustRightInd w:val="0"/>
        <w:ind w:firstLine="643"/>
        <w:rPr>
          <w:rFonts w:hint="eastAsia" w:ascii="仿宋_GB2312"/>
        </w:rPr>
      </w:pPr>
      <w:bookmarkStart w:id="75" w:name="_Toc814"/>
      <w:bookmarkStart w:id="76" w:name="_Toc238918057"/>
      <w:r>
        <w:rPr>
          <w:rFonts w:hint="eastAsia" w:ascii="仿宋_GB2312"/>
        </w:rPr>
        <w:t>5.气象服务生态文明</w:t>
      </w:r>
      <w:bookmarkEnd w:id="75"/>
      <w:bookmarkEnd w:id="76"/>
    </w:p>
    <w:p>
      <w:pPr>
        <w:pStyle w:val="31"/>
        <w:ind w:firstLine="640"/>
        <w:rPr>
          <w:rFonts w:hint="eastAsia"/>
          <w:color w:val="auto"/>
        </w:rPr>
      </w:pPr>
      <w:r>
        <w:rPr>
          <w:rFonts w:hint="eastAsia" w:cs="仿宋_GB2312"/>
          <w:color w:val="auto"/>
          <w:szCs w:val="32"/>
        </w:rPr>
        <w:t>加强气候影响与风险评估，探索构建重要行业、关键区域、敏感人群气候风险评估指标体系，提高气候韧性服务水平，提升应对气候变化能力。强化气候资源定量化评估，为气候资源合理开发利用以及生态气候产品价值实现提供有力支撑。加强环境气象服务保障，持续提升环境气象预报精细化水平，利用人工智能技术，结合模式预报场、实况监测等多源数据，不断优化环境气象预报技术方法，为重污染天气过程应急响应提前应对提供精细化技术支撑。面向</w:t>
      </w:r>
      <w:r>
        <w:rPr>
          <w:rFonts w:hint="eastAsia"/>
          <w:color w:val="auto"/>
        </w:rPr>
        <w:t>花园城市永定湾等高品质、国际化社区规划建设，开展气象实况监测、预报预警、气候评估、数智服务等保障工作，为花园城市建设提供气象支撑。</w:t>
      </w:r>
    </w:p>
    <w:p>
      <w:pPr>
        <w:pStyle w:val="5"/>
        <w:adjustRightInd w:val="0"/>
        <w:ind w:firstLine="643"/>
        <w:rPr>
          <w:rFonts w:hint="eastAsia" w:ascii="仿宋_GB2312"/>
        </w:rPr>
      </w:pPr>
      <w:bookmarkStart w:id="77" w:name="_Toc25996"/>
      <w:bookmarkStart w:id="78" w:name="_Toc238918058"/>
      <w:r>
        <w:rPr>
          <w:rFonts w:hint="eastAsia" w:ascii="仿宋_GB2312"/>
        </w:rPr>
        <w:t>6.气象服务临空产业</w:t>
      </w:r>
      <w:bookmarkEnd w:id="77"/>
      <w:bookmarkEnd w:id="78"/>
    </w:p>
    <w:p>
      <w:pPr>
        <w:pStyle w:val="31"/>
        <w:ind w:firstLine="640"/>
        <w:rPr>
          <w:rFonts w:hint="eastAsia"/>
          <w:color w:val="auto"/>
        </w:rPr>
      </w:pPr>
      <w:r>
        <w:rPr>
          <w:rFonts w:hint="eastAsia"/>
          <w:color w:val="auto"/>
        </w:rPr>
        <w:t>聚焦大兴临空经济建设发展，推动气象服务保障能力提升。优化完善大兴临空区气象观测综合体系。推进大兴临空区气象预报预警体系建设，依托 “百米级、分钟级”预报技术，构建精细化的预报预警体系，组织实施大兴临空区高影响天气的叫应式服务、灾害性天气应急应对决策支撑等气象保障。推动大兴临空区气象服务创新体系建设，针对临空产业发展气象服务需求，积极推动区域数值预报产品、城市气候评估技术、微环境体感监测预报服务等先进科技成果的转化落地应用，为大兴临空区与临空经济发展提供数智化气象服务。</w:t>
      </w:r>
    </w:p>
    <w:tbl>
      <w:tblPr>
        <w:tblStyle w:val="14"/>
        <w:tblW w:w="829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296" w:type="dxa"/>
          </w:tcPr>
          <w:p>
            <w:pPr>
              <w:spacing w:line="560" w:lineRule="exact"/>
              <w:jc w:val="center"/>
              <w:rPr>
                <w:rFonts w:hint="eastAsia" w:ascii="仿宋_GB2312" w:eastAsia="仿宋_GB2312"/>
                <w:sz w:val="32"/>
                <w:szCs w:val="32"/>
              </w:rPr>
            </w:pPr>
            <w:r>
              <w:rPr>
                <w:rFonts w:hint="eastAsia" w:ascii="楷体_GB2312" w:hAnsi="楷体_GB2312" w:eastAsia="楷体_GB2312" w:cs="楷体_GB2312"/>
                <w:b/>
                <w:sz w:val="28"/>
                <w:szCs w:val="28"/>
              </w:rPr>
              <w:t>专栏2：深化气象赋能经济社会发展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296" w:type="dxa"/>
          </w:tcPr>
          <w:p>
            <w:pPr>
              <w:widowControl/>
              <w:spacing w:line="560" w:lineRule="exact"/>
              <w:ind w:firstLine="643"/>
              <w:rPr>
                <w:rFonts w:ascii="宋体" w:hAnsi="Times New Roman" w:cs="宋体"/>
                <w:sz w:val="32"/>
                <w:szCs w:val="32"/>
              </w:rPr>
            </w:pPr>
            <w:r>
              <w:rPr>
                <w:rFonts w:hint="eastAsia" w:ascii="仿宋_GB2312" w:hAnsi="仿宋_GB2312" w:eastAsia="仿宋_GB2312" w:cs="仿宋_GB2312"/>
                <w:b/>
                <w:bCs/>
                <w:sz w:val="28"/>
                <w:szCs w:val="28"/>
              </w:rPr>
              <w:t>实施产业赋能气象服务示范工程。</w:t>
            </w:r>
            <w:r>
              <w:rPr>
                <w:rFonts w:hint="eastAsia" w:ascii="仿宋_GB2312" w:hAnsi="仿宋_GB2312" w:eastAsia="仿宋_GB2312" w:cs="仿宋_GB2312"/>
                <w:sz w:val="28"/>
                <w:szCs w:val="28"/>
              </w:rPr>
              <w:t>针对大兴“6+5+3”产业发展布局中的重点区域、重点行业，基于市级“百米级、分钟级”气象预报数据产品及最新气象科技创新成果，为管理部门、服务对象等提供高时空分辨率的短期预报产品和0-24小时10分钟滚动更新的100米分辨率精细化气象服务产品，实现气象服务与产业场景深度融合。建设关键区域“城市微环境体感监测系统”，根据专项预报服务模型和预报数据为服务对象提供区域舒适度等精细化服务。强化城市气候评估技术应用。利用城市街区尺度气象模拟和气候评估技术、海绵城市建设年径流总量控制率与设计降雨量评估技术等提供服务，协助关键区域或行业制定气候适应性措施，助力海绵城市与韧性城市建设。</w:t>
            </w:r>
          </w:p>
        </w:tc>
      </w:tr>
    </w:tbl>
    <w:p>
      <w:pPr>
        <w:pStyle w:val="4"/>
        <w:adjustRightInd w:val="0"/>
        <w:snapToGrid w:val="0"/>
        <w:spacing w:before="156" w:beforeLines="50" w:after="0" w:line="560" w:lineRule="exact"/>
        <w:ind w:firstLine="640" w:firstLineChars="200"/>
        <w:rPr>
          <w:rFonts w:hint="eastAsia" w:ascii="黑体" w:hAnsi="黑体" w:eastAsia="黑体" w:cs="黑体"/>
          <w:b w:val="0"/>
          <w:bCs w:val="0"/>
        </w:rPr>
      </w:pPr>
      <w:bookmarkStart w:id="79" w:name="_Toc238918059"/>
      <w:bookmarkStart w:id="80" w:name="_Toc29557"/>
      <w:r>
        <w:rPr>
          <w:rFonts w:hint="eastAsia" w:ascii="黑体" w:hAnsi="黑体" w:eastAsia="黑体" w:cs="黑体"/>
          <w:b w:val="0"/>
          <w:bCs w:val="0"/>
        </w:rPr>
        <w:t>三、夯实气象业务服务能力基础</w:t>
      </w:r>
      <w:bookmarkEnd w:id="79"/>
      <w:bookmarkEnd w:id="80"/>
    </w:p>
    <w:p>
      <w:pPr>
        <w:pStyle w:val="5"/>
        <w:adjustRightInd w:val="0"/>
        <w:ind w:firstLine="643"/>
        <w:rPr>
          <w:rFonts w:hint="eastAsia" w:ascii="仿宋_GB2312"/>
        </w:rPr>
      </w:pPr>
      <w:bookmarkStart w:id="81" w:name="_Toc238918060"/>
      <w:bookmarkStart w:id="82" w:name="_Toc2975"/>
      <w:r>
        <w:rPr>
          <w:rFonts w:hint="eastAsia" w:ascii="仿宋_GB2312"/>
        </w:rPr>
        <w:t>1.提升气象监测与数据应用能力</w:t>
      </w:r>
      <w:bookmarkEnd w:id="81"/>
      <w:bookmarkEnd w:id="82"/>
    </w:p>
    <w:p>
      <w:pPr>
        <w:pStyle w:val="31"/>
        <w:ind w:firstLine="640"/>
        <w:rPr>
          <w:rFonts w:hint="eastAsia"/>
          <w:color w:val="000000"/>
        </w:rPr>
      </w:pPr>
      <w:r>
        <w:rPr>
          <w:rFonts w:hint="eastAsia"/>
          <w:color w:val="000000"/>
        </w:rPr>
        <w:t>根据需求优化完善</w:t>
      </w:r>
      <w:r>
        <w:rPr>
          <w:color w:val="000000"/>
        </w:rPr>
        <w:t>面向农业、交通、文旅</w:t>
      </w:r>
      <w:r>
        <w:rPr>
          <w:rFonts w:hint="eastAsia"/>
          <w:color w:val="000000"/>
        </w:rPr>
        <w:t>、临空</w:t>
      </w:r>
      <w:r>
        <w:rPr>
          <w:color w:val="000000"/>
        </w:rPr>
        <w:t>等服务场景的专业</w:t>
      </w:r>
      <w:r>
        <w:rPr>
          <w:rFonts w:hint="eastAsia"/>
          <w:color w:val="000000"/>
        </w:rPr>
        <w:t>气象监测</w:t>
      </w:r>
      <w:r>
        <w:rPr>
          <w:color w:val="000000"/>
        </w:rPr>
        <w:t>站网</w:t>
      </w:r>
      <w:r>
        <w:rPr>
          <w:rFonts w:hint="eastAsia"/>
          <w:color w:val="000000"/>
        </w:rPr>
        <w:t>。</w:t>
      </w:r>
      <w:r>
        <w:rPr>
          <w:color w:val="000000"/>
        </w:rPr>
        <w:t>优化</w:t>
      </w:r>
      <w:r>
        <w:rPr>
          <w:rFonts w:hint="eastAsia"/>
          <w:color w:val="000000"/>
        </w:rPr>
        <w:t>监测</w:t>
      </w:r>
      <w:r>
        <w:rPr>
          <w:color w:val="000000"/>
        </w:rPr>
        <w:t>设备运行状态监控和</w:t>
      </w:r>
      <w:r>
        <w:rPr>
          <w:rFonts w:hint="eastAsia"/>
          <w:color w:val="000000"/>
        </w:rPr>
        <w:t>监</w:t>
      </w:r>
      <w:r>
        <w:rPr>
          <w:color w:val="000000"/>
        </w:rPr>
        <w:t>测数据质量处理分析，保障数据完整、质量稳定可靠。</w:t>
      </w:r>
      <w:r>
        <w:rPr>
          <w:rFonts w:hint="eastAsia"/>
          <w:color w:val="000000"/>
        </w:rPr>
        <w:t>提升多源</w:t>
      </w:r>
      <w:r>
        <w:rPr>
          <w:color w:val="000000"/>
        </w:rPr>
        <w:t>气象数据应用</w:t>
      </w:r>
      <w:r>
        <w:rPr>
          <w:rFonts w:hint="eastAsia"/>
          <w:color w:val="000000"/>
        </w:rPr>
        <w:t>水平</w:t>
      </w:r>
      <w:r>
        <w:rPr>
          <w:color w:val="000000"/>
        </w:rPr>
        <w:t>，</w:t>
      </w:r>
      <w:r>
        <w:rPr>
          <w:rFonts w:hint="eastAsia"/>
          <w:color w:val="000000"/>
        </w:rPr>
        <w:t>强化卫星、雷达等探测数据的应用研究。利用大数据分析、人工智能等先进信息技术，探索监测数据智能综合判识与融合创新。统筹气象雷达、地面监测等全要素监测，以提升短时临近预报预警准确率为目标，开展多要素融合实况监测分析。以提升数据质量为核心，强化保障能力，健全观测业务全覆盖的质量管理体系。推进气象行业、社会观测业务统筹发展和共享共用。加强水文、生态环境、交通、林业、农业等行业数据收集共享，</w:t>
      </w:r>
      <w:r>
        <w:rPr>
          <w:color w:val="000000"/>
        </w:rPr>
        <w:t>深化行业部门数据互联互通</w:t>
      </w:r>
      <w:r>
        <w:rPr>
          <w:rFonts w:hint="eastAsia"/>
          <w:color w:val="000000"/>
        </w:rPr>
        <w:t>。扩充气象信息技术与网络资源，提高信息网络和系统安全水平</w:t>
      </w:r>
      <w:r>
        <w:rPr>
          <w:color w:val="000000"/>
        </w:rPr>
        <w:t>，为</w:t>
      </w:r>
      <w:r>
        <w:rPr>
          <w:rFonts w:hint="eastAsia"/>
          <w:color w:val="000000"/>
        </w:rPr>
        <w:t>气象服务</w:t>
      </w:r>
      <w:r>
        <w:rPr>
          <w:color w:val="000000"/>
        </w:rPr>
        <w:t>提供更加可靠的支撑。</w:t>
      </w:r>
    </w:p>
    <w:p>
      <w:pPr>
        <w:pStyle w:val="5"/>
        <w:adjustRightInd w:val="0"/>
        <w:ind w:firstLine="643"/>
        <w:rPr>
          <w:rFonts w:hint="eastAsia" w:ascii="仿宋_GB2312"/>
        </w:rPr>
      </w:pPr>
      <w:bookmarkStart w:id="83" w:name="_Toc238918061"/>
      <w:bookmarkStart w:id="84" w:name="_Toc6817"/>
      <w:r>
        <w:rPr>
          <w:rFonts w:hint="eastAsia" w:ascii="仿宋_GB2312"/>
        </w:rPr>
        <w:t>2.全面提升气象预报预警水平</w:t>
      </w:r>
      <w:bookmarkEnd w:id="83"/>
      <w:bookmarkEnd w:id="84"/>
    </w:p>
    <w:p>
      <w:pPr>
        <w:pStyle w:val="31"/>
        <w:ind w:firstLine="640"/>
        <w:rPr>
          <w:rFonts w:hint="eastAsia"/>
          <w:color w:val="000000"/>
        </w:rPr>
      </w:pPr>
      <w:r>
        <w:rPr>
          <w:rFonts w:hint="eastAsia"/>
          <w:color w:val="000000"/>
        </w:rPr>
        <w:t>深化市级智能网格预报、睿图区域数值天气预报模式和</w:t>
      </w:r>
      <w:r>
        <w:rPr>
          <w:color w:val="000000"/>
        </w:rPr>
        <w:t>“灵犀”极端天气人工智能模型</w:t>
      </w:r>
      <w:r>
        <w:rPr>
          <w:rFonts w:hint="eastAsia"/>
          <w:color w:val="000000"/>
        </w:rPr>
        <w:t>在本区的应用释用，重点发展“百米级、分钟级”短时临近预报技术产品的应用拓展。基于人工智能技术，探索优化研发本地化的气象要素预报客观算法模型。进一步提升镇街级别预警信号的精细程度，有效提高预警时效，充分提高全区预报预警准确率，为防汛减灾、城市管理提供精准的气象服务。着力加强延伸期和月、季尺度天气预报预测产品的引进推广，及早研判灾害性天气气候事件，为应急管理提供充足的准备时间。</w:t>
      </w:r>
    </w:p>
    <w:p>
      <w:pPr>
        <w:pStyle w:val="5"/>
        <w:adjustRightInd w:val="0"/>
        <w:ind w:firstLine="643"/>
        <w:rPr>
          <w:rFonts w:hint="eastAsia" w:ascii="仿宋_GB2312"/>
        </w:rPr>
      </w:pPr>
      <w:bookmarkStart w:id="85" w:name="_Toc20365"/>
      <w:bookmarkStart w:id="86" w:name="_Toc238918062"/>
      <w:r>
        <w:rPr>
          <w:rFonts w:hint="eastAsia" w:ascii="仿宋_GB2312"/>
        </w:rPr>
        <w:t>3.坚持创新驱动业务能力发展</w:t>
      </w:r>
      <w:bookmarkEnd w:id="85"/>
      <w:bookmarkEnd w:id="86"/>
    </w:p>
    <w:p>
      <w:pPr>
        <w:pStyle w:val="31"/>
        <w:ind w:firstLine="640"/>
        <w:rPr>
          <w:color w:val="000000"/>
        </w:rPr>
      </w:pPr>
      <w:r>
        <w:rPr>
          <w:rFonts w:hint="eastAsia"/>
          <w:color w:val="000000"/>
        </w:rPr>
        <w:t>积极争取各级科技项目资源投入，重点围绕本区高影响天气发生发展机理、重点区域和行业特色气象服务技术、气象灾害风险预警技术、人工智能在气象行业的应用等领域开展创新研发，以科技创新为核心动能驱动气象业务能力进步，培育气象青年技术骨干，为大兴气象高质量发展提供坚实的软实力。</w:t>
      </w:r>
    </w:p>
    <w:p>
      <w:pPr>
        <w:pStyle w:val="5"/>
        <w:adjustRightInd w:val="0"/>
        <w:ind w:firstLine="643"/>
        <w:rPr>
          <w:rFonts w:hint="eastAsia" w:ascii="仿宋_GB2312"/>
        </w:rPr>
      </w:pPr>
      <w:bookmarkStart w:id="87" w:name="_Toc238918063"/>
      <w:r>
        <w:rPr>
          <w:rFonts w:hint="eastAsia" w:ascii="仿宋_GB2312"/>
        </w:rPr>
        <w:t>4.加强</w:t>
      </w:r>
      <w:r>
        <w:rPr>
          <w:rFonts w:ascii="仿宋_GB2312"/>
        </w:rPr>
        <w:t>气象</w:t>
      </w:r>
      <w:r>
        <w:rPr>
          <w:rFonts w:hint="eastAsia" w:ascii="仿宋_GB2312"/>
        </w:rPr>
        <w:t>基础设施</w:t>
      </w:r>
      <w:r>
        <w:rPr>
          <w:rFonts w:ascii="仿宋_GB2312"/>
        </w:rPr>
        <w:t>现代化建设</w:t>
      </w:r>
      <w:bookmarkEnd w:id="87"/>
    </w:p>
    <w:p>
      <w:pPr>
        <w:pStyle w:val="31"/>
        <w:ind w:firstLine="640"/>
        <w:rPr>
          <w:rFonts w:hint="eastAsia"/>
          <w:color w:val="000000"/>
        </w:rPr>
      </w:pPr>
      <w:r>
        <w:rPr>
          <w:color w:val="000000"/>
        </w:rPr>
        <w:t>开展</w:t>
      </w:r>
      <w:r>
        <w:rPr>
          <w:rFonts w:hint="eastAsia"/>
          <w:color w:val="000000"/>
        </w:rPr>
        <w:t>气象</w:t>
      </w:r>
      <w:r>
        <w:rPr>
          <w:color w:val="000000"/>
        </w:rPr>
        <w:t>台站高质量建设，提升台站科技内涵和业务支撑能力，</w:t>
      </w:r>
      <w:r>
        <w:rPr>
          <w:rFonts w:hint="eastAsia"/>
          <w:color w:val="000000"/>
        </w:rPr>
        <w:t>加强气象</w:t>
      </w:r>
      <w:r>
        <w:rPr>
          <w:color w:val="000000"/>
        </w:rPr>
        <w:t>探测环境</w:t>
      </w:r>
      <w:r>
        <w:rPr>
          <w:rFonts w:hint="eastAsia"/>
          <w:color w:val="000000"/>
        </w:rPr>
        <w:t>保护</w:t>
      </w:r>
      <w:r>
        <w:rPr>
          <w:color w:val="000000"/>
        </w:rPr>
        <w:t>。推进台站设施环境的标准化、规范化建设，强化专业化规划设计，提高台站附属配套设施性能，提升气象台站安全水平和设施现代化水平。</w:t>
      </w:r>
    </w:p>
    <w:tbl>
      <w:tblPr>
        <w:tblStyle w:val="14"/>
        <w:tblW w:w="829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296" w:type="dxa"/>
          </w:tcPr>
          <w:p>
            <w:pPr>
              <w:spacing w:line="560" w:lineRule="exact"/>
              <w:jc w:val="center"/>
              <w:rPr>
                <w:rFonts w:hint="eastAsia" w:ascii="仿宋_GB2312" w:eastAsia="楷体_GB2312"/>
                <w:sz w:val="32"/>
                <w:szCs w:val="32"/>
              </w:rPr>
            </w:pPr>
            <w:r>
              <w:rPr>
                <w:rFonts w:hint="eastAsia" w:ascii="楷体_GB2312" w:hAnsi="楷体_GB2312" w:eastAsia="楷体_GB2312" w:cs="楷体_GB2312"/>
                <w:b/>
                <w:sz w:val="28"/>
                <w:szCs w:val="28"/>
              </w:rPr>
              <w:t>专栏3：</w:t>
            </w:r>
            <w:r>
              <w:rPr>
                <w:rFonts w:hint="eastAsia" w:ascii="仿宋_GB2312" w:hAnsi="仿宋_GB2312" w:eastAsia="仿宋_GB2312" w:cs="仿宋_GB2312"/>
                <w:b/>
                <w:bCs/>
                <w:sz w:val="28"/>
                <w:szCs w:val="28"/>
              </w:rPr>
              <w:t>提升气象业务服务基础能力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296" w:type="dxa"/>
          </w:tcPr>
          <w:p>
            <w:pPr>
              <w:widowControl/>
              <w:spacing w:line="560" w:lineRule="exact"/>
              <w:ind w:firstLine="643"/>
              <w:rPr>
                <w:rFonts w:ascii="宋体" w:hAnsi="Times New Roman" w:cs="宋体"/>
                <w:sz w:val="32"/>
                <w:szCs w:val="32"/>
              </w:rPr>
            </w:pPr>
            <w:r>
              <w:rPr>
                <w:rFonts w:hint="eastAsia" w:ascii="仿宋_GB2312" w:hAnsi="仿宋_GB2312" w:eastAsia="仿宋_GB2312" w:cs="仿宋_GB2312"/>
                <w:b/>
                <w:bCs/>
                <w:sz w:val="28"/>
                <w:szCs w:val="28"/>
              </w:rPr>
              <w:t>实施大兴气象基础能力提升工程。</w:t>
            </w:r>
            <w:r>
              <w:rPr>
                <w:rFonts w:hint="eastAsia" w:ascii="仿宋_GB2312" w:hAnsi="仿宋_GB2312" w:eastAsia="仿宋_GB2312" w:cs="仿宋_GB2312"/>
                <w:sz w:val="28"/>
                <w:szCs w:val="28"/>
              </w:rPr>
              <w:t>夯实气象高质量发展数智底座，实施“感、传、智、云”基建升级。升级地面气象自动站基础设施和信息传输设备，加装影像监控设备，提高极端灾害天气中气象数据传输的持续性、及时性和可靠性，实现“气象+实景”智能感知提档升级。建设气象数据传输专线等网络资源，提升气象数据传输时效性和稳定性，提高信息网络和系统安全水平。实现大兴区气象局内网及政务外网连接的“IPv6+”改造升级。升级大兴智慧气象业务平台，基于人工智能技术，通过图像识别实现对灾害性天气的实时抓取与自动报警，融入各类气象要素客观预报算法以及天气预报模型结果，实现各类天气的短期精准预报预警，实现各类气象服务产品的智能化制作生成。</w:t>
            </w:r>
          </w:p>
        </w:tc>
      </w:tr>
    </w:tbl>
    <w:p>
      <w:pPr>
        <w:pStyle w:val="4"/>
        <w:adjustRightInd w:val="0"/>
        <w:snapToGrid w:val="0"/>
        <w:spacing w:before="156" w:beforeLines="50" w:after="0" w:line="560" w:lineRule="exact"/>
        <w:ind w:firstLine="640" w:firstLineChars="200"/>
        <w:rPr>
          <w:rFonts w:hint="eastAsia" w:ascii="黑体" w:hAnsi="黑体" w:eastAsia="黑体" w:cs="黑体"/>
          <w:b w:val="0"/>
          <w:bCs w:val="0"/>
        </w:rPr>
      </w:pPr>
      <w:bookmarkStart w:id="88" w:name="_Toc4516"/>
      <w:bookmarkStart w:id="89" w:name="_Toc238918064"/>
      <w:r>
        <w:rPr>
          <w:rFonts w:hint="eastAsia" w:ascii="黑体" w:hAnsi="黑体" w:eastAsia="黑体" w:cs="黑体"/>
          <w:b w:val="0"/>
          <w:bCs w:val="0"/>
        </w:rPr>
        <w:t>四、推动气象行业现代管理体系建设</w:t>
      </w:r>
      <w:bookmarkEnd w:id="88"/>
      <w:bookmarkEnd w:id="89"/>
    </w:p>
    <w:p>
      <w:pPr>
        <w:pStyle w:val="5"/>
        <w:adjustRightInd w:val="0"/>
        <w:ind w:firstLine="643"/>
        <w:rPr>
          <w:rFonts w:hint="eastAsia" w:ascii="仿宋_GB2312"/>
        </w:rPr>
      </w:pPr>
      <w:bookmarkStart w:id="90" w:name="_Toc238918065"/>
      <w:bookmarkStart w:id="91" w:name="_Toc21695"/>
      <w:r>
        <w:rPr>
          <w:rFonts w:hint="eastAsia" w:ascii="仿宋_GB2312"/>
        </w:rPr>
        <w:t>1.推进气象行业监管协同共治格局</w:t>
      </w:r>
      <w:bookmarkEnd w:id="90"/>
    </w:p>
    <w:p>
      <w:pPr>
        <w:pStyle w:val="31"/>
        <w:adjustRightInd w:val="0"/>
        <w:ind w:firstLine="640"/>
        <w:rPr>
          <w:rFonts w:hint="eastAsia"/>
          <w:color w:val="000000"/>
        </w:rPr>
      </w:pPr>
      <w:r>
        <w:rPr>
          <w:rFonts w:hint="eastAsia"/>
          <w:color w:val="000000"/>
        </w:rPr>
        <w:t>落实“共谋、共建、共享、共治”原则，统筹行业法规政策落地。打破“监管孤岛”，推动市场监管、应急管理、文旅、城管等部门互联互通，凝聚监管合力，构建多元主体参与的协同监管体系。</w:t>
      </w:r>
    </w:p>
    <w:p>
      <w:pPr>
        <w:pStyle w:val="5"/>
        <w:ind w:firstLine="643"/>
        <w:rPr>
          <w:rFonts w:hint="eastAsia" w:ascii="仿宋_GB2312"/>
        </w:rPr>
      </w:pPr>
      <w:bookmarkStart w:id="92" w:name="_Toc238918066"/>
      <w:r>
        <w:rPr>
          <w:rFonts w:hint="eastAsia" w:ascii="仿宋_GB2312"/>
        </w:rPr>
        <w:t>2.持续深化非现场监管体系建设</w:t>
      </w:r>
      <w:bookmarkEnd w:id="92"/>
    </w:p>
    <w:p>
      <w:pPr>
        <w:pStyle w:val="31"/>
        <w:adjustRightInd w:val="0"/>
        <w:ind w:firstLine="640"/>
        <w:rPr>
          <w:rFonts w:hint="eastAsia"/>
          <w:color w:val="000000"/>
        </w:rPr>
      </w:pPr>
      <w:r>
        <w:rPr>
          <w:rFonts w:hint="eastAsia"/>
          <w:color w:val="000000"/>
        </w:rPr>
        <w:t>依托2026年6月上线的北京市防雷检测智能服务平台，强化运维保障，及时解决资质单位使用问题。构建“线上预警-线下核查-执法处置-整改反馈”全链条闭环管理机制，实现事前事中事后全流程监管。以非现场监管为核心，创新监管方式，运用技术手段及时发现处置风险，推动监管向“无事不扰、无处不在”转型。</w:t>
      </w:r>
    </w:p>
    <w:p>
      <w:pPr>
        <w:pStyle w:val="5"/>
        <w:ind w:firstLine="643"/>
        <w:rPr>
          <w:rFonts w:hint="eastAsia" w:ascii="仿宋_GB2312"/>
        </w:rPr>
      </w:pPr>
      <w:bookmarkStart w:id="93" w:name="_Toc238918067"/>
      <w:r>
        <w:rPr>
          <w:rFonts w:hint="eastAsia" w:ascii="仿宋_GB2312"/>
        </w:rPr>
        <w:t>3.完善“风险+信用”综合评价体系</w:t>
      </w:r>
      <w:bookmarkEnd w:id="93"/>
    </w:p>
    <w:p>
      <w:pPr>
        <w:pStyle w:val="31"/>
        <w:adjustRightInd w:val="0"/>
        <w:ind w:firstLine="640"/>
        <w:rPr>
          <w:rFonts w:hint="eastAsia"/>
          <w:color w:val="000000"/>
        </w:rPr>
      </w:pPr>
      <w:r>
        <w:rPr>
          <w:rFonts w:hint="eastAsia"/>
          <w:color w:val="000000"/>
        </w:rPr>
        <w:t>针对防雷安全重点单位、防雷装置检测资质单位、升放气球资质单位，建立“风险+信用”综合评价体系。根据评价结果实施分级分类监管：对低风险、高信用主体，降低检查频次、精简检查内容；对高风险、低信用主体，提高检查比例、强化监管力度，实现监管资源精准配置，提升监管效能与服务水平。</w:t>
      </w:r>
    </w:p>
    <w:p>
      <w:pPr>
        <w:pStyle w:val="5"/>
        <w:adjustRightInd w:val="0"/>
        <w:ind w:firstLine="643"/>
        <w:rPr>
          <w:rFonts w:hint="eastAsia"/>
          <w:color w:val="000000"/>
        </w:rPr>
      </w:pPr>
      <w:bookmarkStart w:id="94" w:name="_Toc238918068"/>
      <w:r>
        <w:rPr>
          <w:rFonts w:hint="eastAsia" w:ascii="仿宋_GB2312"/>
        </w:rPr>
        <w:t>4.健全标准体系建设与管理</w:t>
      </w:r>
      <w:bookmarkEnd w:id="94"/>
    </w:p>
    <w:bookmarkEnd w:id="91"/>
    <w:p>
      <w:pPr>
        <w:pStyle w:val="31"/>
        <w:ind w:firstLine="640"/>
        <w:rPr>
          <w:rFonts w:hint="eastAsia" w:ascii="黑体" w:hAnsi="黑体" w:eastAsia="黑体"/>
          <w:szCs w:val="32"/>
        </w:rPr>
      </w:pPr>
      <w:r>
        <w:rPr>
          <w:rFonts w:hint="eastAsia"/>
          <w:color w:val="000000"/>
        </w:rPr>
        <w:t>加强标准实施监督与宣贯示范，鼓励在气象防灾减灾、韧性城市建设、公共气象服务、气候资源开发利用、应对气候变化等领域的重大工程、项目及行业管理中采用先进标准，以标准化推动行业规范化发展。</w:t>
      </w:r>
      <w:r>
        <w:rPr>
          <w:rFonts w:hint="eastAsia" w:ascii="黑体" w:hAnsi="黑体" w:eastAsia="黑体"/>
          <w:szCs w:val="32"/>
        </w:rPr>
        <w:br w:type="page"/>
      </w:r>
    </w:p>
    <w:p>
      <w:pPr>
        <w:pStyle w:val="3"/>
        <w:adjustRightInd w:val="0"/>
        <w:snapToGrid w:val="0"/>
        <w:spacing w:before="0" w:after="0" w:line="560" w:lineRule="exact"/>
        <w:jc w:val="center"/>
        <w:rPr>
          <w:rFonts w:hint="eastAsia" w:ascii="黑体" w:hAnsi="黑体" w:eastAsia="黑体" w:cs="黑体"/>
          <w:b w:val="0"/>
          <w:bCs w:val="0"/>
          <w:sz w:val="36"/>
          <w:szCs w:val="36"/>
        </w:rPr>
      </w:pPr>
      <w:bookmarkStart w:id="95" w:name="_Toc238918069"/>
      <w:bookmarkStart w:id="96" w:name="_Toc25853"/>
      <w:r>
        <w:rPr>
          <w:rFonts w:hint="eastAsia" w:ascii="黑体" w:hAnsi="黑体" w:eastAsia="黑体" w:cs="黑体"/>
          <w:b w:val="0"/>
          <w:bCs w:val="0"/>
          <w:sz w:val="36"/>
          <w:szCs w:val="36"/>
        </w:rPr>
        <w:t>第三章  保障措施</w:t>
      </w:r>
      <w:bookmarkEnd w:id="95"/>
      <w:bookmarkEnd w:id="96"/>
    </w:p>
    <w:p>
      <w:pPr>
        <w:pStyle w:val="4"/>
        <w:adjustRightInd w:val="0"/>
        <w:snapToGrid w:val="0"/>
        <w:spacing w:before="156" w:beforeLines="50" w:after="0" w:line="560" w:lineRule="exact"/>
        <w:ind w:firstLine="640" w:firstLineChars="200"/>
        <w:rPr>
          <w:rFonts w:hint="eastAsia" w:ascii="黑体" w:hAnsi="黑体" w:eastAsia="黑体" w:cs="黑体"/>
          <w:b w:val="0"/>
          <w:bCs w:val="0"/>
        </w:rPr>
      </w:pPr>
      <w:bookmarkStart w:id="97" w:name="_Toc238918070"/>
      <w:bookmarkStart w:id="98" w:name="_Toc12613"/>
      <w:r>
        <w:rPr>
          <w:rFonts w:hint="eastAsia" w:ascii="黑体" w:hAnsi="黑体" w:eastAsia="黑体" w:cs="黑体"/>
          <w:b w:val="0"/>
          <w:bCs w:val="0"/>
        </w:rPr>
        <w:t>一、加强组织领导</w:t>
      </w:r>
      <w:bookmarkEnd w:id="97"/>
      <w:bookmarkEnd w:id="98"/>
    </w:p>
    <w:p>
      <w:pPr>
        <w:pStyle w:val="31"/>
        <w:ind w:firstLine="640"/>
        <w:rPr>
          <w:rFonts w:hint="eastAsia"/>
          <w:color w:val="000000"/>
          <w:highlight w:val="cyan"/>
        </w:rPr>
      </w:pPr>
      <w:r>
        <w:rPr>
          <w:rFonts w:hint="eastAsia"/>
          <w:color w:val="000000"/>
        </w:rPr>
        <w:t>加强对规划实施工作的组织领导，加大对全区气象事业高质量发展的支持力度，气象部门发挥主导作用，加强与各部门的沟通协调，积极推进落实重点气象工程项目，加强项目建设管理，发挥工程效益，促进气象事业更好发展。加强对规划实施的监督，确保各项任务和措施落到实处。</w:t>
      </w:r>
    </w:p>
    <w:p>
      <w:pPr>
        <w:pStyle w:val="4"/>
        <w:adjustRightInd w:val="0"/>
        <w:snapToGrid w:val="0"/>
        <w:spacing w:before="156" w:beforeLines="50" w:after="0" w:line="560" w:lineRule="exact"/>
        <w:ind w:firstLine="640" w:firstLineChars="200"/>
        <w:rPr>
          <w:rFonts w:hint="eastAsia" w:ascii="黑体" w:hAnsi="黑体" w:eastAsia="黑体" w:cs="黑体"/>
          <w:b w:val="0"/>
          <w:bCs w:val="0"/>
        </w:rPr>
      </w:pPr>
      <w:bookmarkStart w:id="99" w:name="_Toc238918071"/>
      <w:bookmarkStart w:id="100" w:name="_Toc17033"/>
      <w:r>
        <w:rPr>
          <w:rFonts w:hint="eastAsia" w:ascii="黑体" w:hAnsi="黑体" w:eastAsia="黑体" w:cs="黑体"/>
          <w:b w:val="0"/>
          <w:bCs w:val="0"/>
        </w:rPr>
        <w:t>二、完善保障机制</w:t>
      </w:r>
      <w:bookmarkEnd w:id="99"/>
      <w:bookmarkEnd w:id="100"/>
    </w:p>
    <w:p>
      <w:pPr>
        <w:pStyle w:val="31"/>
        <w:ind w:firstLine="640"/>
        <w:rPr>
          <w:rFonts w:hint="eastAsia"/>
          <w:color w:val="000000"/>
        </w:rPr>
      </w:pPr>
      <w:r>
        <w:rPr>
          <w:rFonts w:hint="eastAsia"/>
          <w:color w:val="000000"/>
        </w:rPr>
        <w:t>落实双重计划财务</w:t>
      </w:r>
      <w:r>
        <w:rPr>
          <w:rFonts w:hint="eastAsia"/>
          <w:color w:val="000000"/>
          <w:lang w:eastAsia="zh-CN"/>
        </w:rPr>
        <w:t>体制</w:t>
      </w:r>
      <w:r>
        <w:rPr>
          <w:rFonts w:hint="eastAsia"/>
          <w:color w:val="000000"/>
        </w:rPr>
        <w:t>保障，建立健全稳定的气象事业发展财政投入保障机制，按照政策规定落实地方事权范围内各项财政投入保障，着力完善与双重管理体制相适应的地方双重气象科技</w:t>
      </w:r>
      <w:r>
        <w:rPr>
          <w:rFonts w:hint="eastAsia"/>
          <w:color w:val="000000"/>
          <w:lang w:eastAsia="zh-CN"/>
        </w:rPr>
        <w:t>支撑体系</w:t>
      </w:r>
      <w:r>
        <w:rPr>
          <w:rFonts w:hint="eastAsia"/>
          <w:color w:val="000000"/>
        </w:rPr>
        <w:t>。</w:t>
      </w:r>
    </w:p>
    <w:p>
      <w:pPr>
        <w:pStyle w:val="4"/>
        <w:adjustRightInd w:val="0"/>
        <w:snapToGrid w:val="0"/>
        <w:spacing w:before="156" w:beforeLines="50" w:after="0" w:line="560" w:lineRule="exact"/>
        <w:ind w:firstLine="640" w:firstLineChars="200"/>
        <w:rPr>
          <w:rFonts w:hint="eastAsia" w:ascii="黑体" w:hAnsi="黑体" w:eastAsia="黑体" w:cs="黑体"/>
          <w:b w:val="0"/>
          <w:bCs w:val="0"/>
        </w:rPr>
      </w:pPr>
      <w:bookmarkStart w:id="101" w:name="_Toc13975"/>
      <w:bookmarkStart w:id="102" w:name="_Toc238918072"/>
      <w:r>
        <w:rPr>
          <w:rFonts w:hint="eastAsia" w:ascii="黑体" w:hAnsi="黑体" w:eastAsia="黑体" w:cs="黑体"/>
          <w:b w:val="0"/>
          <w:bCs w:val="0"/>
        </w:rPr>
        <w:t>三、加强人才建设</w:t>
      </w:r>
      <w:bookmarkEnd w:id="101"/>
      <w:bookmarkEnd w:id="102"/>
    </w:p>
    <w:p>
      <w:pPr>
        <w:pStyle w:val="31"/>
        <w:ind w:firstLine="640"/>
        <w:rPr>
          <w:rFonts w:hint="eastAsia"/>
          <w:color w:val="000000"/>
        </w:rPr>
      </w:pPr>
      <w:r>
        <w:rPr>
          <w:rFonts w:hint="eastAsia"/>
          <w:color w:val="000000"/>
        </w:rPr>
        <w:t>建立健全引才保障措施，通过提供良好的发展平台等吸引优秀人才。继续探索人才发展融入机制，通过部门交流等方式，推动气象高质量发展。完善人才服务保障，帮助解决人才合理需求，做好气象人才工作的各项保障。立足人才高地建设，加大对业务骨干、关键岗位的人才培养，加快培养气象高层次科技创新人才。</w:t>
      </w:r>
    </w:p>
    <w:p>
      <w:pPr>
        <w:pStyle w:val="4"/>
        <w:adjustRightInd w:val="0"/>
        <w:snapToGrid w:val="0"/>
        <w:spacing w:before="156" w:beforeLines="50" w:after="0" w:line="560" w:lineRule="exact"/>
        <w:ind w:firstLine="640" w:firstLineChars="200"/>
        <w:rPr>
          <w:rFonts w:hint="eastAsia" w:ascii="黑体" w:hAnsi="黑体" w:eastAsia="黑体" w:cs="黑体"/>
          <w:b w:val="0"/>
          <w:bCs w:val="0"/>
        </w:rPr>
      </w:pPr>
      <w:bookmarkStart w:id="103" w:name="_Toc1102"/>
      <w:bookmarkStart w:id="104" w:name="_Toc238918073"/>
      <w:r>
        <w:rPr>
          <w:rFonts w:hint="eastAsia" w:ascii="黑体" w:hAnsi="黑体" w:eastAsia="黑体" w:cs="黑体"/>
          <w:b w:val="0"/>
          <w:bCs w:val="0"/>
        </w:rPr>
        <w:t>四、扩大开放合作</w:t>
      </w:r>
      <w:bookmarkEnd w:id="103"/>
      <w:bookmarkEnd w:id="104"/>
    </w:p>
    <w:p>
      <w:pPr>
        <w:pStyle w:val="31"/>
        <w:ind w:firstLine="640"/>
        <w:rPr>
          <w:rFonts w:hint="eastAsia"/>
          <w:color w:val="000000"/>
        </w:rPr>
      </w:pPr>
      <w:r>
        <w:rPr>
          <w:rFonts w:hint="eastAsia"/>
          <w:color w:val="000000"/>
        </w:rPr>
        <w:t>建立区域气象合作机制，实现资源共享、优势互补。推动气象与农业、交通、旅游、环保、园林等部门的融合发展，建立跨部门合作机制。深化气象与产业融合发展，推动气象服务与临空经济、生态旅游等产业的深度融合，为区域经济发展注入气象力量。</w:t>
      </w:r>
    </w:p>
    <w:p>
      <w:pPr>
        <w:pStyle w:val="31"/>
        <w:ind w:firstLine="640"/>
        <w:rPr>
          <w:rFonts w:hint="eastAsia"/>
          <w:color w:val="000000"/>
        </w:rPr>
      </w:pPr>
    </w:p>
    <w:p>
      <w:pPr>
        <w:widowControl/>
        <w:jc w:val="left"/>
        <w:rPr>
          <w:rFonts w:hint="eastAsia" w:ascii="仿宋_GB2312" w:eastAsia="仿宋_GB2312"/>
          <w:sz w:val="32"/>
          <w:szCs w:val="32"/>
        </w:rPr>
      </w:pPr>
    </w:p>
    <w:sectPr>
      <w:footerReference r:id="rId4"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9"/>
                      <w:rPr>
                        <w:rFonts w:hint="eastAsia"/>
                      </w:rPr>
                    </w:pPr>
                  </w:p>
                </w:txbxContent>
              </v:textbox>
            </v:shape>
          </w:pict>
        </mc:Fallback>
      </mc:AlternateContent>
    </w:r>
    <w:sdt>
      <w:sdtPr>
        <w:id w:val="572316350"/>
        <w:placeholder>
          <w:docPart w:val="76D9AA7A64A24973BC90A255BC0DBAE8"/>
        </w:placeholder>
        <w:showingPlcHdr/>
      </w:sdtPr>
      <w:sdtContent>
        <w:r>
          <w:t xml:space="preserve">     </w:t>
        </w:r>
      </w:sdtContent>
    </w:sdt>
  </w:p>
  <w:p>
    <w:pPr>
      <w:pStyle w:val="9"/>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4064"/>
                          </w:sdtPr>
                          <w:sdtContent>
                            <w:p>
                              <w:pPr>
                                <w:pStyle w:val="9"/>
                                <w:jc w:val="center"/>
                                <w:rPr>
                                  <w:rFonts w:hint="eastAsia"/>
                                </w:rPr>
                              </w:pPr>
                              <w:r>
                                <w:fldChar w:fldCharType="begin"/>
                              </w:r>
                              <w:r>
                                <w:instrText xml:space="preserve">PAGE   \* MERGEFORMAT</w:instrText>
                              </w:r>
                              <w:r>
                                <w:fldChar w:fldCharType="separate"/>
                              </w:r>
                              <w:r>
                                <w:rPr>
                                  <w:lang w:val="zh-CN"/>
                                </w:rPr>
                                <w:t>18</w:t>
                              </w:r>
                              <w:r>
                                <w:fldChar w:fldCharType="end"/>
                              </w:r>
                            </w:p>
                          </w:sdtContent>
                        </w:sdt>
                        <w:p>
                          <w:pPr>
                            <w:rPr>
                              <w:rFonts w:hint="eastAsia"/>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HP4ZNkPAgAABwQAAA4AAAAAAAAAAQAgAAAA&#10;HwEAAGRycy9lMm9Eb2MueG1sUEsFBgAAAAAGAAYAWQEAAKAFAAAAAA==&#10;">
              <v:fill on="f" focussize="0,0"/>
              <v:stroke on="f" weight="0.5pt"/>
              <v:imagedata o:title=""/>
              <o:lock v:ext="edit" aspectratio="f"/>
              <v:textbox inset="0mm,0mm,0mm,0mm" style="mso-fit-shape-to-text:t;">
                <w:txbxContent>
                  <w:sdt>
                    <w:sdtPr>
                      <w:id w:val="147474064"/>
                    </w:sdtPr>
                    <w:sdtContent>
                      <w:p>
                        <w:pPr>
                          <w:pStyle w:val="9"/>
                          <w:jc w:val="center"/>
                          <w:rPr>
                            <w:rFonts w:hint="eastAsia"/>
                          </w:rPr>
                        </w:pPr>
                        <w:r>
                          <w:fldChar w:fldCharType="begin"/>
                        </w:r>
                        <w:r>
                          <w:instrText xml:space="preserve">PAGE   \* MERGEFORMAT</w:instrText>
                        </w:r>
                        <w:r>
                          <w:fldChar w:fldCharType="separate"/>
                        </w:r>
                        <w:r>
                          <w:rPr>
                            <w:lang w:val="zh-CN"/>
                          </w:rPr>
                          <w:t>18</w:t>
                        </w:r>
                        <w:r>
                          <w:fldChar w:fldCharType="end"/>
                        </w:r>
                      </w:p>
                    </w:sdtContent>
                  </w:sdt>
                  <w:p>
                    <w:pPr>
                      <w:rPr>
                        <w:rFonts w:hint="eastAsia"/>
                      </w:rPr>
                    </w:pPr>
                  </w:p>
                </w:txbxContent>
              </v:textbox>
            </v:shape>
          </w:pict>
        </mc:Fallback>
      </mc:AlternateContent>
    </w:r>
  </w:p>
  <w:p>
    <w:pPr>
      <w:pStyle w:val="9"/>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I5ODE3YzRmNTk3ZjM1YzIxZjE1MDQyMjBiY2M5YmEifQ=="/>
  </w:docVars>
  <w:rsids>
    <w:rsidRoot w:val="00A90EB6"/>
    <w:rsid w:val="00025949"/>
    <w:rsid w:val="000434B7"/>
    <w:rsid w:val="000436DF"/>
    <w:rsid w:val="00046FEF"/>
    <w:rsid w:val="00062778"/>
    <w:rsid w:val="00063A58"/>
    <w:rsid w:val="00086712"/>
    <w:rsid w:val="0009661D"/>
    <w:rsid w:val="000F29C3"/>
    <w:rsid w:val="000F4A42"/>
    <w:rsid w:val="001156BE"/>
    <w:rsid w:val="00126C82"/>
    <w:rsid w:val="001312CC"/>
    <w:rsid w:val="00137EBE"/>
    <w:rsid w:val="00143A03"/>
    <w:rsid w:val="001440FA"/>
    <w:rsid w:val="0015357F"/>
    <w:rsid w:val="00153D4C"/>
    <w:rsid w:val="00154B44"/>
    <w:rsid w:val="001630C1"/>
    <w:rsid w:val="00177C48"/>
    <w:rsid w:val="00187FD1"/>
    <w:rsid w:val="00196F2A"/>
    <w:rsid w:val="001A38F7"/>
    <w:rsid w:val="001A59AE"/>
    <w:rsid w:val="001E00A5"/>
    <w:rsid w:val="00203E51"/>
    <w:rsid w:val="00221206"/>
    <w:rsid w:val="00222961"/>
    <w:rsid w:val="00233C74"/>
    <w:rsid w:val="002428D3"/>
    <w:rsid w:val="0024417B"/>
    <w:rsid w:val="00244EF5"/>
    <w:rsid w:val="0025453D"/>
    <w:rsid w:val="00265563"/>
    <w:rsid w:val="002956C2"/>
    <w:rsid w:val="002C0E9B"/>
    <w:rsid w:val="002C62AA"/>
    <w:rsid w:val="002E157B"/>
    <w:rsid w:val="002E23F5"/>
    <w:rsid w:val="00307311"/>
    <w:rsid w:val="00310BBC"/>
    <w:rsid w:val="003313DF"/>
    <w:rsid w:val="00332C6A"/>
    <w:rsid w:val="00343D7A"/>
    <w:rsid w:val="003606E8"/>
    <w:rsid w:val="003779C8"/>
    <w:rsid w:val="0038410B"/>
    <w:rsid w:val="00386067"/>
    <w:rsid w:val="003A3A91"/>
    <w:rsid w:val="003C0E7B"/>
    <w:rsid w:val="003E0830"/>
    <w:rsid w:val="003F3BD4"/>
    <w:rsid w:val="003F6B9D"/>
    <w:rsid w:val="003F7D66"/>
    <w:rsid w:val="0040443C"/>
    <w:rsid w:val="00405426"/>
    <w:rsid w:val="0041646C"/>
    <w:rsid w:val="00435024"/>
    <w:rsid w:val="004518F3"/>
    <w:rsid w:val="004646F2"/>
    <w:rsid w:val="00483870"/>
    <w:rsid w:val="00491169"/>
    <w:rsid w:val="004A0301"/>
    <w:rsid w:val="004B1EBB"/>
    <w:rsid w:val="004B7343"/>
    <w:rsid w:val="004D59C8"/>
    <w:rsid w:val="004E155A"/>
    <w:rsid w:val="004F271A"/>
    <w:rsid w:val="004F4778"/>
    <w:rsid w:val="00522E2B"/>
    <w:rsid w:val="005257EB"/>
    <w:rsid w:val="00533C9E"/>
    <w:rsid w:val="005405CE"/>
    <w:rsid w:val="005407B4"/>
    <w:rsid w:val="00573A26"/>
    <w:rsid w:val="00574C3E"/>
    <w:rsid w:val="00584BB3"/>
    <w:rsid w:val="00586F62"/>
    <w:rsid w:val="005A2631"/>
    <w:rsid w:val="005B7A84"/>
    <w:rsid w:val="005C09A7"/>
    <w:rsid w:val="005C6C70"/>
    <w:rsid w:val="005D3846"/>
    <w:rsid w:val="005D7ED3"/>
    <w:rsid w:val="005E056E"/>
    <w:rsid w:val="005E14CD"/>
    <w:rsid w:val="005E1C70"/>
    <w:rsid w:val="00637129"/>
    <w:rsid w:val="00640C32"/>
    <w:rsid w:val="006477E1"/>
    <w:rsid w:val="00652DFC"/>
    <w:rsid w:val="00657E73"/>
    <w:rsid w:val="00687D89"/>
    <w:rsid w:val="006938DD"/>
    <w:rsid w:val="00697796"/>
    <w:rsid w:val="006F3025"/>
    <w:rsid w:val="006F6410"/>
    <w:rsid w:val="00700E1F"/>
    <w:rsid w:val="007047A3"/>
    <w:rsid w:val="00707A56"/>
    <w:rsid w:val="00707D2E"/>
    <w:rsid w:val="00712AC4"/>
    <w:rsid w:val="007166EF"/>
    <w:rsid w:val="007230A0"/>
    <w:rsid w:val="007230E6"/>
    <w:rsid w:val="00733C0A"/>
    <w:rsid w:val="00734A26"/>
    <w:rsid w:val="00794520"/>
    <w:rsid w:val="007A0E72"/>
    <w:rsid w:val="007B01C1"/>
    <w:rsid w:val="007B39C5"/>
    <w:rsid w:val="007C43B1"/>
    <w:rsid w:val="007E119D"/>
    <w:rsid w:val="00804342"/>
    <w:rsid w:val="00824066"/>
    <w:rsid w:val="00824253"/>
    <w:rsid w:val="00830A38"/>
    <w:rsid w:val="00833954"/>
    <w:rsid w:val="00835650"/>
    <w:rsid w:val="00851BB2"/>
    <w:rsid w:val="00866A5F"/>
    <w:rsid w:val="00874034"/>
    <w:rsid w:val="008A712F"/>
    <w:rsid w:val="008C3831"/>
    <w:rsid w:val="008D3009"/>
    <w:rsid w:val="00900B5E"/>
    <w:rsid w:val="00905FD9"/>
    <w:rsid w:val="00921B67"/>
    <w:rsid w:val="00922F7B"/>
    <w:rsid w:val="00923D9B"/>
    <w:rsid w:val="00934C17"/>
    <w:rsid w:val="00937E8E"/>
    <w:rsid w:val="009460FE"/>
    <w:rsid w:val="0095410C"/>
    <w:rsid w:val="009A088B"/>
    <w:rsid w:val="009A51AC"/>
    <w:rsid w:val="009B0918"/>
    <w:rsid w:val="009B1FC2"/>
    <w:rsid w:val="009D0142"/>
    <w:rsid w:val="009D5842"/>
    <w:rsid w:val="009F20E1"/>
    <w:rsid w:val="009F50B4"/>
    <w:rsid w:val="00A0474A"/>
    <w:rsid w:val="00A11120"/>
    <w:rsid w:val="00A31BC0"/>
    <w:rsid w:val="00A44773"/>
    <w:rsid w:val="00A449C5"/>
    <w:rsid w:val="00A837F9"/>
    <w:rsid w:val="00A90EB6"/>
    <w:rsid w:val="00AA1144"/>
    <w:rsid w:val="00AA1D15"/>
    <w:rsid w:val="00AE2422"/>
    <w:rsid w:val="00B00F2C"/>
    <w:rsid w:val="00B1703F"/>
    <w:rsid w:val="00B36B06"/>
    <w:rsid w:val="00B4375F"/>
    <w:rsid w:val="00B72A47"/>
    <w:rsid w:val="00B744EB"/>
    <w:rsid w:val="00B93F3D"/>
    <w:rsid w:val="00BB10AE"/>
    <w:rsid w:val="00BD27D8"/>
    <w:rsid w:val="00BE0CCA"/>
    <w:rsid w:val="00BE0DEA"/>
    <w:rsid w:val="00BE4DA4"/>
    <w:rsid w:val="00C01B0F"/>
    <w:rsid w:val="00C0406C"/>
    <w:rsid w:val="00C23289"/>
    <w:rsid w:val="00C32EEF"/>
    <w:rsid w:val="00C406E7"/>
    <w:rsid w:val="00C41634"/>
    <w:rsid w:val="00C43FF2"/>
    <w:rsid w:val="00C512E4"/>
    <w:rsid w:val="00C76485"/>
    <w:rsid w:val="00C86377"/>
    <w:rsid w:val="00C86684"/>
    <w:rsid w:val="00CB4269"/>
    <w:rsid w:val="00CB7181"/>
    <w:rsid w:val="00CC4EE1"/>
    <w:rsid w:val="00CD1937"/>
    <w:rsid w:val="00CD36EF"/>
    <w:rsid w:val="00CE179B"/>
    <w:rsid w:val="00CF451E"/>
    <w:rsid w:val="00D33003"/>
    <w:rsid w:val="00D43916"/>
    <w:rsid w:val="00D46406"/>
    <w:rsid w:val="00D468C2"/>
    <w:rsid w:val="00D62A78"/>
    <w:rsid w:val="00D740D9"/>
    <w:rsid w:val="00D77EEA"/>
    <w:rsid w:val="00D82A59"/>
    <w:rsid w:val="00D9160F"/>
    <w:rsid w:val="00D91B77"/>
    <w:rsid w:val="00D93D79"/>
    <w:rsid w:val="00DC5979"/>
    <w:rsid w:val="00DD0923"/>
    <w:rsid w:val="00DD7C2B"/>
    <w:rsid w:val="00E37771"/>
    <w:rsid w:val="00E52CB5"/>
    <w:rsid w:val="00E543F7"/>
    <w:rsid w:val="00E552CF"/>
    <w:rsid w:val="00E64F1B"/>
    <w:rsid w:val="00E714DA"/>
    <w:rsid w:val="00EA4FE1"/>
    <w:rsid w:val="00EB1350"/>
    <w:rsid w:val="00ED377A"/>
    <w:rsid w:val="00EE2F5D"/>
    <w:rsid w:val="00EE416C"/>
    <w:rsid w:val="00F17278"/>
    <w:rsid w:val="00F22225"/>
    <w:rsid w:val="00F31F9E"/>
    <w:rsid w:val="00F61BDA"/>
    <w:rsid w:val="00F729C5"/>
    <w:rsid w:val="00F93A41"/>
    <w:rsid w:val="00FA4B46"/>
    <w:rsid w:val="00FB3D82"/>
    <w:rsid w:val="00FC6A69"/>
    <w:rsid w:val="00FD22A3"/>
    <w:rsid w:val="00FD6168"/>
    <w:rsid w:val="040205A2"/>
    <w:rsid w:val="0466553A"/>
    <w:rsid w:val="07C42D2E"/>
    <w:rsid w:val="0AC928DB"/>
    <w:rsid w:val="0EA22F64"/>
    <w:rsid w:val="12372C5F"/>
    <w:rsid w:val="152803C2"/>
    <w:rsid w:val="16B2514F"/>
    <w:rsid w:val="2811724B"/>
    <w:rsid w:val="2A2815A2"/>
    <w:rsid w:val="2C720327"/>
    <w:rsid w:val="330D6ECB"/>
    <w:rsid w:val="3398618B"/>
    <w:rsid w:val="33E25270"/>
    <w:rsid w:val="3D2D0651"/>
    <w:rsid w:val="43E341EB"/>
    <w:rsid w:val="450E3316"/>
    <w:rsid w:val="450F0361"/>
    <w:rsid w:val="4E225FDD"/>
    <w:rsid w:val="539F5F39"/>
    <w:rsid w:val="547A40FB"/>
    <w:rsid w:val="5C2962A0"/>
    <w:rsid w:val="629158DA"/>
    <w:rsid w:val="716B3916"/>
    <w:rsid w:val="78F52779"/>
    <w:rsid w:val="79D41460"/>
    <w:rsid w:val="7A876966"/>
    <w:rsid w:val="7DD448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0" w:semiHidden="0"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7"/>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22"/>
    <w:unhideWhenUsed/>
    <w:qFormat/>
    <w:uiPriority w:val="9"/>
    <w:pPr>
      <w:snapToGrid w:val="0"/>
      <w:spacing w:line="560" w:lineRule="exact"/>
      <w:ind w:firstLine="200" w:firstLineChars="200"/>
      <w:outlineLvl w:val="2"/>
    </w:pPr>
    <w:rPr>
      <w:rFonts w:eastAsia="仿宋_GB2312"/>
      <w:b/>
      <w:bCs/>
      <w:sz w:val="32"/>
      <w:szCs w:val="32"/>
    </w:rPr>
  </w:style>
  <w:style w:type="character" w:default="1" w:styleId="15">
    <w:name w:val="Default Paragraph Font"/>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styleId="2">
    <w:name w:val="Block Text"/>
    <w:basedOn w:val="1"/>
    <w:next w:val="1"/>
    <w:qFormat/>
    <w:uiPriority w:val="0"/>
    <w:pPr>
      <w:spacing w:after="120"/>
      <w:ind w:left="700" w:leftChars="700" w:right="700" w:rightChars="700"/>
    </w:pPr>
  </w:style>
  <w:style w:type="paragraph" w:styleId="6">
    <w:name w:val="toc 3"/>
    <w:basedOn w:val="1"/>
    <w:next w:val="1"/>
    <w:unhideWhenUsed/>
    <w:qFormat/>
    <w:uiPriority w:val="39"/>
    <w:pPr>
      <w:widowControl/>
      <w:spacing w:after="100" w:line="259" w:lineRule="auto"/>
      <w:ind w:left="440"/>
      <w:jc w:val="left"/>
    </w:pPr>
    <w:rPr>
      <w:rFonts w:cs="Times New Roman"/>
      <w:kern w:val="0"/>
      <w:sz w:val="22"/>
    </w:rPr>
  </w:style>
  <w:style w:type="paragraph" w:styleId="7">
    <w:name w:val="Date"/>
    <w:basedOn w:val="1"/>
    <w:next w:val="1"/>
    <w:link w:val="29"/>
    <w:semiHidden/>
    <w:unhideWhenUsed/>
    <w:qFormat/>
    <w:uiPriority w:val="99"/>
    <w:pPr>
      <w:ind w:left="100" w:leftChars="2500"/>
    </w:pPr>
  </w:style>
  <w:style w:type="paragraph" w:styleId="8">
    <w:name w:val="Balloon Text"/>
    <w:basedOn w:val="1"/>
    <w:link w:val="24"/>
    <w:semiHidden/>
    <w:unhideWhenUsed/>
    <w:qFormat/>
    <w:uiPriority w:val="99"/>
    <w:rPr>
      <w:sz w:val="18"/>
      <w:szCs w:val="18"/>
    </w:rPr>
  </w:style>
  <w:style w:type="paragraph" w:styleId="9">
    <w:name w:val="footer"/>
    <w:basedOn w:val="1"/>
    <w:link w:val="19"/>
    <w:unhideWhenUsed/>
    <w:qFormat/>
    <w:uiPriority w:val="99"/>
    <w:pPr>
      <w:tabs>
        <w:tab w:val="center" w:pos="4153"/>
        <w:tab w:val="right" w:pos="8306"/>
      </w:tabs>
      <w:snapToGrid w:val="0"/>
      <w:jc w:val="left"/>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pPr>
      <w:widowControl/>
      <w:tabs>
        <w:tab w:val="right" w:leader="dot" w:pos="8296"/>
      </w:tabs>
      <w:spacing w:after="100" w:line="259" w:lineRule="auto"/>
      <w:jc w:val="left"/>
    </w:pPr>
    <w:rPr>
      <w:rFonts w:ascii="黑体" w:hAnsi="黑体" w:eastAsia="黑体" w:cs="Times New Roman"/>
      <w:kern w:val="0"/>
      <w:szCs w:val="21"/>
    </w:rPr>
  </w:style>
  <w:style w:type="paragraph" w:styleId="12">
    <w:name w:val="toc 2"/>
    <w:basedOn w:val="1"/>
    <w:next w:val="1"/>
    <w:unhideWhenUsed/>
    <w:qFormat/>
    <w:uiPriority w:val="39"/>
    <w:pPr>
      <w:widowControl/>
      <w:spacing w:after="100" w:line="259" w:lineRule="auto"/>
      <w:ind w:left="220"/>
      <w:jc w:val="left"/>
    </w:pPr>
    <w:rPr>
      <w:rFonts w:cs="Times New Roman"/>
      <w:kern w:val="0"/>
      <w:sz w:val="22"/>
    </w:rPr>
  </w:style>
  <w:style w:type="paragraph" w:styleId="13">
    <w:name w:val="Normal (Web)"/>
    <w:basedOn w:val="1"/>
    <w:qFormat/>
    <w:uiPriority w:val="99"/>
    <w:pPr>
      <w:spacing w:before="100" w:beforeAutospacing="1" w:after="100" w:afterAutospacing="1"/>
      <w:jc w:val="left"/>
    </w:pPr>
    <w:rPr>
      <w:rFonts w:ascii="Calibri" w:hAnsi="Calibri" w:eastAsia="宋体" w:cs="Times New Roman"/>
      <w:kern w:val="0"/>
      <w:sz w:val="24"/>
      <w:szCs w:val="24"/>
    </w:rPr>
  </w:style>
  <w:style w:type="character" w:styleId="16">
    <w:name w:val="Strong"/>
    <w:basedOn w:val="15"/>
    <w:qFormat/>
    <w:uiPriority w:val="0"/>
    <w:rPr>
      <w:b/>
    </w:rPr>
  </w:style>
  <w:style w:type="character" w:styleId="17">
    <w:name w:val="Hyperlink"/>
    <w:basedOn w:val="15"/>
    <w:unhideWhenUsed/>
    <w:qFormat/>
    <w:uiPriority w:val="99"/>
    <w:rPr>
      <w:color w:val="0563C1" w:themeColor="hyperlink"/>
      <w:u w:val="single"/>
      <w14:textFill>
        <w14:solidFill>
          <w14:schemeClr w14:val="hlink"/>
        </w14:solidFill>
      </w14:textFill>
    </w:rPr>
  </w:style>
  <w:style w:type="character" w:customStyle="1" w:styleId="18">
    <w:name w:val="页眉 字符"/>
    <w:basedOn w:val="15"/>
    <w:link w:val="10"/>
    <w:qFormat/>
    <w:uiPriority w:val="99"/>
    <w:rPr>
      <w:sz w:val="18"/>
      <w:szCs w:val="18"/>
    </w:rPr>
  </w:style>
  <w:style w:type="character" w:customStyle="1" w:styleId="19">
    <w:name w:val="页脚 字符"/>
    <w:basedOn w:val="15"/>
    <w:link w:val="9"/>
    <w:qFormat/>
    <w:uiPriority w:val="99"/>
    <w:rPr>
      <w:sz w:val="18"/>
      <w:szCs w:val="18"/>
    </w:rPr>
  </w:style>
  <w:style w:type="paragraph" w:styleId="20">
    <w:name w:val="List Paragraph"/>
    <w:basedOn w:val="1"/>
    <w:qFormat/>
    <w:uiPriority w:val="34"/>
    <w:pPr>
      <w:ind w:firstLine="420" w:firstLineChars="200"/>
    </w:pPr>
    <w:rPr>
      <w:rFonts w:ascii="Calibri" w:hAnsi="Calibri" w:eastAsia="宋体" w:cs="Times New Roman"/>
      <w:szCs w:val="24"/>
    </w:rPr>
  </w:style>
  <w:style w:type="paragraph" w:customStyle="1" w:styleId="21">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22">
    <w:name w:val="标题 3 字符"/>
    <w:basedOn w:val="15"/>
    <w:link w:val="5"/>
    <w:qFormat/>
    <w:uiPriority w:val="9"/>
    <w:rPr>
      <w:rFonts w:eastAsia="仿宋_GB2312"/>
      <w:b/>
      <w:bCs/>
      <w:kern w:val="2"/>
      <w:sz w:val="32"/>
      <w:szCs w:val="32"/>
    </w:rPr>
  </w:style>
  <w:style w:type="character" w:customStyle="1" w:styleId="23">
    <w:name w:val="标题 2 字符"/>
    <w:basedOn w:val="15"/>
    <w:link w:val="4"/>
    <w:qFormat/>
    <w:uiPriority w:val="9"/>
    <w:rPr>
      <w:rFonts w:asciiTheme="majorHAnsi" w:hAnsiTheme="majorHAnsi" w:eastAsiaTheme="majorEastAsia" w:cstheme="majorBidi"/>
      <w:b/>
      <w:bCs/>
      <w:kern w:val="2"/>
      <w:sz w:val="32"/>
      <w:szCs w:val="32"/>
    </w:rPr>
  </w:style>
  <w:style w:type="character" w:customStyle="1" w:styleId="24">
    <w:name w:val="批注框文本 字符"/>
    <w:basedOn w:val="15"/>
    <w:link w:val="8"/>
    <w:semiHidden/>
    <w:qFormat/>
    <w:uiPriority w:val="99"/>
    <w:rPr>
      <w:kern w:val="2"/>
      <w:sz w:val="18"/>
      <w:szCs w:val="18"/>
    </w:rPr>
  </w:style>
  <w:style w:type="paragraph" w:customStyle="1" w:styleId="25">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6">
    <w:name w:val="修订3"/>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27">
    <w:name w:val="标题 1 字符"/>
    <w:basedOn w:val="15"/>
    <w:link w:val="3"/>
    <w:qFormat/>
    <w:uiPriority w:val="9"/>
    <w:rPr>
      <w:b/>
      <w:bCs/>
      <w:kern w:val="44"/>
      <w:sz w:val="44"/>
      <w:szCs w:val="44"/>
    </w:rPr>
  </w:style>
  <w:style w:type="paragraph" w:customStyle="1" w:styleId="28">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29">
    <w:name w:val="日期 字符"/>
    <w:basedOn w:val="15"/>
    <w:link w:val="7"/>
    <w:semiHidden/>
    <w:qFormat/>
    <w:uiPriority w:val="99"/>
    <w:rPr>
      <w:kern w:val="2"/>
      <w:sz w:val="21"/>
      <w:szCs w:val="22"/>
    </w:rPr>
  </w:style>
  <w:style w:type="character" w:styleId="30">
    <w:name w:val="Placeholder Text"/>
    <w:basedOn w:val="15"/>
    <w:unhideWhenUsed/>
    <w:qFormat/>
    <w:uiPriority w:val="99"/>
    <w:rPr>
      <w:color w:val="808080"/>
    </w:rPr>
  </w:style>
  <w:style w:type="paragraph" w:customStyle="1" w:styleId="31">
    <w:name w:val="说明文字"/>
    <w:basedOn w:val="1"/>
    <w:qFormat/>
    <w:uiPriority w:val="0"/>
    <w:pPr>
      <w:wordWrap w:val="0"/>
      <w:spacing w:line="560" w:lineRule="exact"/>
      <w:ind w:firstLine="480" w:firstLineChars="200"/>
    </w:pPr>
    <w:rPr>
      <w:rFonts w:ascii="仿宋_GB2312" w:hAnsi="仿宋_GB2312" w:eastAsia="仿宋_GB2312" w:cs="Times New Roman"/>
      <w:color w:val="FF0000"/>
      <w:kern w:val="0"/>
      <w:sz w:val="32"/>
      <w:szCs w:val="24"/>
    </w:rPr>
  </w:style>
</w:styles>
</file>

<file path=word/_rels/document.xml.rels><?xml version="1.0" encoding="UTF-8" standalone="yes"?>
<Relationships xmlns="http://schemas.openxmlformats.org/package/2006/relationships"><Relationship Id="rId9" Type="http://schemas.openxmlformats.org/officeDocument/2006/relationships/glossaryDocument" Target="glossary/document.xml"/><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76D9AA7A64A24973BC90A255BC0DBAE8"/>
        <w:style w:val=""/>
        <w:category>
          <w:name w:val="常规"/>
          <w:gallery w:val="placeholder"/>
        </w:category>
        <w:types>
          <w:type w:val="bbPlcHdr"/>
        </w:types>
        <w:behaviors>
          <w:behavior w:val="content"/>
        </w:behaviors>
        <w:description w:val=""/>
        <w:guid w:val="{9050D8E9-BEB8-4268-80EA-9148AFC1FCD8}"/>
      </w:docPartPr>
      <w:docPartBody>
        <w:p>
          <w:pPr>
            <w:rPr>
              <w:rFonts w:hint="eastAsia"/>
            </w:rPr>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C35"/>
    <w:rsid w:val="004124F7"/>
    <w:rsid w:val="007B4060"/>
    <w:rsid w:val="009D5842"/>
    <w:rsid w:val="009F5F56"/>
    <w:rsid w:val="00C20B39"/>
    <w:rsid w:val="00E47012"/>
    <w:rsid w:val="00FB0C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uiPriority="1" w:name="Default Paragraph Font"/>
    <w:lsdException w:qFormat="1" w:uiPriority="99" w:name="Normal Table"/>
    <w:lsdException w:qFormat="1" w:uiPriority="99" w:semiHidden="0" w:name="Placeholder Text"/>
  </w:latentStyles>
  <w:style w:type="paragraph" w:default="1" w:styleId="1">
    <w:name w:val="Normal"/>
    <w:qFormat/>
    <w:uiPriority w:val="0"/>
    <w:pPr>
      <w:widowControl w:val="0"/>
      <w:jc w:val="both"/>
    </w:pPr>
    <w:rPr>
      <w:rFonts w:cs="Times New Roman" w:asciiTheme="minorHAnsi" w:hAnsiTheme="minorHAnsi" w:eastAsiaTheme="minorEastAsia"/>
      <w:kern w:val="2"/>
      <w:sz w:val="3276"/>
      <w:szCs w:val="3276"/>
      <w:lang w:val="en-US" w:eastAsia="zh-CN" w:bidi="ar-SA"/>
      <w14:ligatures w14:val="standardContextual"/>
    </w:rPr>
  </w:style>
  <w:style w:type="character" w:default="1" w:styleId="2">
    <w:name w:val="Default Paragraph Font"/>
    <w:semiHidden/>
    <w:unhideWhenUsed/>
    <w:uiPriority w:val="1"/>
  </w:style>
  <w:style w:type="table" w:default="1" w:styleId="3">
    <w:name w:val="Normal Table"/>
    <w:semiHidden/>
    <w:unhideWhenUsed/>
    <w:qFormat/>
    <w:uiPriority w:val="99"/>
    <w:tblPr>
      <w:tblLayout w:type="fixed"/>
      <w:tblCellMar>
        <w:top w:w="0" w:type="dxa"/>
        <w:left w:w="108" w:type="dxa"/>
        <w:bottom w:w="0" w:type="dxa"/>
        <w:right w:w="108" w:type="dxa"/>
      </w:tblCellMar>
    </w:tblPr>
  </w:style>
  <w:style w:type="character" w:styleId="4">
    <w:name w:val="Placeholder Text"/>
    <w:basedOn w:val="2"/>
    <w:unhideWhenUsed/>
    <w:qFormat/>
    <w:uiPriority w:val="99"/>
    <w:rPr>
      <w:color w:val="808080"/>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120B359-751C-4B8B-B246-1A3FACA0AABF}">
  <ds:schemaRefs/>
</ds:datastoreItem>
</file>

<file path=docProps/app.xml><?xml version="1.0" encoding="utf-8"?>
<Properties xmlns="http://schemas.openxmlformats.org/officeDocument/2006/extended-properties" xmlns:vt="http://schemas.openxmlformats.org/officeDocument/2006/docPropsVTypes">
  <Template>wdzx97</Template>
  <Pages>19</Pages>
  <Words>7503</Words>
  <Characters>7620</Characters>
  <Lines>256</Lines>
  <Paragraphs>120</Paragraphs>
  <TotalTime>3</TotalTime>
  <ScaleCrop>false</ScaleCrop>
  <LinksUpToDate>false</LinksUpToDate>
  <CharactersWithSpaces>7743</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2026-08-29T09:34:00Z</dcterms:created>
  <dc:creator>yueqiang</dc:creator>
  <cp:lastModifiedBy>胖砸</cp:lastModifiedBy>
  <dcterms:modified xsi:type="dcterms:W3CDTF">2026-09-16T08:23:09Z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008B0D133F9847BE99AA8D6BB09AE9D4_13</vt:lpwstr>
  </property>
  <property fmtid="{D5CDD505-2E9C-101B-9397-08002B2CF9AE}" pid="4" name="KSOTemplateDocerSaveRecord">
    <vt:lpwstr>eyJoZGlkIjoiNzUyYzkxZTU0MmE0MGVlNjhmYTgwYzdlN2Y4MDg1MmUiLCJ1c2VySWQiOiIyNjA5MjQ2NjYifQ==</vt:lpwstr>
  </property>
</Properties>
</file>