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pacing w:val="-11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pacing w:val="-11"/>
          <w:sz w:val="32"/>
          <w:szCs w:val="32"/>
          <w:highlight w:val="none"/>
          <w:lang w:eastAsia="zh-CN"/>
        </w:rPr>
        <w:t>附件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highlight w:val="none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highlight w:val="none"/>
        </w:rPr>
        <w:t>大兴区“十五五”时期推进农业农村现代化规划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  <w:t>（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  <w:t>征求意见稿）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为贯彻落实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《加快农业农村现代化“十五五”规划》《北京市“十五五”时期推进农业农村现代化规划》《北京市大兴区国民经济和社会发展第十五个五年规划纲要》要求，加快农业农村现代化，推进乡村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全面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振兴，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结合大兴区实际，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制定本规划。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规划期限为2026—2030年。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坚持以习近平新时代中国特色社会主义思想为指导，全面贯彻党的二十大和二十届历次全会精神，深入贯彻落实习近平总书记关于“三农”工作的重要论述、重要指示批示和考察北京重要讲话精神，牢记总书记五次亲临大兴时的殷殷嘱托，锚定率先基本实现农业农村现代化目标，立足“三区一门户”功能定位，坚持“大京郊服务大城市”，以农林科技产业发展为核心，深耕精塑“6+5+3”产业发展布局和“中心主城+美丽乡村+特色小镇”城乡发展格局，扎实做好“兴产业、兴风貌、兴福祉”三篇文章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着力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推动农业高质高效、农村宜居宜业、农民富裕富足，奋力打造首都乡村全面振兴的“大兴样板”，为全市率先基本实现社会主义现代化贡献“大兴力量”。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到2030年，全区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力争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率先基本实现农业农村现代化，农业产业兴、农村环境美、农民收入丰、城乡融合畅成为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首都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乡村全面振兴的生动写照。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兴产业，聚力打造农业强区新标杆。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区重要农产品稳产增产能力稳步提升，现代农业产业生产、经营体系更加完善，西甜瓜、蔬菜、种苗等优势产业蓬勃发展。农林科技产业集聚成势，农村一二三产业深度融合，让大兴成为首都都市型现代农业发展示范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农林科技产业创新策源地。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兴风貌，精心绘就和美乡村新画卷。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空间布局不断优化，“百千工程”建设取得更多实质性成效，基础设施建设水平进一步提升，农村环境干净整洁、美丽清爽。城乡要素双向流动更加畅通，农村优秀传统文化得到有效保护与传承活化，首都宜居宜业和美乡村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与精品特色小镇魅力充分彰显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兴福祉，奋力迈出共同富裕新步伐。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民增收渠道持续拓宽，集体经济实力不断发展壮大，联农带农机制更加健全有效，农村居民人均可支配收入稳步提升，城乡居民收入差距持续缩小，共同富裕的根基更加牢固。党建引领乡村治理体系更加完善，农民获得感、幸福感、安全感更加充实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大兴区“十五五”时期推进农业农村现代化规划主要指标</w:t>
      </w:r>
    </w:p>
    <w:tbl>
      <w:tblPr>
        <w:tblStyle w:val="11"/>
        <w:tblW w:w="93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908"/>
        <w:gridCol w:w="3123"/>
        <w:gridCol w:w="1204"/>
        <w:gridCol w:w="2180"/>
        <w:gridCol w:w="1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7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90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  <w:lang w:eastAsia="zh-CN"/>
              </w:rPr>
              <w:t>类别</w:t>
            </w: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2025年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</w:rPr>
              <w:t>2030年目标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spacing w:val="2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pacing w:val="20"/>
                <w:kern w:val="0"/>
                <w:sz w:val="22"/>
                <w:szCs w:val="22"/>
                <w:highlight w:val="none"/>
                <w:lang w:val="en-US" w:eastAsia="zh-CN"/>
              </w:rPr>
              <w:t>综合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spacing w:val="2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pacing w:val="20"/>
                <w:kern w:val="0"/>
                <w:sz w:val="22"/>
                <w:szCs w:val="22"/>
                <w:highlight w:val="none"/>
                <w:lang w:val="en-US" w:eastAsia="zh-CN"/>
              </w:rPr>
              <w:t>发展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spacing w:val="20"/>
                <w:kern w:val="0"/>
                <w:sz w:val="22"/>
                <w:szCs w:val="22"/>
                <w:highlight w:val="none"/>
                <w:lang w:val="en-US" w:eastAsia="zh-CN"/>
              </w:rPr>
              <w:t>水平</w:t>
            </w: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pacing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</w:rPr>
              <w:t>乡村全面振兴发展指数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79.3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spacing w:val="-17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pacing w:val="-17"/>
                <w:kern w:val="0"/>
                <w:sz w:val="28"/>
                <w:szCs w:val="28"/>
                <w:highlight w:val="none"/>
                <w:lang w:val="en-US" w:eastAsia="zh-CN"/>
              </w:rPr>
              <w:t>稳步增长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农业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高质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高效</w:t>
            </w: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kern w:val="0"/>
                <w:sz w:val="28"/>
                <w:szCs w:val="28"/>
                <w:highlight w:val="none"/>
              </w:rPr>
              <w:t>农林牧渔业总产值</w:t>
            </w:r>
            <w:r>
              <w:rPr>
                <w:rFonts w:hint="eastAsia" w:ascii="仿宋_GB2312" w:hAnsi="仿宋_GB2312" w:cs="仿宋_GB2312"/>
                <w:bCs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增速（</w:t>
            </w:r>
            <w:r>
              <w:rPr>
                <w:rFonts w:hint="eastAsia" w:ascii="仿宋_GB2312" w:hAnsi="仿宋_GB2312" w:cs="仿宋_GB2312"/>
                <w:bCs/>
                <w:spacing w:val="-20"/>
                <w:kern w:val="0"/>
                <w:sz w:val="28"/>
                <w:szCs w:val="28"/>
                <w:highlight w:val="none"/>
                <w:lang w:val="en-US" w:eastAsia="zh-CN"/>
              </w:rPr>
              <w:t>%</w:t>
            </w:r>
            <w:r>
              <w:rPr>
                <w:rFonts w:hint="eastAsia" w:ascii="仿宋_GB2312" w:hAnsi="仿宋_GB2312" w:cs="仿宋_GB2312"/>
                <w:bCs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0.46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spacing w:val="-17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pacing w:val="-17"/>
                <w:kern w:val="0"/>
                <w:sz w:val="28"/>
                <w:szCs w:val="28"/>
                <w:highlight w:val="none"/>
                <w:lang w:val="en-US" w:eastAsia="zh-CN"/>
              </w:rPr>
              <w:t>力争与经济增长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pacing w:val="-17"/>
                <w:kern w:val="0"/>
                <w:sz w:val="28"/>
                <w:szCs w:val="28"/>
                <w:highlight w:val="none"/>
                <w:lang w:val="en-US" w:eastAsia="zh-CN"/>
              </w:rPr>
              <w:t>同步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高标准农田面积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万亩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5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.31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13.31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农业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高质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pacing w:val="-2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高效</w:t>
            </w: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kern w:val="0"/>
                <w:sz w:val="28"/>
                <w:szCs w:val="28"/>
                <w:highlight w:val="none"/>
              </w:rPr>
              <w:t>高效节水灌溉面积</w:t>
            </w:r>
            <w:r>
              <w:rPr>
                <w:rFonts w:hint="eastAsia" w:ascii="仿宋_GB2312" w:hAnsi="仿宋_GB2312" w:eastAsia="仿宋_GB2312" w:cs="仿宋_GB2312"/>
                <w:bCs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pacing w:val="-20"/>
                <w:kern w:val="0"/>
                <w:sz w:val="28"/>
                <w:szCs w:val="28"/>
                <w:highlight w:val="none"/>
              </w:rPr>
              <w:t>万亩</w:t>
            </w:r>
            <w:r>
              <w:rPr>
                <w:rFonts w:hint="eastAsia" w:ascii="仿宋_GB2312" w:hAnsi="仿宋_GB2312" w:eastAsia="仿宋_GB2312" w:cs="仿宋_GB2312"/>
                <w:bCs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3.25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highlight w:val="none"/>
              </w:rPr>
              <w:t>12</w:t>
            </w:r>
            <w:r>
              <w:rPr>
                <w:rFonts w:hint="eastAsia" w:ascii="仿宋_GB2312" w:hAnsi="仿宋_GB2312" w:cs="仿宋_GB2312"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.56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粮食产量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eastAsia="zh-CN"/>
              </w:rPr>
              <w:t>（亿斤）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1.4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完成市级下达任务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蔬菜产量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eastAsia="zh-CN"/>
              </w:rPr>
              <w:t>（亿斤）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完成市级下达任务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设施蔬菜占蔬菜总产量比例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%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66.1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color w:val="000000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达到市级目标要求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西瓜产量（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eastAsia="zh-CN"/>
              </w:rPr>
              <w:t>亿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斤）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0.89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年育苗量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亿株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pacing w:val="-14"/>
                <w:sz w:val="28"/>
                <w:szCs w:val="28"/>
                <w:highlight w:val="none"/>
                <w:lang w:val="en-US" w:eastAsia="zh-CN"/>
              </w:rPr>
              <w:t>产量保持稳定并持续提升质量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  <w:t>绿色有机农产品产量</w:t>
            </w:r>
            <w:r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  <w:lang w:eastAsia="zh-CN"/>
              </w:rPr>
              <w:t>（亿斤）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1.28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完成市级下达任务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农村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宜居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宜业</w:t>
            </w: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“百千工程”建设村庄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数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量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（个）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花园村庄数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（个）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完成市级下达任务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pacing w:val="-6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6"/>
                <w:kern w:val="0"/>
                <w:sz w:val="28"/>
                <w:szCs w:val="28"/>
                <w:highlight w:val="none"/>
              </w:rPr>
              <w:t>农村生活污水治理率</w:t>
            </w:r>
            <w:r>
              <w:rPr>
                <w:rFonts w:hint="eastAsia" w:ascii="仿宋_GB2312" w:hAnsi="仿宋_GB2312" w:eastAsia="仿宋_GB2312" w:cs="仿宋_GB2312"/>
                <w:bCs/>
                <w:spacing w:val="-6"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pacing w:val="-6"/>
                <w:kern w:val="0"/>
                <w:sz w:val="28"/>
                <w:szCs w:val="28"/>
                <w:highlight w:val="none"/>
              </w:rPr>
              <w:t>%</w:t>
            </w:r>
            <w:r>
              <w:rPr>
                <w:rFonts w:hint="eastAsia" w:ascii="仿宋_GB2312" w:hAnsi="仿宋_GB2312" w:eastAsia="仿宋_GB2312" w:cs="仿宋_GB2312"/>
                <w:bCs/>
                <w:spacing w:val="-6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——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90以上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美丽乡村路里程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（公里）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42.3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完成市级下达任务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  <w:t>村卫生室全面一体化管理率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72.9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完成市级下达任务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约束性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  <w:t>乡村医生中具备执业（助理）医师资格的人员比例</w:t>
            </w:r>
            <w:r>
              <w:rPr>
                <w:rFonts w:hint="eastAsia" w:ascii="仿宋_GB2312" w:hAnsi="仿宋_GB2312" w:cs="仿宋_GB2312"/>
                <w:bCs/>
                <w:spacing w:val="-23"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pacing w:val="-23"/>
                <w:kern w:val="0"/>
                <w:sz w:val="28"/>
                <w:szCs w:val="28"/>
                <w:highlight w:val="none"/>
              </w:rPr>
              <w:t>%</w:t>
            </w:r>
            <w:r>
              <w:rPr>
                <w:rFonts w:hint="eastAsia" w:ascii="仿宋_GB2312" w:hAnsi="仿宋_GB2312" w:cs="仿宋_GB2312"/>
                <w:bCs/>
                <w:spacing w:val="-23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66.55%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稳步提高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农民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富裕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富足</w:t>
            </w: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农村居民人均教育文化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娱乐支出占比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%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-20"/>
                <w:kern w:val="0"/>
                <w:sz w:val="28"/>
                <w:szCs w:val="28"/>
                <w:highlight w:val="none"/>
                <w:lang w:eastAsia="zh-CN"/>
              </w:rPr>
              <w:t>高于全市平均水平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</w:rPr>
              <w:t>城乡居民基础养老金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</w:rPr>
              <w:t>标准</w:t>
            </w:r>
            <w:r>
              <w:rPr>
                <w:rFonts w:hint="eastAsia" w:ascii="仿宋_GB2312" w:hAnsi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</w:rPr>
              <w:t>元/月</w:t>
            </w:r>
            <w:r>
              <w:rPr>
                <w:rFonts w:hint="eastAsia" w:ascii="仿宋_GB2312" w:hAnsi="仿宋_GB2312" w:cs="仿宋_GB2312"/>
                <w:bCs/>
                <w:color w:val="000000"/>
                <w:spacing w:val="0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highlight w:val="none"/>
              </w:rPr>
              <w:t>961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highlight w:val="none"/>
              </w:rPr>
              <w:t>1183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农村居民人均可支配</w:t>
            </w:r>
          </w:p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收入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万元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4</w:t>
            </w: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.2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</w:rPr>
              <w:t>稳步提升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77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123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城乡居民收入比</w:t>
            </w:r>
          </w:p>
        </w:tc>
        <w:tc>
          <w:tcPr>
            <w:tcW w:w="1204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1.76</w:t>
            </w:r>
          </w:p>
        </w:tc>
        <w:tc>
          <w:tcPr>
            <w:tcW w:w="218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逐步缩小</w:t>
            </w:r>
          </w:p>
        </w:tc>
        <w:tc>
          <w:tcPr>
            <w:tcW w:w="1168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beforeLines="0" w:afterLines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highlight w:val="none"/>
                <w:lang w:val="en-US" w:eastAsia="zh-CN"/>
              </w:rPr>
              <w:t>预期性</w:t>
            </w:r>
          </w:p>
        </w:tc>
      </w:tr>
    </w:tbl>
    <w:p>
      <w:pPr>
        <w:widowControl w:val="0"/>
        <w:wordWrap/>
        <w:overflowPunct w:val="0"/>
        <w:adjustRightInd/>
        <w:snapToGrid/>
        <w:spacing w:before="157" w:beforeLines="5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到2035年，乡村全面振兴取得决定性进展，农业更加高质高效、乡村更加宜居宜业、农民更加富裕富足、城乡更加繁荣兴旺，为全市推进农业农村现代化、打造农业强国的“首都之窗”作出突出贡献。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二、空间布局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深入贯彻“大城市带动大京郊，大京郊服务大城市”发展方略，锚定区委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“6+5+3”产业发展布局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“中心主城+美丽乡村+特色小镇”城乡发展格局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，逐步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构建“一核引领、三带联动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五片支撑”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大兴特色乡村产业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发展体系。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一核</w:t>
      </w: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京南农林科技产业园创新示范核（京南农林科技园）。聚焦农林科技、宠物经济、花卉产业三大领域，以龙头企业带动和资源要素集聚发挥核心引领作用。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三带</w:t>
      </w: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庞采路现代设施农业产业带、南中轴雅韵田园文化产业带、永定河绿色乡村旅游产业带。依托国家现代农业产业园、设施蔬菜产业带和规模提升群、“百千工程”、永定河文化带绿道、乡村旅游、特色小镇等重点项目串点成线，推动三带产业联动，促进农文旅深度融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五片</w:t>
      </w: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五个特色产业集聚区。各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涉农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依托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资源禀赋和产业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因地制宜培育壮大乡村特色产业，推动产业集聚成势与深度融合。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（庞各庄镇、安定镇、魏善庄镇）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做强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瓜、果、花卉产业，南部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（礼贤镇、榆垡镇）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农文旅融合产业，东部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（长子营镇、采育镇、青云店镇）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壮大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智慧种苗和蔬菜产业，西部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（北臧村镇）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培育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特色水产养殖业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北部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（瀛海镇、西红门镇、旧宫镇、黄村镇）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打造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都市休闲农业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示范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形成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各具特点、交织互补的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现代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农业产业集群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ascii="Calibri" w:hAnsi="Calibri" w:eastAsia="宋体" w:cs="黑体"/>
          <w:kern w:val="2"/>
          <w:sz w:val="21"/>
          <w:szCs w:val="24"/>
          <w:highlight w:val="none"/>
          <w:lang w:val="en-US" w:eastAsia="zh-CN" w:bidi="ar-SA"/>
        </w:rPr>
        <w:pict>
          <v:shape id="图片 1" o:spid="_x0000_s1027" o:spt="75" type="#_x0000_t75" style="position:absolute;left:0pt;margin-left:77.3pt;margin-top:193.85pt;height:360.55pt;width:444.4pt;mso-position-horizontal-relative:page;mso-position-vertical-relative:page;z-index:251658240;mso-width-relative:page;mso-height-relative:page;" filled="f" o:preferrelative="t" stroked="f" coordsize="21600,21600">
            <v:path/>
            <v:fill on="f" focussize="0,0"/>
            <v:stroke on="f"/>
            <v:imagedata r:id="rId5" cropbottom="1364f" blacklevel="0f" o:title=""/>
            <o:lock v:ext="edit" aspectratio="t"/>
          </v:shape>
        </w:pic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大兴区“十五五”时期推进农业农村现代化发展空间布局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黑体" w:hAnsi="黑体" w:eastAsia="黑体" w:cs="黑体"/>
          <w:spacing w:val="-20"/>
          <w:sz w:val="32"/>
          <w:szCs w:val="32"/>
          <w:highlight w:val="none"/>
          <w:lang w:val="en-US" w:eastAsia="zh-CN"/>
        </w:rPr>
        <w:t>坚决扛稳首都农业大区担当，提质打造都市型现代农业新高地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（一）严守耕地保护红线。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严格落实粮食安全和耕地保护党政同责，坚决遏制耕地“非农化”“非粮化”。依托全域土地综合整治，探索耕地保护及合理高效利用新模式。持续推进新增耕地验收，提升地力水平。锚定“将具备条件的永久基本农田全部建成高标准农田”目标，科学规划农田建设空间布局，健全完善建后管护机制，到2030年累计建成高标准农田13.31万亩，高效节水灌溉面积达到12.56万亩，实现耕地数量、质量“双提升”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（二）扛牢粮食安全重任。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坚持生产生态、增产增收一起抓，推动粮食新品种、新技术、新装备应用，提高粮食单产和品质，打造一批高产高效提升区。用好农机补贴相关政策，推广高性能播种、收获机械，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不断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提升粮食生产机械化作业水平。调优粮经作物产业结构，适度扩大鲜食玉米、特色杂粮等种植面积。加强粮食储备安全管理，完善购销、储备轮换、应急保障等机制。“十五五”期间，确保完成市级下达任务，粮食单产水平持续提升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（三）推动“菜篮子”产业提质增效。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立足“首都蔬菜核心保供基地”定位，强化科技、人才赋能与设施盘活利用，培育壮大2条产业推进带和5个规模提升群，推动大兴由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蔬菜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规模大区向效益强区、品牌名区升级。“十五五”期间，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全区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蔬菜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产量稳定在1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亿斤以上，设施蔬菜产量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产值稳步提升。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落实全市生猪产能综合调控要求，深化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畜禽养殖节本增效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。推进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奶业产业集群项目建设，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发展设施渔业，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打造京南特色水产品养殖产业带。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（四）擦亮西瓜金字招牌。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落实全市“一区一品”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战略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，充分发挥西甜瓜产业技术研究院引领作用，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统筹推动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技术创新、龙头引育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品牌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升级，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立大兴西甜瓜产业标准化技术体系，加强品种研发与成果转化，进一步拓宽市场渠道，打造具有首都引领力、京津冀带动力、全国影响力的西甜瓜产业科技创新示范区。到2030年，本地西甜瓜产量稳定在1亿斤以上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进入中高端市场比重持续增长；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结合外埠基地生产保持西瓜全年无间断供应。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（五）壮大林果花卉产业。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推动绿色产业高质量发展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，打造涵盖研发、生产、运营的绿色产业全链条体系。</w:t>
      </w:r>
      <w:r>
        <w:rPr>
          <w:rFonts w:hint="eastAsia" w:ascii="仿宋_GB2312" w:hAnsi="仿宋_GB2312" w:cs="仿宋_GB2312"/>
          <w:sz w:val="32"/>
          <w:highlight w:val="none"/>
          <w:lang w:val="en-US" w:eastAsia="zh-CN"/>
        </w:rPr>
        <w:t>加快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推进北京国际花卉产业园建设，</w:t>
      </w:r>
      <w:r>
        <w:rPr>
          <w:rFonts w:hint="eastAsia" w:ascii="仿宋_GB2312" w:hAnsi="仿宋_GB2312" w:cs="仿宋_GB2312"/>
          <w:sz w:val="32"/>
          <w:highlight w:val="none"/>
          <w:lang w:val="en-US" w:eastAsia="zh-CN"/>
        </w:rPr>
        <w:t>持续擦亮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“大兴月季”品牌，打造“花卉+”多</w:t>
      </w:r>
      <w:r>
        <w:rPr>
          <w:rFonts w:hint="eastAsia" w:ascii="仿宋_GB2312" w:hAnsi="仿宋_GB2312" w:cs="仿宋_GB2312"/>
          <w:sz w:val="32"/>
          <w:highlight w:val="none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场景体验阵地。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聚焦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梨、葡萄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、桑葚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特色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果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品，</w:t>
      </w:r>
      <w:r>
        <w:rPr>
          <w:rFonts w:hint="eastAsia" w:ascii="仿宋_GB2312" w:hAnsi="仿宋_GB2312" w:cs="仿宋_GB2312"/>
          <w:sz w:val="32"/>
          <w:highlight w:val="none"/>
          <w:lang w:val="en-US" w:eastAsia="zh-CN"/>
        </w:rPr>
        <w:t>深耕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良种选育、绿色栽培、智慧果园、技术服务等环节，</w:t>
      </w:r>
      <w:r>
        <w:rPr>
          <w:rFonts w:hint="eastAsia" w:ascii="仿宋_GB2312" w:hAnsi="仿宋_GB2312" w:cs="仿宋_GB2312"/>
          <w:sz w:val="32"/>
          <w:highlight w:val="none"/>
          <w:lang w:val="en-US" w:eastAsia="zh-CN"/>
        </w:rPr>
        <w:t>推进林果现代化体系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提质</w:t>
      </w:r>
      <w:r>
        <w:rPr>
          <w:rFonts w:hint="eastAsia" w:ascii="仿宋_GB2312" w:hAnsi="仿宋_GB2312" w:cs="仿宋_GB2312"/>
          <w:sz w:val="32"/>
          <w:highlight w:val="none"/>
          <w:lang w:val="en-US" w:eastAsia="zh-CN"/>
        </w:rPr>
        <w:t>升级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strike w:val="0"/>
          <w:sz w:val="32"/>
          <w:szCs w:val="32"/>
          <w:highlight w:val="none"/>
          <w:lang w:val="en-US" w:eastAsia="zh-CN"/>
        </w:rPr>
        <w:t>因地制宜发展林药、林花和旅游康养等林下经济模式</w:t>
      </w:r>
      <w:r>
        <w:rPr>
          <w:rFonts w:hint="eastAsia" w:ascii="仿宋_GB2312" w:hAnsi="仿宋_GB2312" w:eastAsia="仿宋_GB2312" w:cs="仿宋_GB2312"/>
          <w:strike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cs="仿宋_GB2312"/>
          <w:strike w:val="0"/>
          <w:sz w:val="32"/>
          <w:szCs w:val="32"/>
          <w:highlight w:val="none"/>
          <w:lang w:val="en-US" w:eastAsia="zh-CN"/>
        </w:rPr>
        <w:t>依托国有林场打造科普示范基地，</w:t>
      </w:r>
      <w:r>
        <w:rPr>
          <w:rFonts w:hint="eastAsia" w:ascii="仿宋_GB2312" w:hAnsi="仿宋_GB2312" w:eastAsia="仿宋_GB2312" w:cs="仿宋_GB2312"/>
          <w:strike w:val="0"/>
          <w:sz w:val="32"/>
          <w:szCs w:val="32"/>
          <w:highlight w:val="none"/>
          <w:lang w:val="en-US" w:eastAsia="zh-CN"/>
        </w:rPr>
        <w:t>推</w:t>
      </w:r>
      <w:r>
        <w:rPr>
          <w:rFonts w:hint="eastAsia" w:ascii="仿宋_GB2312" w:hAnsi="仿宋_GB2312" w:cs="仿宋_GB2312"/>
          <w:strike w:val="0"/>
          <w:sz w:val="32"/>
          <w:szCs w:val="32"/>
          <w:highlight w:val="none"/>
          <w:lang w:val="en-US" w:eastAsia="zh-CN"/>
        </w:rPr>
        <w:t>动生态资源高效转化</w:t>
      </w:r>
      <w:r>
        <w:rPr>
          <w:rFonts w:hint="eastAsia" w:ascii="仿宋_GB2312" w:hAnsi="仿宋_GB2312" w:eastAsia="仿宋_GB2312" w:cs="仿宋_GB2312"/>
          <w:strike w:val="0"/>
          <w:sz w:val="32"/>
          <w:szCs w:val="32"/>
          <w:highlight w:val="none"/>
          <w:lang w:val="en-US" w:eastAsia="zh-CN"/>
        </w:rPr>
        <w:t>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（六）织密农业生产安全防线。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深化乡村振兴领域气象服务，加强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农业气象灾害预警预报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应急防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体系建设，抓好农作物病虫害防治和重大动植物疫情防控，持续增强农业生产抗灾韧性。深入开展农业行业安全风险源头管控和排查整治，推进农业安全生产治理体系和治理能力现代化。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农业绿色生产方式，促进农药、化肥减量增效，绿色农产品认证产量实现稳步提升。强化农产品质量安全检测和网格化监管，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综合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合格率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保持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在98%以上。</w:t>
      </w:r>
    </w:p>
    <w:tbl>
      <w:tblPr>
        <w:tblStyle w:val="11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8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0"/>
                <w:szCs w:val="30"/>
                <w:highlight w:val="none"/>
                <w:lang w:val="en-US" w:eastAsia="zh-CN"/>
              </w:rPr>
              <w:t>专栏1  农业质量效益提升工程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908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1.高标准农田建设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“十五五”期间，新建和改造提升高标准农田8万亩，涉及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庞各庄、榆垡、青云店、魏善庄等11个镇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2.粮食高产高效提升区建设项目。围绕小麦、玉米等主要粮食作物和鲜食玉米等特色作物，建设一批高产高效提升区。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3.蔬菜产业集群项目。重点打造提升2条蔬菜产业推进带（庞安路延长线、安采路沿线）和5个规模提升</w:t>
            </w: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群（庞各庄镇、青云店镇、长子营镇、采育镇、安定镇），提高特色精品蔬菜生产能力，推进蔬菜育苗、生产、加工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、销售等全产业链发展，设施蔬菜占蔬菜总产量比重持续增加。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.西瓜产业高质量发展项目。与北京市农林科学院深入合作，推动西甜瓜产业技术研究院落地京南农林科技园，加强科技创新与种业研发，完善技术推广体系和产业标准化技术体系；引育龙头企业3-5家，与大型商超建立西甜瓜产供销合作机制；强化标准化生产与质量安全，稳定本地西瓜种植面积和育苗量；推进品牌建设与渠道拓展，“大兴西瓜”品牌授权企业达到8家以上；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依托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全市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“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一区一品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”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项目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，打造以“大兴西瓜”为核心的区域电商品牌。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奶业产业集群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。以北京三元食品股份有限公司为建设主体，推进三元食品预处理生产线建设项目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大兴区国家母婴乳品健康工程技术研究中心中试生产线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项目建设，提升乳品深加工水平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和产业效益。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6.特色水产品养殖项目。以北臧村镇为核心，推进循环水、智慧工厂化、智慧渔业养殖示范基地等项目建设，打造京南特色水产品养殖产业带。</w:t>
            </w:r>
          </w:p>
        </w:tc>
      </w:tr>
    </w:tbl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四、大力发展农林科技产业，加快培育农业新质生产力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（七）积极培育京南农林科技园。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聚焦农林科技、宠物经济、花卉产业三大核心赛道，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招商引资、招大引强和招才引智，吸引大院大所、龙头企业、专业机构等入驻，将京南农林科技园打造成集科创研发、要素配置、成果展示、交流合作于一体的高端产业园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，推动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农林科技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产业集聚成势。充分发挥园区示范引领作用，强化农林科技创新源头供给和成果转化应用，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辐射带动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产业带、产业集聚区和特色小镇等建设发展。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（八）持续做强首都“种苗核心区”。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围绕全市“种业之都”和种业创新集聚区建设，巩固提升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引种育苗、回购销售“两头在内”，种植生产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中间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外”的大兴特色种苗产业发展布局，依托区内智慧种苗科技示范基地、融媒体种苗集货交易展示中心、种苗质量检测中心三大平台，构建以行业领军企业为龙头、特色育苗企业为主体、平台服务企业为支撑的多层次产业集群，做优“种苗+示范+品牌+交易”模式，打造首都种业流通“第一站”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（九）着力发展现代设施农业与智慧农业。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积极争取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超长期特别国债、市级“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以奖代补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等政策，新建和改造提升一批设施农业，促进设施宜机化、节能化、智能化、绿色化发展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推进集约化育苗场建设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和设施西瓜智能化提升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，强化智慧设施、智能装备等应用推广，因地制宜发展设施林果、花卉、水产养殖等产业。到2030年，设施农业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种植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机械化率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和信息化率实现稳步提升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，打造一批智慧农业、数字农业典型示范应用场景。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（十）有序发展宠物经济。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以京南农林科技园为核心，辐射带动生物医药基地与庞各庄镇，联动中心主城、机场空港区及其他特色小镇，构建“一核、两翼、多节点”产业布局，</w:t>
      </w:r>
      <w:r>
        <w:rPr>
          <w:rFonts w:hint="eastAsia" w:ascii="仿宋_GB2312" w:hAnsi="仿宋_GB2312" w:cs="仿宋_GB2312"/>
          <w:szCs w:val="32"/>
          <w:highlight w:val="none"/>
        </w:rPr>
        <w:t>重点发力宠物药械、诊疗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服务</w:t>
      </w:r>
      <w:r>
        <w:rPr>
          <w:rFonts w:hint="eastAsia" w:ascii="仿宋_GB2312" w:hAnsi="仿宋_GB2312" w:cs="仿宋_GB2312"/>
          <w:szCs w:val="32"/>
          <w:highlight w:val="none"/>
        </w:rPr>
        <w:t>、营养食品、消费服务、赛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事</w:t>
      </w:r>
      <w:r>
        <w:rPr>
          <w:rFonts w:hint="eastAsia" w:ascii="仿宋_GB2312" w:hAnsi="仿宋_GB2312" w:cs="仿宋_GB2312"/>
          <w:szCs w:val="32"/>
          <w:highlight w:val="none"/>
        </w:rPr>
        <w:t>会展五大赛道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，强化平台、基金、网络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场景支撑，打造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国家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宠物技术标准创新策源地、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首都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宠物医药健康产业集聚区、国际宠物消费与文化交流示范区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力争到2030年宠物经济产业全链条营收达到30亿元。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（十一）前瞻性布局生物制造产业。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“6+5+3”产业发展布局引领下，充分发挥大兴生物医药基地、京南农林科技园等科技创新优势，培育农业生物制造战略新兴产业，加速合成生物技术在农业领域应用。探索发展生物育种、农用生物制品、生物饲料与替代蛋白、农产品精深加工、高附加值农业投入品等，重点在基因合成、细胞工厂、蛋白设计等方面加快共性技术创新平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建设，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守牢生物安全底线，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促进生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命健康产业发展。</w:t>
      </w:r>
    </w:p>
    <w:tbl>
      <w:tblPr>
        <w:tblStyle w:val="11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8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highlight w:val="none"/>
                <w:lang w:val="en-US" w:eastAsia="zh-CN"/>
              </w:rPr>
              <w:t>专栏2  农林科技产业建设工程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908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trike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1.重点功能区建设。建设京南农林科技产业集聚区，依托企航商务园，布局发展农林科技、宠物经济、花卉产业等，对接引进科研院所、高校实验室和高科技、高附加值企业等，推动资源业态集聚，打造首都都市型科技农业引领园</w:t>
            </w:r>
            <w:r>
              <w:rPr>
                <w:rFonts w:hint="eastAsia" w:ascii="仿宋_GB2312" w:hAnsi="仿宋_GB2312" w:cs="仿宋_GB2312"/>
                <w:strike w:val="0"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2.种苗经济。锚定全市“3+N”种业创新集聚区建设目标，打造大兴种苗特色发展区。推进数字化种苗研究与应用，搭建共享种苗数字化管控平台，建设智慧育苗全流程数字化管理系统，与“数智京园”设施农业管控平台衔接，整合育苗、生产、流通等环节数据资源，推动设施农业数字化发展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3.设施蔬菜产业。对标市级设施农业建设规范，明确主推棚型、规格和标准，用好上级扶持资金，锚定宜机作业、智能适配建设方向，打造现代化集约化高标准设施蔬菜生产基地。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  <w:t>4.宠物经济。制定出台宠物经济发展规划；联动北京市头部动物医药企业发起动物医药创新产业联盟，推动动物医药产业集聚；在京南农林科技园布局未来宠物产业研究院，支持庞各庄镇打造宠物主题商业综合体等项目。</w:t>
            </w:r>
          </w:p>
        </w:tc>
      </w:tr>
    </w:tbl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五、积极推进业态融合发展，有力带动农民增收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（十二）高标准打造产业发展支撑载体。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快推进国家现代农业产业园建设，突出联农带农与绿色生产，打造京津冀现代农业全链条示范。充分发挥现代农业科技试验示范基地、农业农村部重点实验室等“国字号”平台作用，健全农技示范推广体系，促进生产需求与技术服务精准对接。巩固提升国家乡村振兴示范县、农业现代化示范区、农业产业强镇等项目建设成果，促进优势农产品精品化、产业化发展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（十三）高水平推进一二三产业融合。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深入挖掘大兴特色文化资源，完善配套服务设施，打造推介一批乡村休闲旅游精品线路和打卡地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办好西瓜节、葡萄季等节庆活动，培育特色市集、赛事演出等场景业态，推动农文旅教商体等产业深度融合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持续做强“微度假来大兴”等品牌影响力。推动本地鲜活农产品就近就地加工转化，提高预冷、保鲜和净菜加工能力，探索发展预制菜、航食、功能性食品等精深加工和体验式项目，延伸产业链条。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（十四）高起点培育特色品牌。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标“京品”农业高质量发展要求，聚力发展品牌农业、质量农业，加强大兴西瓜、庞各庄金把黄鸭梨、安定桑葚、魏善庄月季花等地标和特色产品保护开发，推进种质保护、引育改良、技术配套、企业赋能、示范推广和产销对接，深耕标准化生产与质量安全，讲好品牌故事，培育市场知名度高、竞争力强的区域品牌，提升溢价能力。深化“数商兴农”，规范发展农产品直播带货，培育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大兴农业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电商品牌。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（十五）高质量推进农民就业增收。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充分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挖掘城乡就业资源，充分释放养老、家政、文旅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、农村基础设施建设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领域就业潜力，开发更多面向农村劳动力的城乡就业岗位。完善公共就业服务体系，丰富职业技能和创业就业培训内容，探索新技术赋能现代农业发展与乡村业态创新路径，引导企业合理增加一线劳动者劳动报酬和薪资水平。强化各项惠农政策落地，多措并举推动农民收入持续增长。</w:t>
      </w:r>
    </w:p>
    <w:tbl>
      <w:tblPr>
        <w:tblStyle w:val="11"/>
        <w:tblW w:w="89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96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highlight w:val="none"/>
                <w:lang w:val="en-US" w:eastAsia="zh-CN"/>
              </w:rPr>
              <w:t>专栏3  乡村产业高质量发展工程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0" w:hRule="atLeast"/>
          <w:jc w:val="center"/>
        </w:trPr>
        <w:tc>
          <w:tcPr>
            <w:tcW w:w="896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1.国家现代农业产业园项目。聚焦设施农业，深耕科技创新与示范引领双重功能，统筹实施设施提升、产业提质、产业融合、公共服务、富民振兴五大工程共26个重点项目，注重绿色生产、品牌培育和联农带农，全面构建“三产融合、三链延伸”的设施农业产业体系，力争2028年全面建成投产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.乡村休闲旅游项目。聚焦亲子研学、农耕体验、特色非遗等核心场景，打造主题鲜明、串联高效、体验丰富的精品旅游路线，提升休闲农业园区品质，推动区域特色产品、文化和旅游资源深度融合。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.市级“一区一品”项目。强化农业品牌培育，推进大兴西瓜区域公共品牌建设，培育地域特色，深挖地理标志价值，持续拓宽线上、线下产销渠道，以品牌赋能产业增效、农户增收。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.培育发展农村电商。依托“京品”农业战略，打造以“大兴西甜瓜”为核心的区域电商直播平台。采用“直播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+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产地直销”模式，统一包装、讲好品牌故事，提升品牌溢价与市场影响力。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5.点状配套设施用地试点项目。落实全市点状配套设施用地政策，严守耕地、生态保护等刚性底线，分批次推进小微配套类、建设用地类项目实施。优先向“百千工程”片区、乡村文旅重点板块布局项目，促进政策叠加、资金整合与资源共享，放大项目建设效能。强化存量闲置资源盘活利用，重点支持现代农业、科普研学、农文旅融合等乡村新业态发展，有效带动村集体经济增收，保障农民共享产业增值收益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六、全面提升农村环境品质，不断增进民生福祉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（十六）深入实施“百千工程”。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锚定宜居宜业和美乡村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目标，围绕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三大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业带沿线、临空经济区、大兴国际旅游度假区、特色小镇等重点区域，引导项目、资金、人才等要素集聚，高效串联各镇休闲农业、文旅线路、田园景观、餐饮民宿等资源业态，梯次打造一批乡村振兴重点片区和重点村。到2030年，累计建设“百千工程”示范提升村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个左右，</w:t>
      </w:r>
      <w:r>
        <w:rPr>
          <w:rFonts w:hint="eastAsia" w:ascii="仿宋_GB2312" w:hAnsi="仿宋_GB2312" w:cs="仿宋_GB2312"/>
          <w:szCs w:val="32"/>
          <w:highlight w:val="none"/>
        </w:rPr>
        <w:t>全面提升乡村风貌、产业发展、建设、治理及片区互联互通水平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（十七）持续提升农村环境品质。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深入开展城乡环境品质提升专项行动，巩固拓展农村“五边”环境整治成效，动态消除农村黑臭水体，加强农林废弃物回收处置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，深化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农业面源污染治理，打造干净整洁、美丽清爽的农村环境。加速推进机场周边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大美田园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建设及重点廊道环境提升，研究编制农村环境品质提升指引，有序推进村庄绿化美化亮化，打造一批大兴特色的花园村庄，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建设乡村公园60个，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全面塑造首都新国门、京郊乡村靓丽名片。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（十八）加强农村基础设施建管。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强农村道路照明、绿化美化、景观节点等协同建设，持续打造“美丽乡村路”，做好街坊路养护修缮。推进城乡供水一体化，确保农村生活污水收集处理全覆盖。有序实施农村清洁取暖设备更新，探索推广光伏、地热等可再生能源应用。科学布局农村公共充电设施，逐步扩大覆盖范围。加快数字乡村建设，推进信息基础设施升级，提升农村数字化水平。合理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增设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农村体育设施场地，提升农村生活品质。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（十九）不断优化农村公共服务。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深化城乡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教育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结对帮扶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农村学前教育、义务教育优质均衡发展。加强农村医疗卫生服务体系建设，推动优质医疗资源向农村延伸，持续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提升农村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医保服务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质效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加强镇域养老服务中心建设， 提升村级养老服务驿站功能，推进镇级敬老院转型发展。优化农村地区便民商业网点布局，打造特色小镇商业微中心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（二十）全面建设善治乡村。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强化农村基层党组织建设，选优配强基层带头人队伍，培训提高镇村班子领导乡村振兴能力。严格干部监督管理，接续实施“新国门·青苗”培养计划，抓好村级后备人才队伍建设，精准选派第一书记。建设平安法治乡村，着力化解矛盾纠纷和信访突出问题，完善农村社会治安整体防控体系，常态化推进扫黑除恶，加强农村宗教事务管理。深化农村重点领域安全风险排查整治，守好和谐稳定首都南大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（二十一）大力弘扬文明乡风。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农村精神文明建设与传承优秀农耕文化相结合，广泛开展理论+百姓+文艺特色宣讲活动，深化文明村镇、文明家庭创建。推进镇村公共文化设施建设更新，丰富公共文化服务供给，办好农民艺术节、丰收节及各类“村字号”文体活动。规范完善村规民约并加强实践运用，持续推进移风易俗。依托南中轴及延长线、龙河凤河与西山永定河文化带等广泛开展非遗保护与活化利用，传承弘扬平南红色文化。</w:t>
      </w:r>
    </w:p>
    <w:tbl>
      <w:tblPr>
        <w:tblStyle w:val="11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8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highlight w:val="none"/>
                <w:lang w:val="en-US" w:eastAsia="zh-CN"/>
              </w:rPr>
              <w:t>专栏4  乡村建设与风貌品质提升工程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9080" w:type="dxa"/>
            <w:vAlign w:val="center"/>
          </w:tcPr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1.农村环境品质提升工程。2026年在11个涉农镇开展，每个镇培育至少1个精品特色村庄、1个品质农业园区、1个示范景观点位、1条乡村样板道路和1条旅游线路，强化示范引领，抓好巩固提升。</w:t>
            </w:r>
          </w:p>
          <w:p>
            <w:pPr>
              <w:overflowPunct w:val="0"/>
              <w:spacing w:line="480" w:lineRule="exact"/>
              <w:ind w:left="0" w:leftChars="0" w:firstLine="560" w:firstLineChars="200"/>
              <w:jc w:val="both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2.机场周边大美田园建设工程。围绕机场周边环境整治提升，优化耕地种植布局，打造错落有致、季相丰富的大地田园景观。</w:t>
            </w:r>
          </w:p>
          <w:p>
            <w:pPr>
              <w:overflowPunct w:val="0"/>
              <w:spacing w:line="480" w:lineRule="exact"/>
              <w:ind w:left="0" w:leftChars="0" w:firstLine="560" w:firstLineChars="200"/>
              <w:jc w:val="both"/>
              <w:outlineLvl w:val="9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3.“京华绿道”建设项目。立足区域生态和历史文化资源，重点启动西山永定河文化带绿道（大兴段）建设，串联沿线资源；推动南中轴延长线绿道建设，打造“水韵林海”骑行绿道品牌。 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4.村内道路养护工程。针对超出使用年限的村庄街坊路，参照相关标准开展养护修缮。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5.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镇村供水系统完善工程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。不断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优化镇村供水水源构成，养蓄各镇地下水，谋划推动大兴区镇村地区供水系统完善工程，实现水源高效平稳置换目标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</w:rPr>
              <w:t>提升农村集约化供水率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6.建设养老服务中心。结合“老老人”需求建设区域养老服务中心，到2030年，镇域养老服务中心服务覆盖率达到75%。</w:t>
            </w:r>
          </w:p>
          <w:p>
            <w:pPr>
              <w:widowControl w:val="0"/>
              <w:wordWrap/>
              <w:overflowPunct w:val="0"/>
              <w:adjustRightInd/>
              <w:snapToGrid/>
              <w:spacing w:line="48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7.深化文化交流合作。围绕平南红色文化、永定河文化、龙河风河文化等，持续丰富京津冀非遗展演和文艺演出活动。</w:t>
            </w:r>
          </w:p>
        </w:tc>
      </w:tr>
    </w:tbl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七、持续深化农村改革，充分激发城乡融合发展活力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（二十二）因地制宜激发特色小镇活力。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统筹各涉农镇发展基础与资源禀赋，以“百千工程”为引领，打造一批具有大兴特色的高品质特色小镇，促进镇村差异化创新发展。庞各庄镇发挥“西瓜之乡”和农业产业强镇优势，大力发展农林科技、宠物经济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花卉、育苗等产业，持续办好西瓜节、梨花节等特色节庆活动，打造快乐休闲“西瓜小镇”。采育镇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锚定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数字时尚小镇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依托葡萄、设施蔬菜等特色产业与凤河文化，推动休闲农业发展和环境品质提升，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探索数字赋能乡村发展新模式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。礼贤镇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榆垡镇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紧扣空港小镇，充分发挥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临空经济区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大兴国际旅游度假区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等独特优势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加强</w:t>
      </w:r>
      <w:r>
        <w:rPr>
          <w:rFonts w:hint="eastAsia" w:ascii="仿宋_GB2312" w:hAnsi="仿宋_GB2312" w:cs="仿宋_GB2312"/>
          <w:szCs w:val="32"/>
          <w:highlight w:val="none"/>
        </w:rPr>
        <w:t>大地景观设计，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持续巩固提升“百千工程”建设成效，</w:t>
      </w:r>
      <w:r>
        <w:rPr>
          <w:rFonts w:hint="eastAsia" w:ascii="仿宋_GB2312" w:hAnsi="仿宋_GB2312" w:cs="仿宋_GB2312"/>
          <w:szCs w:val="32"/>
          <w:highlight w:val="none"/>
        </w:rPr>
        <w:t>积极打造网红打卡点、新消费场景等，</w:t>
      </w:r>
      <w:r>
        <w:rPr>
          <w:rFonts w:hint="eastAsia" w:ascii="仿宋_GB2312" w:hAnsi="仿宋_GB2312" w:cs="仿宋_GB2312"/>
          <w:i w:val="0"/>
          <w:caps w:val="0"/>
          <w:spacing w:val="0"/>
          <w:sz w:val="32"/>
          <w:szCs w:val="32"/>
          <w:highlight w:val="none"/>
          <w:shd w:val="clear"/>
          <w:lang w:eastAsia="zh-CN"/>
        </w:rPr>
        <w:t>推进董各庄</w:t>
      </w:r>
      <w:r>
        <w:rPr>
          <w:rFonts w:hint="eastAsia" w:ascii="仿宋_GB2312" w:hAnsi="仿宋_GB2312" w:eastAsia="仿宋_GB2312" w:cs="仿宋_GB2312"/>
          <w:i w:val="0"/>
          <w:caps w:val="0"/>
          <w:spacing w:val="0"/>
          <w:sz w:val="32"/>
          <w:szCs w:val="32"/>
          <w:highlight w:val="none"/>
          <w:shd w:val="clear"/>
        </w:rPr>
        <w:t>临空特色住宿产业集群</w:t>
      </w:r>
      <w:r>
        <w:rPr>
          <w:rFonts w:hint="eastAsia" w:ascii="仿宋_GB2312" w:hAnsi="仿宋_GB2312" w:cs="仿宋_GB2312"/>
          <w:i w:val="0"/>
          <w:caps w:val="0"/>
          <w:spacing w:val="0"/>
          <w:sz w:val="32"/>
          <w:szCs w:val="32"/>
          <w:highlight w:val="none"/>
          <w:shd w:val="clear"/>
          <w:lang w:eastAsia="zh-CN"/>
        </w:rPr>
        <w:t>建设，</w:t>
      </w:r>
      <w:r>
        <w:rPr>
          <w:rFonts w:hint="eastAsia" w:ascii="仿宋_GB2312" w:hAnsi="仿宋_GB2312" w:cs="仿宋_GB2312"/>
          <w:szCs w:val="32"/>
          <w:highlight w:val="none"/>
        </w:rPr>
        <w:t>提升商务、会展、文旅等便利化水平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魏善庄镇围绕博物馆小镇，充分挖掘南中轴</w:t>
      </w:r>
      <w:r>
        <w:rPr>
          <w:rFonts w:hint="eastAsia" w:ascii="仿宋_GB2312" w:hAnsi="仿宋_GB2312" w:cs="仿宋_GB2312"/>
          <w:szCs w:val="32"/>
          <w:highlight w:val="none"/>
        </w:rPr>
        <w:t>沿线农文旅资源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，持续放大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“花马”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、月季等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名片效应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，建设“文化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+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”深度融合的特色镇。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其他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涉农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镇依托重点片区、重大项目以及区位、文化、农业等资源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禀赋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深化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“产业+风貌”双轮驱动，因地制宜探索打造宜居宜业宜游的京郊和美乡村与城乡融合示范。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（二十三）创新赋能发展农村集体经济。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强化农村集体“三资”监管，健全完善管理制度体系，提升信息化监管水平。推广村务管理与集体经营账务分记，加强农村集体经济合同管理，提高农村集体经济审计质量。坚持党建引领壮大农村集体经济，分类推动镇村强化农业生产、生态旅游、特色文化、资产租赁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业态发展，促进闲置资源盘活利用和集体增收。健全完善农村产权流转交易体系，促进农村集体资产保值增值。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（二十四）稳妥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稳慎推进土地制度改革。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稳慎有序推进第二轮农村土地承包到期后再延长30年试点工作，充分保障农民权益。规范土地经营权流转，促进农业适度规模经营。强化农村宅基地和农民建房审批管理，加强政策培训宣传与执法监管，持续巩固专项整治试点成果，严守法律政策红线。依托全域土地综合整治，优化乡村发展用地布局。加快推进点状配套设施用地试点，促进农林科技产业高质量发展、农村一二三产业深度融合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（二十五）靶向发力构建多元支撑机制。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充分</w:t>
      </w:r>
      <w:r>
        <w:rPr>
          <w:rFonts w:hint="eastAsia" w:ascii="仿宋_GB2312" w:hAnsi="仿宋_GB2312" w:eastAsia="仿宋_GB2312" w:cs="仿宋_GB2312"/>
          <w:szCs w:val="32"/>
          <w:highlight w:val="none"/>
          <w:lang w:eastAsia="zh-CN"/>
        </w:rPr>
        <w:t>保障</w:t>
      </w:r>
      <w:r>
        <w:rPr>
          <w:rFonts w:hint="eastAsia" w:ascii="仿宋_GB2312" w:hAnsi="仿宋_GB2312" w:cs="仿宋_GB2312"/>
          <w:szCs w:val="32"/>
          <w:highlight w:val="none"/>
        </w:rPr>
        <w:t>乡村振兴投入力度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，推动固定资产投资向农业农村倾斜。用好中央、市级各类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政策和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资金渠道，加强乡村振兴资金全链条监管，确保财政支农政策效能和资金使用效益。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健全多元投入格局，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引导和规范社会投资，推动金融、技术等资源配置到乡村振兴重点领域和薄弱环节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用好农业保险，加强风险防范。推行涉农政务服务事项标准化、集成化、便利化，持续优化营商环境。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（二十六）引智聚贤打造乡村人才高地。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实施“求贤”“集贤”“礼贤”人才工程，优化服务保障，引导激励各类人才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村服务和创业就业。推进乡村人才“百千万”培育工程，实施新型农业经营主体、乡村产业振兴带头人、高素质农民等培育计划，与大院大所、龙头企业等建立人才联合引培体系，围绕农业生产技能、运营销售、电商直播等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领域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分层分类开展培训，提升农业生产经营主体和农民素质素养，促进联农带农和就业增收。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（二十七）统筹联动深化区域协同发展。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彰显京津冀协同发展桥头堡作用，围绕农林科技协同、应急保供、产业融合、生态联治、文化交流、人才合作等多领域，夯实协同发展基础，推动三地资源要素在大兴集聚流动，打造协同发展示范区。拓展京蒙东西部协作领域和对口援疆深度，在产业发展、消费帮扶、公共服务、人才交流等方面深化结对共建，推动大兴农林科技成果在对口支援协作地区落地转化，不断提升农业农村协同发展水平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八、实施保障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（二十八）加强党的领导。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坚持党领导“三农”工作原则不动摇，落实“五级书记抓乡村振兴”要求，进一步健全领导体制和工作机制。区委农村工作领导小组发挥统筹抓总作用，区有关部门加强政策支持，涉农镇坚持把“三农”工作摆在突出位置，为推进乡村全面振兴、加快建设农业强国提供坚强保证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（二十九）狠抓任务落地。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全面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落实乡村振兴责任制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，突出规划引领作用，坚持“干成为王”工作导向，</w:t>
      </w:r>
      <w:r>
        <w:rPr>
          <w:rFonts w:hint="eastAsia" w:ascii="仿宋_GB2312" w:hAnsi="仿宋_GB2312" w:cs="仿宋_GB2312"/>
          <w:strike w:val="0"/>
          <w:sz w:val="32"/>
          <w:szCs w:val="32"/>
          <w:highlight w:val="none"/>
          <w:lang w:val="en-US" w:eastAsia="zh-CN"/>
        </w:rPr>
        <w:t>以扎实举措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推进农业农村现代化。区委农办牵头，分解落实主要指标和重点任务，每年制定乡村振兴重点任务清单；区有关部门按职责分工落实各项任务，协同各涉农镇结合实际抓好贯彻实施。</w:t>
      </w:r>
    </w:p>
    <w:p>
      <w:pPr>
        <w:widowControl w:val="0"/>
        <w:wordWrap/>
        <w:overflowPunct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（三十）改进方式方法。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强涉农干部教育培训，提高“三农”工作本领。树立和践行正确政绩观，持续为农村基层干部减负，为农民群众多办实事。加强规划实施监测评估和乡村振兴实绩考核结果运用，跟踪督促规划任务落实和问题整改，提高推进乡村振兴效能。强化宣传引导，营造各方积极参与的良好氛围。</w:t>
      </w: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文星简大黑">
    <w:panose1 w:val="02010609000101010101"/>
    <w:charset w:val="00"/>
    <w:family w:val="auto"/>
    <w:pitch w:val="default"/>
    <w:sig w:usb0="00000001" w:usb1="080E0000" w:usb2="00000000" w:usb3="00000000" w:csb0="00000000" w:csb1="00000000"/>
  </w:font>
  <w:font w:name="文星简楷宋">
    <w:panose1 w:val="02010609000101010101"/>
    <w:charset w:val="00"/>
    <w:family w:val="auto"/>
    <w:pitch w:val="default"/>
    <w:sig w:usb0="00000001" w:usb1="080E0000" w:usb2="00000000" w:usb3="00000000" w:csb0="00000000" w:csb1="00000000"/>
  </w:font>
  <w:font w:name="文星简美黑">
    <w:panose1 w:val="02010609000101010101"/>
    <w:charset w:val="00"/>
    <w:family w:val="auto"/>
    <w:pitch w:val="default"/>
    <w:sig w:usb0="00000001" w:usb1="080E0000" w:usb2="00000000" w:usb3="00000000" w:csb0="00000000" w:csb1="00000000"/>
  </w:font>
  <w:font w:name="文星简综艺">
    <w:panose1 w:val="02010609000101010101"/>
    <w:charset w:val="00"/>
    <w:family w:val="auto"/>
    <w:pitch w:val="default"/>
    <w:sig w:usb0="00000001" w:usb1="080E0000" w:usb2="00000000" w:usb3="00000000" w:csb0="00000000" w:csb1="00000000"/>
  </w:font>
  <w:font w:name="文星简粗黑">
    <w:panose1 w:val="02010609000101010101"/>
    <w:charset w:val="00"/>
    <w:family w:val="auto"/>
    <w:pitch w:val="default"/>
    <w:sig w:usb0="00000001" w:usb1="080E0000" w:usb2="00000000" w:usb3="00000000" w:csb0="00000000" w:csb1="00000000"/>
  </w:font>
  <w:font w:name="文星简粗圆">
    <w:panose1 w:val="02010609000101010101"/>
    <w:charset w:val="00"/>
    <w:family w:val="auto"/>
    <w:pitch w:val="default"/>
    <w:sig w:usb0="00000001" w:usb1="080E0000" w:usb2="00000000" w:usb3="00000000" w:csb0="00000000" w:csb1="00000000"/>
  </w:font>
  <w:font w:name="方正魏碑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黄草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竹节体繁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汉仪萝卜体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DFPBangBangW5-B5">
    <w:panose1 w:val="040F0500000000000000"/>
    <w:charset w:val="88"/>
    <w:family w:val="auto"/>
    <w:pitch w:val="default"/>
    <w:sig w:usb0="80000001" w:usb1="280918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Noto Sans SC Thin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  <w:font w:name="Noto Sans SC Medium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  <w:font w:name="Noto Sans SC Light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  <w:font w:name="Yu Gothic UI Semibold">
    <w:altName w:val="Meiryo UI"/>
    <w:panose1 w:val="020B0700000000000000"/>
    <w:charset w:val="80"/>
    <w:family w:val="auto"/>
    <w:pitch w:val="default"/>
    <w:sig w:usb0="00000000" w:usb1="00000000" w:usb2="00000016" w:usb3="00000000" w:csb0="2002009F" w:csb1="00000000"/>
  </w:font>
  <w:font w:name="Yu Gothic UI Light">
    <w:altName w:val="Meiryo UI"/>
    <w:panose1 w:val="020B0300000000000000"/>
    <w:charset w:val="80"/>
    <w:family w:val="auto"/>
    <w:pitch w:val="default"/>
    <w:sig w:usb0="00000000" w:usb1="00000000" w:usb2="00000016" w:usb3="00000000" w:csb0="2002009F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Modern No. 20">
    <w:panose1 w:val="02070704070505020303"/>
    <w:charset w:val="00"/>
    <w:family w:val="auto"/>
    <w:pitch w:val="default"/>
    <w:sig w:usb0="00000003" w:usb1="00000000" w:usb2="00000000" w:usb3="00000000" w:csb0="20000001" w:csb1="00000000"/>
  </w:font>
  <w:font w:name="文星仿宋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文星书宋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文星中等线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方正中楷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0030101010101"/>
    <w:charset w:val="7A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1" o:spid="_x0000_s2049" o:spt="1" style="position:absolute;left:0pt;margin-top:0pt;height:144pt;width:144pt;mso-position-horizontal:outside;mso-position-horizontal-relative:margin;mso-wrap-style:none;z-index:251658240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70AF0197"/>
    <w:rsid w:val="004E6C38"/>
    <w:rsid w:val="00554B3A"/>
    <w:rsid w:val="00E54D85"/>
    <w:rsid w:val="0117523A"/>
    <w:rsid w:val="018D1FDA"/>
    <w:rsid w:val="01EF5F7D"/>
    <w:rsid w:val="02B42E7F"/>
    <w:rsid w:val="02BE3A0E"/>
    <w:rsid w:val="03072D6C"/>
    <w:rsid w:val="042B794E"/>
    <w:rsid w:val="047473DF"/>
    <w:rsid w:val="054D2B43"/>
    <w:rsid w:val="05584F0D"/>
    <w:rsid w:val="05726DE5"/>
    <w:rsid w:val="05795A5C"/>
    <w:rsid w:val="05927553"/>
    <w:rsid w:val="05AE472A"/>
    <w:rsid w:val="061518A3"/>
    <w:rsid w:val="063842D0"/>
    <w:rsid w:val="064A7DAC"/>
    <w:rsid w:val="06965CFB"/>
    <w:rsid w:val="06C647DD"/>
    <w:rsid w:val="06DC3798"/>
    <w:rsid w:val="07145799"/>
    <w:rsid w:val="07A671D4"/>
    <w:rsid w:val="08437893"/>
    <w:rsid w:val="08602636"/>
    <w:rsid w:val="087F0DB0"/>
    <w:rsid w:val="089F0E75"/>
    <w:rsid w:val="08C0536A"/>
    <w:rsid w:val="08CA040C"/>
    <w:rsid w:val="08D97404"/>
    <w:rsid w:val="0909567B"/>
    <w:rsid w:val="09FD022D"/>
    <w:rsid w:val="0A5960BC"/>
    <w:rsid w:val="0A68798F"/>
    <w:rsid w:val="0A911C90"/>
    <w:rsid w:val="0ABC669A"/>
    <w:rsid w:val="0B2555B2"/>
    <w:rsid w:val="0B322530"/>
    <w:rsid w:val="0B4F1BEE"/>
    <w:rsid w:val="0B6A4ED0"/>
    <w:rsid w:val="0B6E60BA"/>
    <w:rsid w:val="0BA047E6"/>
    <w:rsid w:val="0BC235A6"/>
    <w:rsid w:val="0BCF73FB"/>
    <w:rsid w:val="0BFB0C60"/>
    <w:rsid w:val="0C62531A"/>
    <w:rsid w:val="0C6F7564"/>
    <w:rsid w:val="0CFA57A6"/>
    <w:rsid w:val="0D2E19EC"/>
    <w:rsid w:val="0D9A5995"/>
    <w:rsid w:val="0DB77C18"/>
    <w:rsid w:val="0E161299"/>
    <w:rsid w:val="0E2057A0"/>
    <w:rsid w:val="0E747F94"/>
    <w:rsid w:val="0E8B1815"/>
    <w:rsid w:val="0EB855EE"/>
    <w:rsid w:val="0F383BD5"/>
    <w:rsid w:val="0FFB34BE"/>
    <w:rsid w:val="104758B1"/>
    <w:rsid w:val="11695D6D"/>
    <w:rsid w:val="119E2DB2"/>
    <w:rsid w:val="11B20A79"/>
    <w:rsid w:val="11C07207"/>
    <w:rsid w:val="11D3685A"/>
    <w:rsid w:val="11D56A94"/>
    <w:rsid w:val="11FE4B4B"/>
    <w:rsid w:val="128F2D52"/>
    <w:rsid w:val="12B96BC0"/>
    <w:rsid w:val="12DD58E8"/>
    <w:rsid w:val="132E6BF0"/>
    <w:rsid w:val="1379304B"/>
    <w:rsid w:val="13B20991"/>
    <w:rsid w:val="13E72D16"/>
    <w:rsid w:val="13ED1A3D"/>
    <w:rsid w:val="1444233E"/>
    <w:rsid w:val="14664C67"/>
    <w:rsid w:val="14A127E5"/>
    <w:rsid w:val="14BA4CB5"/>
    <w:rsid w:val="14BD2B2F"/>
    <w:rsid w:val="1506754F"/>
    <w:rsid w:val="16881F46"/>
    <w:rsid w:val="174D0A7F"/>
    <w:rsid w:val="17652D05"/>
    <w:rsid w:val="1776475A"/>
    <w:rsid w:val="177F1F64"/>
    <w:rsid w:val="17D25438"/>
    <w:rsid w:val="18465C7B"/>
    <w:rsid w:val="188A1DA8"/>
    <w:rsid w:val="191328C8"/>
    <w:rsid w:val="195C5991"/>
    <w:rsid w:val="19EE289C"/>
    <w:rsid w:val="1A8D1862"/>
    <w:rsid w:val="1AC71FEB"/>
    <w:rsid w:val="1ACA184A"/>
    <w:rsid w:val="1B8C657C"/>
    <w:rsid w:val="1BB57F83"/>
    <w:rsid w:val="1BE81232"/>
    <w:rsid w:val="1BE833E2"/>
    <w:rsid w:val="1C024582"/>
    <w:rsid w:val="1C757562"/>
    <w:rsid w:val="1C7F71D6"/>
    <w:rsid w:val="1CA73BDC"/>
    <w:rsid w:val="1CD06D87"/>
    <w:rsid w:val="1CD83047"/>
    <w:rsid w:val="1CEC6EBF"/>
    <w:rsid w:val="1CFF359F"/>
    <w:rsid w:val="1D0E4BBF"/>
    <w:rsid w:val="1D181AF0"/>
    <w:rsid w:val="1D1D6281"/>
    <w:rsid w:val="1DA44E3A"/>
    <w:rsid w:val="1DCE0AC2"/>
    <w:rsid w:val="1DE35FB0"/>
    <w:rsid w:val="1DF878B8"/>
    <w:rsid w:val="1E227A68"/>
    <w:rsid w:val="1E9D2607"/>
    <w:rsid w:val="1F50232D"/>
    <w:rsid w:val="1FCC1048"/>
    <w:rsid w:val="1FEC48AC"/>
    <w:rsid w:val="20600A9D"/>
    <w:rsid w:val="21457DDE"/>
    <w:rsid w:val="214D0875"/>
    <w:rsid w:val="22341FB3"/>
    <w:rsid w:val="22864002"/>
    <w:rsid w:val="23400B66"/>
    <w:rsid w:val="2345523E"/>
    <w:rsid w:val="23C7212E"/>
    <w:rsid w:val="23C9635D"/>
    <w:rsid w:val="24F47AA5"/>
    <w:rsid w:val="251B4633"/>
    <w:rsid w:val="25393C0E"/>
    <w:rsid w:val="259F7E5F"/>
    <w:rsid w:val="26040D02"/>
    <w:rsid w:val="266C3297"/>
    <w:rsid w:val="279C010A"/>
    <w:rsid w:val="27EF1830"/>
    <w:rsid w:val="27FA93E4"/>
    <w:rsid w:val="286B2F54"/>
    <w:rsid w:val="289528A1"/>
    <w:rsid w:val="28956B1A"/>
    <w:rsid w:val="28A10C10"/>
    <w:rsid w:val="2901482C"/>
    <w:rsid w:val="29AD3072"/>
    <w:rsid w:val="29AD4DA8"/>
    <w:rsid w:val="2AB8574E"/>
    <w:rsid w:val="2ADE1E2C"/>
    <w:rsid w:val="2B0611ED"/>
    <w:rsid w:val="2B1E7DA9"/>
    <w:rsid w:val="2B866F78"/>
    <w:rsid w:val="2D0D723A"/>
    <w:rsid w:val="2D1E48E4"/>
    <w:rsid w:val="2D424539"/>
    <w:rsid w:val="2D43593F"/>
    <w:rsid w:val="2E1B5ECD"/>
    <w:rsid w:val="2E8B1B05"/>
    <w:rsid w:val="2EE5220A"/>
    <w:rsid w:val="2F1829D8"/>
    <w:rsid w:val="2FBFD581"/>
    <w:rsid w:val="2FDD7CEC"/>
    <w:rsid w:val="306D554F"/>
    <w:rsid w:val="30AA3266"/>
    <w:rsid w:val="30FF1F03"/>
    <w:rsid w:val="310861EC"/>
    <w:rsid w:val="312128A5"/>
    <w:rsid w:val="31D31EE9"/>
    <w:rsid w:val="32336CA5"/>
    <w:rsid w:val="32610BF0"/>
    <w:rsid w:val="32C628ED"/>
    <w:rsid w:val="32E125EE"/>
    <w:rsid w:val="3389363C"/>
    <w:rsid w:val="33A71776"/>
    <w:rsid w:val="33AF1227"/>
    <w:rsid w:val="33BA254B"/>
    <w:rsid w:val="33E812CD"/>
    <w:rsid w:val="340845E6"/>
    <w:rsid w:val="344074C9"/>
    <w:rsid w:val="347A740C"/>
    <w:rsid w:val="34967670"/>
    <w:rsid w:val="35544C17"/>
    <w:rsid w:val="356C4F93"/>
    <w:rsid w:val="35D01B46"/>
    <w:rsid w:val="362912D7"/>
    <w:rsid w:val="36EC125A"/>
    <w:rsid w:val="3736663C"/>
    <w:rsid w:val="378B0E6E"/>
    <w:rsid w:val="382D7DA4"/>
    <w:rsid w:val="38361AB0"/>
    <w:rsid w:val="38765C43"/>
    <w:rsid w:val="38A121CA"/>
    <w:rsid w:val="38ED3CC2"/>
    <w:rsid w:val="391845B8"/>
    <w:rsid w:val="39312BFD"/>
    <w:rsid w:val="395C50B9"/>
    <w:rsid w:val="398036E7"/>
    <w:rsid w:val="3A5270BD"/>
    <w:rsid w:val="3A7824EC"/>
    <w:rsid w:val="3B230156"/>
    <w:rsid w:val="3B8224A2"/>
    <w:rsid w:val="3B8377B4"/>
    <w:rsid w:val="3C1E498A"/>
    <w:rsid w:val="3C4C7331"/>
    <w:rsid w:val="3CFE7163"/>
    <w:rsid w:val="3D132D3A"/>
    <w:rsid w:val="3D735C45"/>
    <w:rsid w:val="3E342F9F"/>
    <w:rsid w:val="3E7DE8BE"/>
    <w:rsid w:val="3EDE5CE9"/>
    <w:rsid w:val="3F583CB2"/>
    <w:rsid w:val="3FB93EAA"/>
    <w:rsid w:val="3FC87456"/>
    <w:rsid w:val="3FFFEC46"/>
    <w:rsid w:val="402F3037"/>
    <w:rsid w:val="40564702"/>
    <w:rsid w:val="408A2635"/>
    <w:rsid w:val="40EA77B7"/>
    <w:rsid w:val="410B56B6"/>
    <w:rsid w:val="41CEA925"/>
    <w:rsid w:val="42220D2F"/>
    <w:rsid w:val="422F23A2"/>
    <w:rsid w:val="422F44A2"/>
    <w:rsid w:val="4273334E"/>
    <w:rsid w:val="42917A0F"/>
    <w:rsid w:val="42A25660"/>
    <w:rsid w:val="42DE54FE"/>
    <w:rsid w:val="43420610"/>
    <w:rsid w:val="434620CB"/>
    <w:rsid w:val="43652F10"/>
    <w:rsid w:val="43775E05"/>
    <w:rsid w:val="43954651"/>
    <w:rsid w:val="43EF14F6"/>
    <w:rsid w:val="448259B3"/>
    <w:rsid w:val="44BD645F"/>
    <w:rsid w:val="45705AEE"/>
    <w:rsid w:val="458D71A0"/>
    <w:rsid w:val="45B31627"/>
    <w:rsid w:val="467D2532"/>
    <w:rsid w:val="468A2000"/>
    <w:rsid w:val="47B775D5"/>
    <w:rsid w:val="47D458C5"/>
    <w:rsid w:val="47FF15AF"/>
    <w:rsid w:val="48072EAC"/>
    <w:rsid w:val="482171CF"/>
    <w:rsid w:val="485C76E6"/>
    <w:rsid w:val="487A4C20"/>
    <w:rsid w:val="48D57DFE"/>
    <w:rsid w:val="49215FF3"/>
    <w:rsid w:val="4B260ABE"/>
    <w:rsid w:val="4B346CEE"/>
    <w:rsid w:val="4B787F67"/>
    <w:rsid w:val="4BBA54B3"/>
    <w:rsid w:val="4C1D0FCD"/>
    <w:rsid w:val="4C8159F6"/>
    <w:rsid w:val="4CE7A4AE"/>
    <w:rsid w:val="4D2A4A5F"/>
    <w:rsid w:val="4D515DD5"/>
    <w:rsid w:val="4DA6196C"/>
    <w:rsid w:val="4EA44FB5"/>
    <w:rsid w:val="4EA631C0"/>
    <w:rsid w:val="4EB41DC6"/>
    <w:rsid w:val="4F2B65E2"/>
    <w:rsid w:val="4F802789"/>
    <w:rsid w:val="4FFF4314"/>
    <w:rsid w:val="50C33A84"/>
    <w:rsid w:val="50F03C17"/>
    <w:rsid w:val="5120354B"/>
    <w:rsid w:val="517E18BA"/>
    <w:rsid w:val="518461F5"/>
    <w:rsid w:val="51EC593D"/>
    <w:rsid w:val="521D53B8"/>
    <w:rsid w:val="52EF32CC"/>
    <w:rsid w:val="52EFC93D"/>
    <w:rsid w:val="52F6367E"/>
    <w:rsid w:val="53481AC2"/>
    <w:rsid w:val="53577FBF"/>
    <w:rsid w:val="536F70B4"/>
    <w:rsid w:val="53C52DD3"/>
    <w:rsid w:val="545F779E"/>
    <w:rsid w:val="54632274"/>
    <w:rsid w:val="561610C8"/>
    <w:rsid w:val="565673CA"/>
    <w:rsid w:val="5675642B"/>
    <w:rsid w:val="575E20B1"/>
    <w:rsid w:val="580E5AF6"/>
    <w:rsid w:val="58257268"/>
    <w:rsid w:val="58427722"/>
    <w:rsid w:val="58AC5FD8"/>
    <w:rsid w:val="58B07E34"/>
    <w:rsid w:val="594E3E0A"/>
    <w:rsid w:val="597373DA"/>
    <w:rsid w:val="59900EE7"/>
    <w:rsid w:val="59BE61CD"/>
    <w:rsid w:val="5A0B2C4A"/>
    <w:rsid w:val="5A25253E"/>
    <w:rsid w:val="5A344281"/>
    <w:rsid w:val="5A7B1136"/>
    <w:rsid w:val="5AFD4E9C"/>
    <w:rsid w:val="5B08120F"/>
    <w:rsid w:val="5B660AB9"/>
    <w:rsid w:val="5B68521B"/>
    <w:rsid w:val="5B9958D3"/>
    <w:rsid w:val="5C7752C2"/>
    <w:rsid w:val="5CF229E6"/>
    <w:rsid w:val="5CFC176E"/>
    <w:rsid w:val="5D986B11"/>
    <w:rsid w:val="5E297060"/>
    <w:rsid w:val="5E7874A0"/>
    <w:rsid w:val="5E9E6442"/>
    <w:rsid w:val="5EB6013A"/>
    <w:rsid w:val="5EEF16A8"/>
    <w:rsid w:val="5F610B82"/>
    <w:rsid w:val="5F746514"/>
    <w:rsid w:val="5F7F1263"/>
    <w:rsid w:val="5FF17086"/>
    <w:rsid w:val="60172EB7"/>
    <w:rsid w:val="6084705D"/>
    <w:rsid w:val="60C24155"/>
    <w:rsid w:val="60ED4470"/>
    <w:rsid w:val="60F01C18"/>
    <w:rsid w:val="60F57135"/>
    <w:rsid w:val="610747D9"/>
    <w:rsid w:val="613D0AEA"/>
    <w:rsid w:val="615F3031"/>
    <w:rsid w:val="617D7C67"/>
    <w:rsid w:val="62071FD6"/>
    <w:rsid w:val="62663F36"/>
    <w:rsid w:val="62DC6347"/>
    <w:rsid w:val="631A6CDA"/>
    <w:rsid w:val="63642A87"/>
    <w:rsid w:val="63A61D1A"/>
    <w:rsid w:val="63AF4B55"/>
    <w:rsid w:val="644F56BC"/>
    <w:rsid w:val="645E1DA5"/>
    <w:rsid w:val="64AE11C5"/>
    <w:rsid w:val="64B55FFA"/>
    <w:rsid w:val="64C159DC"/>
    <w:rsid w:val="64CF6468"/>
    <w:rsid w:val="64F53432"/>
    <w:rsid w:val="657A5D3E"/>
    <w:rsid w:val="66496BC1"/>
    <w:rsid w:val="66695BB9"/>
    <w:rsid w:val="6799266C"/>
    <w:rsid w:val="683F730C"/>
    <w:rsid w:val="684F2AAF"/>
    <w:rsid w:val="685E50C8"/>
    <w:rsid w:val="68626575"/>
    <w:rsid w:val="688E29B4"/>
    <w:rsid w:val="68D82432"/>
    <w:rsid w:val="691477E1"/>
    <w:rsid w:val="691E3F92"/>
    <w:rsid w:val="696B3E2A"/>
    <w:rsid w:val="6A411E92"/>
    <w:rsid w:val="6ACB2795"/>
    <w:rsid w:val="6B753F1A"/>
    <w:rsid w:val="6BA42B26"/>
    <w:rsid w:val="6BA73AAA"/>
    <w:rsid w:val="6C9404CA"/>
    <w:rsid w:val="6E5203E3"/>
    <w:rsid w:val="6EB27317"/>
    <w:rsid w:val="6EE06686"/>
    <w:rsid w:val="6F3E69AE"/>
    <w:rsid w:val="6F5953DE"/>
    <w:rsid w:val="6F69145A"/>
    <w:rsid w:val="6F8521B1"/>
    <w:rsid w:val="6FBFC880"/>
    <w:rsid w:val="700D740C"/>
    <w:rsid w:val="70501F21"/>
    <w:rsid w:val="707D5914"/>
    <w:rsid w:val="70AF0197"/>
    <w:rsid w:val="70D84B30"/>
    <w:rsid w:val="710B6E90"/>
    <w:rsid w:val="71F120A7"/>
    <w:rsid w:val="723A0F1B"/>
    <w:rsid w:val="72437EE5"/>
    <w:rsid w:val="72513C4A"/>
    <w:rsid w:val="727DD94C"/>
    <w:rsid w:val="72855296"/>
    <w:rsid w:val="72953D3F"/>
    <w:rsid w:val="733A0EC6"/>
    <w:rsid w:val="733E6C26"/>
    <w:rsid w:val="735904E9"/>
    <w:rsid w:val="73593EE0"/>
    <w:rsid w:val="73753187"/>
    <w:rsid w:val="74557388"/>
    <w:rsid w:val="746D4FFB"/>
    <w:rsid w:val="749B295E"/>
    <w:rsid w:val="751A68DF"/>
    <w:rsid w:val="751B7ECF"/>
    <w:rsid w:val="752A71A4"/>
    <w:rsid w:val="75346AC7"/>
    <w:rsid w:val="75536ADA"/>
    <w:rsid w:val="756419BB"/>
    <w:rsid w:val="75803179"/>
    <w:rsid w:val="75D27175"/>
    <w:rsid w:val="763F2A4E"/>
    <w:rsid w:val="767D3AD2"/>
    <w:rsid w:val="76F7A0BD"/>
    <w:rsid w:val="772C4032"/>
    <w:rsid w:val="77327ECC"/>
    <w:rsid w:val="77A559E0"/>
    <w:rsid w:val="785947FE"/>
    <w:rsid w:val="790E217D"/>
    <w:rsid w:val="792F6DE0"/>
    <w:rsid w:val="79994F78"/>
    <w:rsid w:val="7A3251AA"/>
    <w:rsid w:val="7A35392D"/>
    <w:rsid w:val="7A98217D"/>
    <w:rsid w:val="7B41381C"/>
    <w:rsid w:val="7B600D23"/>
    <w:rsid w:val="7BD112B4"/>
    <w:rsid w:val="7BF326CE"/>
    <w:rsid w:val="7C531613"/>
    <w:rsid w:val="7C9F3275"/>
    <w:rsid w:val="7CA30403"/>
    <w:rsid w:val="7CC85A95"/>
    <w:rsid w:val="7D8B70A8"/>
    <w:rsid w:val="7EF37539"/>
    <w:rsid w:val="7EF567E6"/>
    <w:rsid w:val="7F887E83"/>
    <w:rsid w:val="7FFB36C3"/>
    <w:rsid w:val="7FFD6AAA"/>
    <w:rsid w:val="8BAF22A7"/>
    <w:rsid w:val="B9CDCCAA"/>
    <w:rsid w:val="BB7FE029"/>
    <w:rsid w:val="BBDF0A59"/>
    <w:rsid w:val="BEEF7D0A"/>
    <w:rsid w:val="BF1357E6"/>
    <w:rsid w:val="BF76C5BA"/>
    <w:rsid w:val="BFFED247"/>
    <w:rsid w:val="D7FF5446"/>
    <w:rsid w:val="DD39C1FF"/>
    <w:rsid w:val="ECFBF73A"/>
    <w:rsid w:val="F3FCA363"/>
    <w:rsid w:val="F7B3F79F"/>
    <w:rsid w:val="F7CB3731"/>
    <w:rsid w:val="FAFD9B96"/>
    <w:rsid w:val="FAFE523B"/>
    <w:rsid w:val="FBBFE7DF"/>
    <w:rsid w:val="FBF738DA"/>
    <w:rsid w:val="FEDCE555"/>
    <w:rsid w:val="FEDE2206"/>
    <w:rsid w:val="FF76BB09"/>
    <w:rsid w:val="FF7B925D"/>
    <w:rsid w:val="FF7F74A6"/>
    <w:rsid w:val="FFDDAC52"/>
    <w:rsid w:val="FFFB8D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Emphasis"/>
    <w:basedOn w:val="8"/>
    <w:qFormat/>
    <w:uiPriority w:val="0"/>
    <w:rPr>
      <w:i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2">
    <w:name w:val="样式2"/>
    <w:basedOn w:val="1"/>
    <w:next w:val="1"/>
    <w:qFormat/>
    <w:uiPriority w:val="0"/>
  </w:style>
  <w:style w:type="paragraph" w:customStyle="1" w:styleId="13">
    <w:name w:val="样式3"/>
    <w:basedOn w:val="1"/>
    <w:next w:val="1"/>
    <w:qFormat/>
    <w:uiPriority w:val="0"/>
    <w:rPr>
      <w:rFonts w:eastAsia="仿宋_GB2312"/>
      <w:sz w:val="32"/>
    </w:rPr>
  </w:style>
  <w:style w:type="paragraph" w:customStyle="1" w:styleId="14">
    <w:name w:val="样式1"/>
    <w:basedOn w:val="1"/>
    <w:next w:val="1"/>
    <w:qFormat/>
    <w:uiPriority w:val="0"/>
  </w:style>
  <w:style w:type="paragraph" w:customStyle="1" w:styleId="15">
    <w:name w:val="样式4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6146</Words>
  <Characters>6530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2024-01-07T16:09:00Z</dcterms:created>
  <dc:creator>Administrator</dc:creator>
  <cp:lastModifiedBy>Administrator</cp:lastModifiedBy>
  <cp:lastPrinted>2026-10-11T03:19:00Z</cp:lastPrinted>
  <dcterms:modified xsi:type="dcterms:W3CDTF">2026-10-14T01:47:34Z</dcterms:modified>
  <dc:title>大兴区“十五五”时期推进农业农村现代化规划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KSOTemplateDocerSaveRecord">
    <vt:lpwstr>eyJoZGlkIjoiM2FhY2Y3YzE1ZTZhYzI3ODQwODA4OTBiZTk2YzA0YmYiLCJ1c2VySWQiOiIzNjUzODY4MTIifQ==</vt:lpwstr>
  </property>
  <property fmtid="{D5CDD505-2E9C-101B-9397-08002B2CF9AE}" pid="4" name="ICV">
    <vt:lpwstr>C916258C96844125A0CB435BB6A83F03_13</vt:lpwstr>
  </property>
</Properties>
</file>