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EA8B3">
      <w:pPr>
        <w:ind w:firstLine="0" w:firstLineChars="0"/>
        <w:jc w:val="both"/>
        <w:rPr>
          <w:rFonts w:hint="default" w:ascii="黑体" w:hAnsi="黑体" w:eastAsia="黑体" w:cs="黑体"/>
          <w:bCs/>
          <w:sz w:val="32"/>
          <w:szCs w:val="32"/>
          <w:highlight w:val="none"/>
          <w:lang w:val="en-US" w:eastAsia="zh-CN"/>
        </w:rPr>
      </w:pPr>
      <w:bookmarkStart w:id="0" w:name="_Toc202450550"/>
      <w:bookmarkStart w:id="1" w:name="_Toc21935"/>
      <w:r>
        <w:rPr>
          <w:rFonts w:hint="eastAsia" w:ascii="黑体" w:hAnsi="黑体" w:eastAsia="黑体" w:cs="黑体"/>
          <w:bCs/>
          <w:sz w:val="32"/>
          <w:szCs w:val="32"/>
          <w:highlight w:val="none"/>
          <w:lang w:val="en-US" w:eastAsia="zh-CN"/>
        </w:rPr>
        <w:t>附件1</w:t>
      </w:r>
      <w:bookmarkStart w:id="233" w:name="_GoBack"/>
      <w:bookmarkEnd w:id="233"/>
    </w:p>
    <w:p w14:paraId="2A798FA6">
      <w:pPr>
        <w:ind w:firstLine="0" w:firstLineChars="0"/>
        <w:jc w:val="center"/>
        <w:rPr>
          <w:rFonts w:hint="eastAsia" w:ascii="方正小标宋简体" w:hAnsi="方正小标宋简体" w:eastAsia="方正小标宋简体" w:cs="方正小标宋简体"/>
          <w:bCs/>
          <w:sz w:val="44"/>
          <w:szCs w:val="44"/>
          <w:highlight w:val="none"/>
        </w:rPr>
      </w:pPr>
    </w:p>
    <w:p w14:paraId="0804D8AA">
      <w:pPr>
        <w:ind w:firstLine="0" w:firstLineChars="0"/>
        <w:jc w:val="center"/>
        <w:rPr>
          <w:rFonts w:hint="eastAsia" w:ascii="方正小标宋简体" w:hAnsi="方正小标宋简体" w:eastAsia="方正小标宋简体" w:cs="方正小标宋简体"/>
          <w:bCs/>
          <w:sz w:val="44"/>
          <w:szCs w:val="44"/>
          <w:highlight w:val="none"/>
        </w:rPr>
      </w:pPr>
    </w:p>
    <w:p w14:paraId="1F36E704">
      <w:pPr>
        <w:ind w:firstLine="0" w:firstLineChars="0"/>
        <w:jc w:val="center"/>
        <w:rPr>
          <w:rFonts w:hint="eastAsia" w:ascii="方正小标宋简体" w:hAnsi="方正小标宋简体" w:eastAsia="方正小标宋简体" w:cs="方正小标宋简体"/>
          <w:bCs/>
          <w:sz w:val="44"/>
          <w:szCs w:val="44"/>
          <w:highlight w:val="none"/>
        </w:rPr>
      </w:pPr>
    </w:p>
    <w:p w14:paraId="53455731">
      <w:pPr>
        <w:ind w:firstLine="0" w:firstLineChars="0"/>
        <w:jc w:val="center"/>
        <w:rPr>
          <w:rFonts w:hint="eastAsia" w:ascii="方正小标宋简体" w:hAnsi="方正小标宋简体" w:eastAsia="方正小标宋简体" w:cs="方正小标宋简体"/>
          <w:bCs/>
          <w:sz w:val="44"/>
          <w:szCs w:val="44"/>
          <w:highlight w:val="none"/>
        </w:rPr>
      </w:pPr>
    </w:p>
    <w:p w14:paraId="7C342D57">
      <w:pPr>
        <w:ind w:firstLine="0" w:firstLineChars="0"/>
        <w:jc w:val="center"/>
        <w:outlineLvl w:val="0"/>
        <w:rPr>
          <w:rFonts w:hint="eastAsia" w:ascii="方正小标宋简体" w:hAnsi="方正小标宋简体" w:eastAsia="方正小标宋简体" w:cs="方正小标宋简体"/>
          <w:bCs/>
          <w:sz w:val="44"/>
          <w:szCs w:val="44"/>
          <w:highlight w:val="none"/>
        </w:rPr>
      </w:pPr>
      <w:bookmarkStart w:id="2" w:name="_Toc393478948"/>
      <w:r>
        <w:rPr>
          <w:rFonts w:hint="eastAsia" w:ascii="方正小标宋简体" w:hAnsi="方正小标宋简体" w:eastAsia="方正小标宋简体" w:cs="方正小标宋简体"/>
          <w:bCs/>
          <w:sz w:val="44"/>
          <w:szCs w:val="44"/>
          <w:highlight w:val="none"/>
        </w:rPr>
        <w:t>大兴区“十五五”时期教育改革</w:t>
      </w:r>
      <w:r>
        <w:rPr>
          <w:rFonts w:hint="eastAsia" w:ascii="方正小标宋简体" w:hAnsi="方正小标宋简体" w:eastAsia="方正小标宋简体" w:cs="方正小标宋简体"/>
          <w:bCs/>
          <w:sz w:val="44"/>
          <w:szCs w:val="44"/>
          <w:highlight w:val="none"/>
        </w:rPr>
        <w:br w:type="textWrapping"/>
      </w:r>
      <w:r>
        <w:rPr>
          <w:rFonts w:hint="eastAsia" w:ascii="方正小标宋简体" w:hAnsi="方正小标宋简体" w:eastAsia="方正小标宋简体" w:cs="方正小标宋简体"/>
          <w:bCs/>
          <w:sz w:val="44"/>
          <w:szCs w:val="44"/>
          <w:highlight w:val="none"/>
        </w:rPr>
        <w:t>和发展规划（2026—2030年）</w:t>
      </w:r>
      <w:bookmarkEnd w:id="2"/>
    </w:p>
    <w:bookmarkEnd w:id="0"/>
    <w:bookmarkEnd w:id="1"/>
    <w:p w14:paraId="241EA340">
      <w:pPr>
        <w:ind w:firstLine="640"/>
        <w:rPr>
          <w:highlight w:val="none"/>
        </w:rPr>
      </w:pPr>
    </w:p>
    <w:p w14:paraId="074B1BA9">
      <w:pPr>
        <w:ind w:firstLine="640"/>
        <w:rPr>
          <w:color w:val="000000" w:themeColor="text1"/>
          <w:highlight w:val="none"/>
          <w14:textFill>
            <w14:solidFill>
              <w14:schemeClr w14:val="tx1"/>
            </w14:solidFill>
          </w14:textFill>
        </w:rPr>
      </w:pPr>
    </w:p>
    <w:p w14:paraId="64E78361">
      <w:pPr>
        <w:ind w:left="0" w:leftChars="0" w:firstLine="0" w:firstLineChars="0"/>
        <w:rPr>
          <w:color w:val="000000" w:themeColor="text1"/>
          <w:highlight w:val="none"/>
          <w14:textFill>
            <w14:solidFill>
              <w14:schemeClr w14:val="tx1"/>
            </w14:solidFill>
          </w14:textFill>
        </w:rPr>
      </w:pPr>
    </w:p>
    <w:p w14:paraId="0B488211">
      <w:pPr>
        <w:ind w:firstLine="640"/>
        <w:rPr>
          <w:color w:val="000000" w:themeColor="text1"/>
          <w:highlight w:val="none"/>
          <w14:textFill>
            <w14:solidFill>
              <w14:schemeClr w14:val="tx1"/>
            </w14:solidFill>
          </w14:textFill>
        </w:rPr>
      </w:pPr>
    </w:p>
    <w:p w14:paraId="15931C3E">
      <w:pPr>
        <w:ind w:left="0" w:leftChars="0" w:firstLine="0" w:firstLineChars="0"/>
        <w:jc w:val="center"/>
        <w:rPr>
          <w:rFonts w:hint="eastAsia" w:ascii="楷体" w:hAnsi="楷体" w:eastAsia="楷体" w:cs="楷体"/>
          <w:color w:val="000000" w:themeColor="text1"/>
          <w:highlight w:val="none"/>
          <w:lang w:eastAsia="zh-CN"/>
          <w14:textFill>
            <w14:solidFill>
              <w14:schemeClr w14:val="tx1"/>
            </w14:solidFill>
          </w14:textFill>
        </w:rPr>
      </w:pPr>
      <w:r>
        <w:rPr>
          <w:rFonts w:hint="eastAsia" w:ascii="楷体" w:hAnsi="楷体" w:eastAsia="楷体" w:cs="楷体"/>
          <w:color w:val="000000" w:themeColor="text1"/>
          <w:highlight w:val="none"/>
          <w:lang w:eastAsia="zh-CN"/>
          <w14:textFill>
            <w14:solidFill>
              <w14:schemeClr w14:val="tx1"/>
            </w14:solidFill>
          </w14:textFill>
        </w:rPr>
        <w:t>（</w:t>
      </w:r>
      <w:r>
        <w:rPr>
          <w:rFonts w:hint="eastAsia" w:ascii="楷体" w:hAnsi="楷体" w:eastAsia="楷体" w:cs="楷体"/>
          <w:color w:val="000000" w:themeColor="text1"/>
          <w:highlight w:val="none"/>
          <w:lang w:val="en-US" w:eastAsia="zh-CN"/>
          <w14:textFill>
            <w14:solidFill>
              <w14:schemeClr w14:val="tx1"/>
            </w14:solidFill>
          </w14:textFill>
        </w:rPr>
        <w:t>征求意见</w:t>
      </w:r>
      <w:r>
        <w:rPr>
          <w:rFonts w:hint="eastAsia" w:ascii="楷体" w:hAnsi="楷体" w:eastAsia="楷体" w:cs="楷体"/>
          <w:color w:val="000000" w:themeColor="text1"/>
          <w:highlight w:val="none"/>
          <w:lang w:eastAsia="zh-CN"/>
          <w14:textFill>
            <w14:solidFill>
              <w14:schemeClr w14:val="tx1"/>
            </w14:solidFill>
          </w14:textFill>
        </w:rPr>
        <w:t>稿）</w:t>
      </w:r>
    </w:p>
    <w:p w14:paraId="121F1F51">
      <w:pPr>
        <w:tabs>
          <w:tab w:val="left" w:pos="2836"/>
        </w:tabs>
        <w:ind w:firstLine="640"/>
        <w:rPr>
          <w:rFonts w:hint="eastAsia" w:eastAsia="仿宋_GB2312"/>
          <w:color w:val="000000" w:themeColor="text1"/>
          <w:highlight w:val="none"/>
          <w:lang w:eastAsia="zh-CN"/>
          <w14:textFill>
            <w14:solidFill>
              <w14:schemeClr w14:val="tx1"/>
            </w14:solidFill>
          </w14:textFill>
        </w:rPr>
      </w:pPr>
    </w:p>
    <w:p w14:paraId="0D9C724A">
      <w:pPr>
        <w:ind w:firstLine="640"/>
        <w:rPr>
          <w:color w:val="000000" w:themeColor="text1"/>
          <w:highlight w:val="none"/>
          <w14:textFill>
            <w14:solidFill>
              <w14:schemeClr w14:val="tx1"/>
            </w14:solidFill>
          </w14:textFill>
        </w:rPr>
      </w:pPr>
    </w:p>
    <w:p w14:paraId="056D6859">
      <w:pPr>
        <w:ind w:firstLine="640"/>
        <w:rPr>
          <w:color w:val="000000" w:themeColor="text1"/>
          <w:highlight w:val="none"/>
          <w14:textFill>
            <w14:solidFill>
              <w14:schemeClr w14:val="tx1"/>
            </w14:solidFill>
          </w14:textFill>
        </w:rPr>
      </w:pPr>
    </w:p>
    <w:p w14:paraId="3AB2CA08">
      <w:pPr>
        <w:ind w:firstLine="640"/>
        <w:rPr>
          <w:color w:val="000000" w:themeColor="text1"/>
          <w:highlight w:val="none"/>
          <w14:textFill>
            <w14:solidFill>
              <w14:schemeClr w14:val="tx1"/>
            </w14:solidFill>
          </w14:textFill>
        </w:rPr>
      </w:pPr>
    </w:p>
    <w:p w14:paraId="258206A3">
      <w:pPr>
        <w:ind w:firstLine="640"/>
        <w:rPr>
          <w:color w:val="000000" w:themeColor="text1"/>
          <w:highlight w:val="none"/>
          <w14:textFill>
            <w14:solidFill>
              <w14:schemeClr w14:val="tx1"/>
            </w14:solidFill>
          </w14:textFill>
        </w:rPr>
      </w:pPr>
    </w:p>
    <w:p w14:paraId="241B56B3">
      <w:pPr>
        <w:ind w:firstLine="640"/>
        <w:rPr>
          <w:color w:val="000000" w:themeColor="text1"/>
          <w:highlight w:val="none"/>
          <w14:textFill>
            <w14:solidFill>
              <w14:schemeClr w14:val="tx1"/>
            </w14:solidFill>
          </w14:textFill>
        </w:rPr>
      </w:pPr>
    </w:p>
    <w:p w14:paraId="6B2E911A">
      <w:pPr>
        <w:ind w:firstLine="640"/>
        <w:rPr>
          <w:color w:val="000000" w:themeColor="text1"/>
          <w:highlight w:val="none"/>
          <w14:textFill>
            <w14:solidFill>
              <w14:schemeClr w14:val="tx1"/>
            </w14:solidFill>
          </w14:textFill>
        </w:rPr>
      </w:pPr>
    </w:p>
    <w:p w14:paraId="7E85BBC7">
      <w:pPr>
        <w:ind w:firstLine="640"/>
        <w:rPr>
          <w:color w:val="000000" w:themeColor="text1"/>
          <w:highlight w:val="none"/>
          <w14:textFill>
            <w14:solidFill>
              <w14:schemeClr w14:val="tx1"/>
            </w14:solidFill>
          </w14:textFill>
        </w:rPr>
      </w:pPr>
    </w:p>
    <w:p w14:paraId="6C2EA31F">
      <w:pPr>
        <w:ind w:firstLine="640"/>
        <w:rPr>
          <w:color w:val="000000" w:themeColor="text1"/>
          <w:highlight w:val="none"/>
          <w14:textFill>
            <w14:solidFill>
              <w14:schemeClr w14:val="tx1"/>
            </w14:solidFill>
          </w14:textFill>
        </w:rPr>
      </w:pPr>
    </w:p>
    <w:p w14:paraId="22D7DF18">
      <w:pPr>
        <w:ind w:firstLine="0" w:firstLineChars="0"/>
        <w:jc w:val="center"/>
        <w:rPr>
          <w:rFonts w:ascii="楷体_GB2312" w:hAnsi="楷体_GB2312" w:eastAsia="楷体_GB2312" w:cs="楷体_GB2312"/>
          <w:color w:val="000000" w:themeColor="text1"/>
          <w:highlight w:val="none"/>
          <w14:textFill>
            <w14:solidFill>
              <w14:schemeClr w14:val="tx1"/>
            </w14:solidFill>
          </w14:textFill>
        </w:rPr>
      </w:pPr>
      <w:r>
        <w:rPr>
          <w:rFonts w:hint="eastAsia" w:ascii="楷体_GB2312" w:hAnsi="楷体_GB2312" w:eastAsia="楷体_GB2312" w:cs="楷体_GB2312"/>
          <w:color w:val="000000" w:themeColor="text1"/>
          <w:highlight w:val="none"/>
          <w14:textFill>
            <w14:solidFill>
              <w14:schemeClr w14:val="tx1"/>
            </w14:solidFill>
          </w14:textFill>
        </w:rPr>
        <w:t>202</w:t>
      </w:r>
      <w:r>
        <w:rPr>
          <w:rFonts w:hint="eastAsia" w:ascii="楷体_GB2312" w:hAnsi="楷体_GB2312" w:eastAsia="楷体_GB2312" w:cs="楷体_GB2312"/>
          <w:color w:val="000000" w:themeColor="text1"/>
          <w:highlight w:val="none"/>
          <w:lang w:val="en-US" w:eastAsia="zh-CN"/>
          <w14:textFill>
            <w14:solidFill>
              <w14:schemeClr w14:val="tx1"/>
            </w14:solidFill>
          </w14:textFill>
        </w:rPr>
        <w:t>6</w:t>
      </w:r>
      <w:r>
        <w:rPr>
          <w:rFonts w:hint="eastAsia" w:ascii="楷体_GB2312" w:hAnsi="楷体_GB2312" w:eastAsia="楷体_GB2312" w:cs="楷体_GB2312"/>
          <w:color w:val="000000" w:themeColor="text1"/>
          <w:highlight w:val="none"/>
          <w14:textFill>
            <w14:solidFill>
              <w14:schemeClr w14:val="tx1"/>
            </w14:solidFill>
          </w14:textFill>
        </w:rPr>
        <w:t>年</w:t>
      </w:r>
      <w:r>
        <w:rPr>
          <w:rFonts w:hint="eastAsia" w:ascii="楷体_GB2312" w:hAnsi="楷体_GB2312" w:eastAsia="楷体_GB2312" w:cs="楷体_GB2312"/>
          <w:color w:val="000000" w:themeColor="text1"/>
          <w:highlight w:val="none"/>
          <w:lang w:val="en-US" w:eastAsia="zh-CN"/>
          <w14:textFill>
            <w14:solidFill>
              <w14:schemeClr w14:val="tx1"/>
            </w14:solidFill>
          </w14:textFill>
        </w:rPr>
        <w:t>11</w:t>
      </w:r>
      <w:r>
        <w:rPr>
          <w:rFonts w:hint="eastAsia" w:ascii="楷体_GB2312" w:hAnsi="楷体_GB2312" w:eastAsia="楷体_GB2312" w:cs="楷体_GB2312"/>
          <w:color w:val="000000" w:themeColor="text1"/>
          <w:highlight w:val="none"/>
          <w14:textFill>
            <w14:solidFill>
              <w14:schemeClr w14:val="tx1"/>
            </w14:solidFill>
          </w14:textFill>
        </w:rPr>
        <w:t>月</w:t>
      </w:r>
    </w:p>
    <w:p w14:paraId="52C87D09">
      <w:pPr>
        <w:widowControl/>
        <w:spacing w:line="240" w:lineRule="auto"/>
        <w:ind w:firstLine="0" w:firstLineChars="0"/>
        <w:jc w:val="left"/>
        <w:rPr>
          <w:color w:val="000000" w:themeColor="text1"/>
          <w:highlight w:val="none"/>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start="1"/>
          <w:cols w:space="425" w:num="1"/>
          <w:titlePg/>
          <w:docGrid w:type="lines" w:linePitch="435" w:charSpace="0"/>
        </w:sectPr>
      </w:pPr>
    </w:p>
    <w:p w14:paraId="16196713">
      <w:pPr>
        <w:widowControl/>
        <w:spacing w:line="240" w:lineRule="auto"/>
        <w:ind w:firstLine="0" w:firstLineChars="0"/>
        <w:jc w:val="left"/>
        <w:rPr>
          <w:color w:val="000000" w:themeColor="text1"/>
          <w:highlight w:val="none"/>
          <w14:textFill>
            <w14:solidFill>
              <w14:schemeClr w14:val="tx1"/>
            </w14:solidFill>
          </w14:textFill>
        </w:rPr>
      </w:pPr>
    </w:p>
    <w:p w14:paraId="0442E28D">
      <w:pPr>
        <w:pStyle w:val="11"/>
        <w:rPr>
          <w:b w:val="0"/>
          <w:bCs/>
          <w:color w:val="000000" w:themeColor="text1"/>
          <w:highlight w:val="none"/>
          <w14:textFill>
            <w14:solidFill>
              <w14:schemeClr w14:val="tx1"/>
            </w14:solidFill>
          </w14:textFill>
        </w:rPr>
      </w:pPr>
      <w:bookmarkStart w:id="3" w:name="_Toc215733267"/>
      <w:bookmarkStart w:id="4" w:name="_Toc202450551"/>
      <w:bookmarkStart w:id="5" w:name="_Toc1098529923"/>
      <w:bookmarkStart w:id="6" w:name="_Toc5431"/>
      <w:bookmarkStart w:id="7" w:name="_Toc14727"/>
      <w:bookmarkStart w:id="8" w:name="_Toc213684622"/>
      <w:bookmarkStart w:id="9" w:name="_Toc32425"/>
      <w:bookmarkStart w:id="10" w:name="_Toc215733199"/>
      <w:bookmarkStart w:id="11" w:name="_Toc212626041"/>
      <w:bookmarkStart w:id="12" w:name="_Toc22544"/>
      <w:bookmarkStart w:id="13" w:name="_Toc213748129"/>
      <w:bookmarkStart w:id="14" w:name="_Toc212626109"/>
      <w:bookmarkStart w:id="15" w:name="_Toc7544"/>
      <w:r>
        <w:rPr>
          <w:rFonts w:hint="eastAsia"/>
          <w:b w:val="0"/>
          <w:bCs/>
          <w:color w:val="000000" w:themeColor="text1"/>
          <w:highlight w:val="none"/>
          <w14:textFill>
            <w14:solidFill>
              <w14:schemeClr w14:val="tx1"/>
            </w14:solidFill>
          </w14:textFill>
        </w:rPr>
        <w:t>目  录</w:t>
      </w:r>
      <w:bookmarkEnd w:id="3"/>
      <w:bookmarkEnd w:id="4"/>
      <w:bookmarkEnd w:id="5"/>
      <w:bookmarkEnd w:id="6"/>
      <w:bookmarkEnd w:id="7"/>
      <w:bookmarkEnd w:id="8"/>
      <w:bookmarkEnd w:id="9"/>
      <w:bookmarkEnd w:id="10"/>
      <w:bookmarkEnd w:id="11"/>
      <w:bookmarkEnd w:id="12"/>
      <w:bookmarkEnd w:id="13"/>
      <w:bookmarkEnd w:id="14"/>
      <w:bookmarkEnd w:id="15"/>
    </w:p>
    <w:sdt>
      <w:sdtPr>
        <w:rPr>
          <w:rFonts w:ascii="宋体" w:hAnsi="宋体" w:eastAsia="宋体" w:cs="Times New Roman"/>
          <w:kern w:val="2"/>
          <w:sz w:val="21"/>
          <w:szCs w:val="22"/>
          <w:highlight w:val="none"/>
          <w:lang w:val="en-US" w:eastAsia="zh-CN" w:bidi="ar-SA"/>
        </w:rPr>
        <w:id w:val="370828469"/>
        <w15:color w:val="DBDBDB"/>
        <w:docPartObj>
          <w:docPartGallery w:val="Table of Contents"/>
          <w:docPartUnique/>
        </w:docPartObj>
      </w:sdtPr>
      <w:sdtEndPr>
        <w:rPr>
          <w:rFonts w:hint="eastAsia" w:ascii="仿宋_GB2312" w:hAnsi="仿宋_GB2312" w:eastAsia="仿宋_GB2312" w:cs="仿宋_GB2312"/>
          <w:b/>
          <w:bCs w:val="0"/>
          <w:kern w:val="2"/>
          <w:sz w:val="32"/>
          <w:szCs w:val="32"/>
          <w:highlight w:val="none"/>
          <w:lang w:val="en-US" w:eastAsia="zh-CN" w:bidi="ar-SA"/>
        </w:rPr>
      </w:sdtEndPr>
      <w:sdtContent>
        <w:p w14:paraId="5DE3713B">
          <w:pPr>
            <w:spacing w:before="0" w:beforeLines="0" w:after="0" w:afterLines="0" w:line="240" w:lineRule="auto"/>
            <w:ind w:left="0" w:leftChars="0" w:right="0" w:rightChars="0" w:firstLine="0" w:firstLineChars="0"/>
            <w:jc w:val="center"/>
            <w:rPr>
              <w:highlight w:val="none"/>
            </w:rPr>
          </w:pPr>
        </w:p>
        <w:p w14:paraId="62DA4892">
          <w:pPr>
            <w:pStyle w:val="15"/>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TOC \o "1-2" \h \u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黑体" w:hAnsi="黑体" w:eastAsia="黑体" w:cs="黑体"/>
              <w:b w:val="0"/>
              <w:bCs w:val="0"/>
              <w:sz w:val="32"/>
              <w:szCs w:val="32"/>
              <w:highlight w:val="none"/>
              <w:shd w:val="clear" w:color="auto" w:fill="auto"/>
            </w:rPr>
            <w:fldChar w:fldCharType="begin"/>
          </w:r>
          <w:r>
            <w:rPr>
              <w:rFonts w:hint="eastAsia" w:ascii="黑体" w:hAnsi="黑体" w:eastAsia="黑体" w:cs="黑体"/>
              <w:b w:val="0"/>
              <w:bCs w:val="0"/>
              <w:sz w:val="32"/>
              <w:szCs w:val="32"/>
              <w:highlight w:val="none"/>
              <w:shd w:val="clear" w:color="auto" w:fill="auto"/>
            </w:rPr>
            <w:instrText xml:space="preserve"> HYPERLINK \l _Toc1075502602 </w:instrText>
          </w:r>
          <w:r>
            <w:rPr>
              <w:rFonts w:hint="eastAsia" w:ascii="黑体" w:hAnsi="黑体" w:eastAsia="黑体" w:cs="黑体"/>
              <w:b w:val="0"/>
              <w:bCs w:val="0"/>
              <w:sz w:val="32"/>
              <w:szCs w:val="32"/>
              <w:highlight w:val="none"/>
              <w:shd w:val="clear" w:color="auto" w:fill="auto"/>
            </w:rPr>
            <w:fldChar w:fldCharType="separate"/>
          </w:r>
          <w:r>
            <w:rPr>
              <w:rFonts w:hint="eastAsia" w:ascii="黑体" w:hAnsi="黑体" w:eastAsia="黑体" w:cs="黑体"/>
              <w:b w:val="0"/>
              <w:bCs w:val="0"/>
              <w:sz w:val="32"/>
              <w:szCs w:val="32"/>
              <w:highlight w:val="none"/>
              <w:shd w:val="clear" w:color="auto" w:fill="auto"/>
            </w:rPr>
            <w:t>一、发展基础与面临形势</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_Toc1075502602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2</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黑体" w:hAnsi="黑体" w:eastAsia="黑体" w:cs="黑体"/>
              <w:b w:val="0"/>
              <w:bCs w:val="0"/>
              <w:sz w:val="32"/>
              <w:szCs w:val="32"/>
              <w:highlight w:val="none"/>
              <w:shd w:val="clear" w:color="auto" w:fill="auto"/>
            </w:rPr>
            <w:fldChar w:fldCharType="end"/>
          </w:r>
        </w:p>
        <w:p w14:paraId="5A7A8796">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_Toc602375015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（一）发展基础与成就</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_Toc602375015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2</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3D8C5816">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_Toc878965147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（二）面临形势</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_Toc878965147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4</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2EECB032">
          <w:pPr>
            <w:pStyle w:val="15"/>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_Toc227217916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黑体" w:hAnsi="黑体" w:eastAsia="黑体" w:cs="黑体"/>
              <w:b w:val="0"/>
              <w:bCs w:val="0"/>
              <w:sz w:val="32"/>
              <w:szCs w:val="32"/>
              <w:highlight w:val="none"/>
              <w:shd w:val="clear" w:color="auto" w:fill="auto"/>
            </w:rPr>
            <w:t>二、</w:t>
          </w:r>
          <w:r>
            <w:rPr>
              <w:rFonts w:hint="eastAsia" w:ascii="黑体" w:hAnsi="黑体" w:eastAsia="黑体" w:cs="黑体"/>
              <w:b w:val="0"/>
              <w:bCs w:val="0"/>
              <w:sz w:val="32"/>
              <w:szCs w:val="32"/>
              <w:highlight w:val="none"/>
              <w:shd w:val="clear" w:color="auto" w:fill="auto"/>
              <w:lang w:val="en-US" w:eastAsia="zh-CN"/>
            </w:rPr>
            <w:t>发展目标</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_Toc227217916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5</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28D040A2">
          <w:pPr>
            <w:pStyle w:val="15"/>
            <w:keepNext w:val="0"/>
            <w:keepLines w:val="0"/>
            <w:pageBreakBefore w:val="0"/>
            <w:tabs>
              <w:tab w:val="right" w:leader="dot" w:pos="8306"/>
            </w:tabs>
            <w:kinsoku/>
            <w:wordWrap/>
            <w:overflowPunct/>
            <w:topLinePunct w:val="0"/>
            <w:autoSpaceDE/>
            <w:autoSpaceDN/>
            <w:bidi w:val="0"/>
            <w:adjustRightInd/>
            <w:snapToGrid/>
            <w:spacing w:line="560" w:lineRule="exact"/>
            <w:textAlignment w:val="auto"/>
            <w:rPr>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_Toc208606010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黑体" w:hAnsi="黑体" w:eastAsia="黑体" w:cs="黑体"/>
              <w:b w:val="0"/>
              <w:bCs w:val="0"/>
              <w:sz w:val="32"/>
              <w:szCs w:val="32"/>
              <w:highlight w:val="none"/>
              <w:shd w:val="clear" w:color="auto" w:fill="auto"/>
            </w:rPr>
            <w:t>三、重点任务</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_Toc208606010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7</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2EC47231">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_Toc1347898166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（一）</w:t>
          </w:r>
          <w:r>
            <w:rPr>
              <w:rFonts w:hint="eastAsia" w:ascii="楷体_GB2312" w:hAnsi="楷体_GB2312" w:eastAsia="楷体_GB2312" w:cs="楷体_GB2312"/>
              <w:b w:val="0"/>
              <w:bCs w:val="0"/>
              <w:sz w:val="32"/>
              <w:szCs w:val="32"/>
              <w:highlight w:val="none"/>
              <w:shd w:val="clear" w:color="auto" w:fill="auto"/>
              <w:lang w:eastAsia="zh-CN"/>
            </w:rPr>
            <w:t>加强党的领导</w:t>
          </w:r>
          <w:r>
            <w:rPr>
              <w:rFonts w:hint="eastAsia" w:ascii="楷体_GB2312" w:hAnsi="楷体_GB2312" w:eastAsia="楷体_GB2312" w:cs="楷体_GB2312"/>
              <w:b w:val="0"/>
              <w:bCs w:val="0"/>
              <w:sz w:val="32"/>
              <w:szCs w:val="32"/>
              <w:highlight w:val="none"/>
              <w:shd w:val="clear" w:color="auto" w:fill="auto"/>
            </w:rPr>
            <w:t>，以高质量党建引领</w:t>
          </w:r>
          <w:r>
            <w:rPr>
              <w:rFonts w:hint="eastAsia" w:ascii="楷体_GB2312" w:hAnsi="楷体_GB2312" w:eastAsia="楷体_GB2312" w:cs="楷体_GB2312"/>
              <w:b w:val="0"/>
              <w:bCs w:val="0"/>
              <w:sz w:val="32"/>
              <w:szCs w:val="32"/>
              <w:highlight w:val="none"/>
              <w:shd w:val="clear" w:color="auto" w:fill="auto"/>
              <w:lang w:eastAsia="zh-CN"/>
            </w:rPr>
            <w:t>教育</w:t>
          </w:r>
          <w:r>
            <w:rPr>
              <w:rFonts w:hint="eastAsia" w:ascii="楷体_GB2312" w:hAnsi="楷体_GB2312" w:eastAsia="楷体_GB2312" w:cs="楷体_GB2312"/>
              <w:b w:val="0"/>
              <w:bCs w:val="0"/>
              <w:sz w:val="32"/>
              <w:szCs w:val="32"/>
              <w:highlight w:val="none"/>
              <w:shd w:val="clear" w:color="auto" w:fill="auto"/>
            </w:rPr>
            <w:t>发展</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_Toc1347898166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7</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79E06BC4">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_Toc319483759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（二）</w:t>
          </w:r>
          <w:r>
            <w:rPr>
              <w:rFonts w:hint="eastAsia" w:ascii="楷体_GB2312" w:hAnsi="楷体_GB2312" w:eastAsia="楷体_GB2312" w:cs="楷体_GB2312"/>
              <w:b w:val="0"/>
              <w:bCs w:val="0"/>
              <w:sz w:val="32"/>
              <w:szCs w:val="32"/>
              <w:highlight w:val="none"/>
              <w:shd w:val="clear" w:color="auto" w:fill="auto"/>
              <w:lang w:eastAsia="zh-CN"/>
            </w:rPr>
            <w:t>构筑育人体系</w:t>
          </w:r>
          <w:r>
            <w:rPr>
              <w:rFonts w:hint="eastAsia" w:ascii="楷体_GB2312" w:hAnsi="楷体_GB2312" w:eastAsia="楷体_GB2312" w:cs="楷体_GB2312"/>
              <w:b w:val="0"/>
              <w:bCs w:val="0"/>
              <w:sz w:val="32"/>
              <w:szCs w:val="32"/>
              <w:highlight w:val="none"/>
              <w:shd w:val="clear" w:color="auto" w:fill="auto"/>
            </w:rPr>
            <w:t>，塑造立德树人新格局</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_Toc319483759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8</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44BF9CAE">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_Toc854420013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三</w:t>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立足区域特色，推动教育科技人才一体化发展</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_Toc854420013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9</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7F2D8EAA">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_Toc14011002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四</w:t>
          </w:r>
          <w:r>
            <w:rPr>
              <w:rFonts w:hint="eastAsia" w:ascii="楷体_GB2312" w:hAnsi="楷体_GB2312" w:eastAsia="楷体_GB2312" w:cs="楷体_GB2312"/>
              <w:b w:val="0"/>
              <w:bCs w:val="0"/>
              <w:sz w:val="32"/>
              <w:szCs w:val="32"/>
              <w:highlight w:val="none"/>
              <w:shd w:val="clear" w:color="auto" w:fill="auto"/>
            </w:rPr>
            <w:t>）全面扩优提质，</w:t>
          </w:r>
          <w:r>
            <w:rPr>
              <w:rFonts w:hint="eastAsia" w:ascii="楷体_GB2312" w:hAnsi="楷体_GB2312" w:eastAsia="楷体_GB2312" w:cs="楷体_GB2312"/>
              <w:b w:val="0"/>
              <w:bCs w:val="0"/>
              <w:sz w:val="32"/>
              <w:szCs w:val="32"/>
              <w:highlight w:val="none"/>
              <w:shd w:val="clear" w:color="auto" w:fill="auto"/>
              <w:lang w:eastAsia="zh-CN"/>
            </w:rPr>
            <w:t>构建教育优质均衡发展新生态</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_Toc14011002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10</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1DD4A414">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_Toc1407193091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五</w:t>
          </w:r>
          <w:r>
            <w:rPr>
              <w:rFonts w:hint="eastAsia" w:ascii="楷体_GB2312" w:hAnsi="楷体_GB2312" w:eastAsia="楷体_GB2312" w:cs="楷体_GB2312"/>
              <w:b w:val="0"/>
              <w:bCs w:val="0"/>
              <w:sz w:val="32"/>
              <w:szCs w:val="32"/>
              <w:highlight w:val="none"/>
              <w:shd w:val="clear" w:color="auto" w:fill="auto"/>
            </w:rPr>
            <w:t>）优化资源布局，打造优质教育资源集群</w:t>
          </w:r>
          <w:r>
            <w:rPr>
              <w:rFonts w:hint="eastAsia" w:ascii="楷体_GB2312" w:hAnsi="楷体_GB2312" w:eastAsia="楷体_GB2312" w:cs="楷体_GB2312"/>
              <w:b w:val="0"/>
              <w:bCs w:val="0"/>
              <w:sz w:val="32"/>
              <w:szCs w:val="32"/>
              <w:highlight w:val="none"/>
              <w:shd w:val="clear" w:color="auto" w:fill="auto"/>
              <w:lang w:eastAsia="zh-CN"/>
            </w:rPr>
            <w:t>地</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_Toc1407193091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12</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0624D24C">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_Toc456876026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六</w:t>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eastAsia="zh-CN"/>
            </w:rPr>
            <w:t>深耕数字教育，</w:t>
          </w:r>
          <w:r>
            <w:rPr>
              <w:rFonts w:hint="eastAsia" w:ascii="楷体_GB2312" w:hAnsi="楷体_GB2312" w:eastAsia="楷体_GB2312" w:cs="楷体_GB2312"/>
              <w:b w:val="0"/>
              <w:bCs w:val="0"/>
              <w:sz w:val="32"/>
              <w:szCs w:val="32"/>
              <w:highlight w:val="none"/>
              <w:shd w:val="clear" w:color="auto" w:fill="auto"/>
            </w:rPr>
            <w:t>建设智慧教育新</w:t>
          </w:r>
          <w:r>
            <w:rPr>
              <w:rFonts w:hint="eastAsia" w:ascii="楷体_GB2312" w:hAnsi="楷体_GB2312" w:eastAsia="楷体_GB2312" w:cs="楷体_GB2312"/>
              <w:b w:val="0"/>
              <w:bCs w:val="0"/>
              <w:sz w:val="32"/>
              <w:szCs w:val="32"/>
              <w:highlight w:val="none"/>
              <w:shd w:val="clear" w:color="auto" w:fill="auto"/>
              <w:lang w:eastAsia="zh-CN"/>
            </w:rPr>
            <w:t>高地</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_Toc456876026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13</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03823D1C">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_Toc1461330957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七</w:t>
          </w:r>
          <w:r>
            <w:rPr>
              <w:rFonts w:hint="eastAsia" w:ascii="楷体_GB2312" w:hAnsi="楷体_GB2312" w:eastAsia="楷体_GB2312" w:cs="楷体_GB2312"/>
              <w:b w:val="0"/>
              <w:bCs w:val="0"/>
              <w:sz w:val="32"/>
              <w:szCs w:val="32"/>
              <w:highlight w:val="none"/>
              <w:shd w:val="clear" w:color="auto" w:fill="auto"/>
            </w:rPr>
            <w:t>）坚持铸魂强师，提升队伍综合素质</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_Toc1461330957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14</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61C711E2">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_Toc1966407207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八</w:t>
          </w:r>
          <w:r>
            <w:rPr>
              <w:rFonts w:hint="eastAsia" w:ascii="楷体_GB2312" w:hAnsi="楷体_GB2312" w:eastAsia="楷体_GB2312" w:cs="楷体_GB2312"/>
              <w:b w:val="0"/>
              <w:bCs w:val="0"/>
              <w:sz w:val="32"/>
              <w:szCs w:val="32"/>
              <w:highlight w:val="none"/>
              <w:shd w:val="clear" w:color="auto" w:fill="auto"/>
            </w:rPr>
            <w:t>）加强开放协同，提高教育开放水平</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_Toc1966407207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15</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0638FD87">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_Toc1780084366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rPr>
            <w:t>（</w:t>
          </w:r>
          <w:r>
            <w:rPr>
              <w:rFonts w:hint="eastAsia" w:ascii="楷体_GB2312" w:hAnsi="楷体_GB2312" w:eastAsia="楷体_GB2312" w:cs="楷体_GB2312"/>
              <w:b w:val="0"/>
              <w:bCs w:val="0"/>
              <w:sz w:val="32"/>
              <w:szCs w:val="32"/>
              <w:highlight w:val="none"/>
              <w:shd w:val="clear" w:color="auto" w:fill="auto"/>
              <w:lang w:val="en-US" w:eastAsia="zh-CN"/>
            </w:rPr>
            <w:t>九</w:t>
          </w:r>
          <w:r>
            <w:rPr>
              <w:rFonts w:hint="eastAsia" w:ascii="楷体_GB2312" w:hAnsi="楷体_GB2312" w:eastAsia="楷体_GB2312" w:cs="楷体_GB2312"/>
              <w:b w:val="0"/>
              <w:bCs w:val="0"/>
              <w:sz w:val="32"/>
              <w:szCs w:val="32"/>
              <w:highlight w:val="none"/>
              <w:shd w:val="clear" w:color="auto" w:fill="auto"/>
            </w:rPr>
            <w:t>）深化教育改革，增强教育发展活力</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_Toc1780084366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16</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3694F0F3">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_Toc1283253005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楷体_GB2312" w:hAnsi="楷体_GB2312" w:eastAsia="楷体_GB2312" w:cs="楷体_GB2312"/>
              <w:b w:val="0"/>
              <w:bCs w:val="0"/>
              <w:sz w:val="32"/>
              <w:szCs w:val="32"/>
              <w:highlight w:val="none"/>
              <w:shd w:val="clear" w:color="auto" w:fill="auto"/>
              <w:lang w:val="en-US" w:eastAsia="zh-CN"/>
            </w:rPr>
            <w:t xml:space="preserve">（十） </w:t>
          </w:r>
          <w:r>
            <w:rPr>
              <w:rFonts w:hint="eastAsia" w:ascii="楷体_GB2312" w:hAnsi="楷体_GB2312" w:eastAsia="楷体_GB2312" w:cs="楷体_GB2312"/>
              <w:b w:val="0"/>
              <w:bCs w:val="0"/>
              <w:sz w:val="32"/>
              <w:szCs w:val="32"/>
              <w:highlight w:val="none"/>
              <w:shd w:val="clear" w:color="auto" w:fill="auto"/>
              <w:lang w:eastAsia="zh-CN"/>
            </w:rPr>
            <w:t>强化协同治理，筑牢</w:t>
          </w:r>
          <w:r>
            <w:rPr>
              <w:rFonts w:hint="eastAsia" w:ascii="楷体_GB2312" w:hAnsi="楷体_GB2312" w:eastAsia="楷体_GB2312" w:cs="楷体_GB2312"/>
              <w:b w:val="0"/>
              <w:bCs w:val="0"/>
              <w:sz w:val="32"/>
              <w:szCs w:val="32"/>
              <w:highlight w:val="none"/>
              <w:shd w:val="clear" w:color="auto" w:fill="auto"/>
              <w:lang w:val="en-US" w:eastAsia="zh-CN"/>
            </w:rPr>
            <w:t>平安校园防线</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_Toc1283253005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17</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21625572">
          <w:pPr>
            <w:pStyle w:val="16"/>
            <w:keepNext w:val="0"/>
            <w:keepLines w:val="0"/>
            <w:pageBreakBefore w:val="0"/>
            <w:tabs>
              <w:tab w:val="right" w:leader="dot" w:pos="8306"/>
            </w:tabs>
            <w:kinsoku/>
            <w:wordWrap/>
            <w:overflowPunct/>
            <w:topLinePunct w:val="0"/>
            <w:autoSpaceDE/>
            <w:autoSpaceDN/>
            <w:bidi w:val="0"/>
            <w:adjustRightInd/>
            <w:snapToGrid/>
            <w:spacing w:line="560" w:lineRule="exact"/>
            <w:ind w:left="0" w:leftChars="0" w:firstLine="0" w:firstLineChars="0"/>
            <w:textAlignment w:val="auto"/>
            <w:rPr>
              <w:b w:val="0"/>
              <w:bCs w:val="0"/>
              <w:sz w:val="32"/>
              <w:szCs w:val="32"/>
              <w:highlight w:val="none"/>
              <w:shd w:val="clear" w:color="auto" w:fill="auto"/>
            </w:rPr>
          </w:pP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HYPERLINK \l _Toc645897765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黑体" w:hAnsi="黑体" w:eastAsia="黑体" w:cs="黑体"/>
              <w:b w:val="0"/>
              <w:bCs w:val="0"/>
              <w:sz w:val="32"/>
              <w:szCs w:val="32"/>
              <w:highlight w:val="none"/>
              <w:shd w:val="clear" w:color="auto" w:fill="auto"/>
            </w:rPr>
            <w:t>四、保障</w:t>
          </w:r>
          <w:r>
            <w:rPr>
              <w:rFonts w:hint="eastAsia" w:ascii="黑体" w:hAnsi="黑体" w:eastAsia="黑体" w:cs="黑体"/>
              <w:b w:val="0"/>
              <w:bCs w:val="0"/>
              <w:sz w:val="32"/>
              <w:szCs w:val="32"/>
              <w:highlight w:val="none"/>
              <w:shd w:val="clear" w:color="auto" w:fill="auto"/>
              <w:lang w:eastAsia="zh-CN"/>
            </w:rPr>
            <w:t>实施</w:t>
          </w:r>
          <w:r>
            <w:rPr>
              <w:rFonts w:hint="eastAsia" w:ascii="仿宋_GB2312" w:hAnsi="仿宋_GB2312" w:eastAsia="仿宋_GB2312" w:cs="仿宋_GB2312"/>
              <w:b w:val="0"/>
              <w:bCs w:val="0"/>
              <w:sz w:val="32"/>
              <w:szCs w:val="32"/>
              <w:highlight w:val="none"/>
              <w:shd w:val="clear" w:color="auto" w:fill="auto"/>
            </w:rPr>
            <w:tab/>
          </w:r>
          <w:r>
            <w:rPr>
              <w:rFonts w:hint="eastAsia" w:ascii="仿宋_GB2312" w:hAnsi="仿宋_GB2312" w:eastAsia="仿宋_GB2312" w:cs="仿宋_GB2312"/>
              <w:b w:val="0"/>
              <w:bCs w:val="0"/>
              <w:sz w:val="32"/>
              <w:szCs w:val="32"/>
              <w:highlight w:val="none"/>
              <w:shd w:val="clear" w:color="auto" w:fill="auto"/>
            </w:rPr>
            <w:fldChar w:fldCharType="begin"/>
          </w:r>
          <w:r>
            <w:rPr>
              <w:rFonts w:hint="eastAsia" w:ascii="仿宋_GB2312" w:hAnsi="仿宋_GB2312" w:eastAsia="仿宋_GB2312" w:cs="仿宋_GB2312"/>
              <w:b w:val="0"/>
              <w:bCs w:val="0"/>
              <w:sz w:val="32"/>
              <w:szCs w:val="32"/>
              <w:highlight w:val="none"/>
              <w:shd w:val="clear" w:color="auto" w:fill="auto"/>
            </w:rPr>
            <w:instrText xml:space="preserve"> PAGEREF _Toc645897765 \h </w:instrText>
          </w:r>
          <w:r>
            <w:rPr>
              <w:rFonts w:hint="eastAsia" w:ascii="仿宋_GB2312" w:hAnsi="仿宋_GB2312" w:eastAsia="仿宋_GB2312" w:cs="仿宋_GB2312"/>
              <w:b w:val="0"/>
              <w:bCs w:val="0"/>
              <w:sz w:val="32"/>
              <w:szCs w:val="32"/>
              <w:highlight w:val="none"/>
              <w:shd w:val="clear" w:color="auto" w:fill="auto"/>
            </w:rPr>
            <w:fldChar w:fldCharType="separate"/>
          </w:r>
          <w:r>
            <w:rPr>
              <w:rFonts w:hint="eastAsia" w:ascii="仿宋_GB2312" w:hAnsi="仿宋_GB2312" w:eastAsia="仿宋_GB2312" w:cs="仿宋_GB2312"/>
              <w:b w:val="0"/>
              <w:bCs w:val="0"/>
              <w:sz w:val="32"/>
              <w:szCs w:val="32"/>
              <w:highlight w:val="none"/>
              <w:shd w:val="clear" w:color="auto" w:fill="auto"/>
            </w:rPr>
            <w:t>18</w:t>
          </w:r>
          <w:r>
            <w:rPr>
              <w:rFonts w:hint="eastAsia" w:ascii="仿宋_GB2312" w:hAnsi="仿宋_GB2312" w:eastAsia="仿宋_GB2312" w:cs="仿宋_GB2312"/>
              <w:b w:val="0"/>
              <w:bCs w:val="0"/>
              <w:sz w:val="32"/>
              <w:szCs w:val="32"/>
              <w:highlight w:val="none"/>
              <w:shd w:val="clear" w:color="auto" w:fill="auto"/>
            </w:rPr>
            <w:fldChar w:fldCharType="end"/>
          </w:r>
          <w:r>
            <w:rPr>
              <w:rFonts w:hint="eastAsia" w:ascii="仿宋_GB2312" w:hAnsi="仿宋_GB2312" w:eastAsia="仿宋_GB2312" w:cs="仿宋_GB2312"/>
              <w:b w:val="0"/>
              <w:bCs w:val="0"/>
              <w:sz w:val="32"/>
              <w:szCs w:val="32"/>
              <w:highlight w:val="none"/>
              <w:shd w:val="clear" w:color="auto" w:fill="auto"/>
            </w:rPr>
            <w:fldChar w:fldCharType="end"/>
          </w:r>
        </w:p>
        <w:p w14:paraId="4ED9D3D3">
          <w:pPr>
            <w:keepNext w:val="0"/>
            <w:keepLines w:val="0"/>
            <w:pageBreakBefore w:val="0"/>
            <w:widowControl w:val="0"/>
            <w:kinsoku/>
            <w:wordWrap/>
            <w:overflowPunct/>
            <w:topLinePunct w:val="0"/>
            <w:autoSpaceDE/>
            <w:autoSpaceDN/>
            <w:bidi w:val="0"/>
            <w:adjustRightInd/>
            <w:snapToGrid/>
            <w:spacing w:line="560" w:lineRule="exact"/>
            <w:ind w:leftChars="0" w:firstLine="640"/>
            <w:textAlignment w:val="auto"/>
            <w:rPr>
              <w:rFonts w:hint="eastAsia" w:ascii="仿宋_GB2312" w:hAnsi="仿宋_GB2312" w:eastAsia="仿宋_GB2312" w:cs="仿宋_GB2312"/>
              <w:b/>
              <w:bCs w:val="0"/>
              <w:kern w:val="2"/>
              <w:sz w:val="32"/>
              <w:szCs w:val="32"/>
              <w:highlight w:val="none"/>
              <w:lang w:val="en-US" w:eastAsia="zh-CN" w:bidi="ar-SA"/>
            </w:rPr>
          </w:pPr>
          <w:r>
            <w:rPr>
              <w:rFonts w:hint="eastAsia" w:ascii="仿宋_GB2312" w:hAnsi="仿宋_GB2312" w:eastAsia="仿宋_GB2312" w:cs="仿宋_GB2312"/>
              <w:b w:val="0"/>
              <w:bCs w:val="0"/>
              <w:sz w:val="32"/>
              <w:szCs w:val="32"/>
              <w:highlight w:val="none"/>
              <w:shd w:val="clear" w:color="auto" w:fill="auto"/>
            </w:rPr>
            <w:fldChar w:fldCharType="end"/>
          </w:r>
        </w:p>
      </w:sdtContent>
    </w:sdt>
    <w:p w14:paraId="2B73B2EE">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highlight w:val="none"/>
        </w:rPr>
        <w:sectPr>
          <w:footerReference r:id="rId11" w:type="default"/>
          <w:pgSz w:w="11906" w:h="16838"/>
          <w:pgMar w:top="1440" w:right="1800" w:bottom="1440" w:left="1800" w:header="851" w:footer="992" w:gutter="0"/>
          <w:pgNumType w:fmt="upperRoman" w:start="1"/>
          <w:cols w:space="425" w:num="1"/>
          <w:docGrid w:type="lines" w:linePitch="435" w:charSpace="0"/>
        </w:sectPr>
      </w:pPr>
    </w:p>
    <w:p w14:paraId="2723218E">
      <w:pPr>
        <w:keepNext w:val="0"/>
        <w:keepLines w:val="0"/>
        <w:pageBreakBefore w:val="0"/>
        <w:widowControl w:val="0"/>
        <w:kinsoku/>
        <w:wordWrap/>
        <w:overflowPunct/>
        <w:topLinePunct w:val="0"/>
        <w:autoSpaceDE/>
        <w:autoSpaceDN/>
        <w:bidi w:val="0"/>
        <w:spacing w:line="560" w:lineRule="exact"/>
        <w:ind w:firstLine="640"/>
        <w:textAlignment w:val="auto"/>
        <w:rPr>
          <w:rFonts w:hint="eastAsia"/>
          <w:highlight w:val="none"/>
        </w:rPr>
      </w:pPr>
      <w:r>
        <w:rPr>
          <w:rFonts w:hint="eastAsia"/>
          <w:highlight w:val="none"/>
        </w:rPr>
        <w:t>“十五五”时期是我国基本实现社会主义现代化夯实基础、全面发力的关键时期，也是深入贯彻《教育强国建设规划纲要（2024—2035年）》</w:t>
      </w:r>
      <w:r>
        <w:rPr>
          <w:rFonts w:hint="eastAsia"/>
          <w:highlight w:val="none"/>
          <w:lang w:eastAsia="zh-CN"/>
        </w:rPr>
        <w:t>，</w:t>
      </w:r>
      <w:r>
        <w:rPr>
          <w:rFonts w:hint="eastAsia"/>
          <w:highlight w:val="none"/>
        </w:rPr>
        <w:t>全面推进中国教育现代化的重要阶段。为</w:t>
      </w:r>
      <w:r>
        <w:rPr>
          <w:rFonts w:hint="eastAsia"/>
          <w:highlight w:val="none"/>
          <w:lang w:eastAsia="zh-CN"/>
        </w:rPr>
        <w:t>加快建设首都教育强区，</w:t>
      </w:r>
      <w:r>
        <w:rPr>
          <w:rFonts w:hint="eastAsia"/>
          <w:highlight w:val="none"/>
        </w:rPr>
        <w:t>进一步明确</w:t>
      </w:r>
      <w:r>
        <w:rPr>
          <w:rFonts w:hint="eastAsia"/>
          <w:highlight w:val="none"/>
          <w:lang w:eastAsia="zh-CN"/>
        </w:rPr>
        <w:t>未来五年</w:t>
      </w:r>
      <w:r>
        <w:rPr>
          <w:rFonts w:hint="eastAsia"/>
          <w:highlight w:val="none"/>
        </w:rPr>
        <w:t>大兴区教育改革发展的主要目标和任务，特制定本规划。</w:t>
      </w:r>
    </w:p>
    <w:p w14:paraId="7AD89AA8">
      <w:pPr>
        <w:pStyle w:val="3"/>
        <w:keepNext w:val="0"/>
        <w:keepLines w:val="0"/>
        <w:pageBreakBefore w:val="0"/>
        <w:widowControl w:val="0"/>
        <w:kinsoku/>
        <w:wordWrap/>
        <w:overflowPunct/>
        <w:topLinePunct w:val="0"/>
        <w:autoSpaceDE/>
        <w:autoSpaceDN/>
        <w:bidi w:val="0"/>
        <w:spacing w:line="560" w:lineRule="exact"/>
        <w:ind w:firstLine="640"/>
        <w:textAlignment w:val="auto"/>
        <w:rPr>
          <w:color w:val="000000" w:themeColor="text1"/>
          <w:highlight w:val="none"/>
          <w14:textFill>
            <w14:solidFill>
              <w14:schemeClr w14:val="tx1"/>
            </w14:solidFill>
          </w14:textFill>
        </w:rPr>
      </w:pPr>
      <w:bookmarkStart w:id="16" w:name="_Toc3317"/>
      <w:bookmarkStart w:id="17" w:name="_Toc202450552"/>
      <w:bookmarkStart w:id="18" w:name="_Toc24501"/>
      <w:bookmarkStart w:id="19" w:name="_Toc1989"/>
      <w:bookmarkStart w:id="20" w:name="_Toc1075502602"/>
      <w:r>
        <w:rPr>
          <w:rFonts w:hint="eastAsia"/>
          <w:color w:val="000000" w:themeColor="text1"/>
          <w:highlight w:val="none"/>
          <w14:textFill>
            <w14:solidFill>
              <w14:schemeClr w14:val="tx1"/>
            </w14:solidFill>
          </w14:textFill>
        </w:rPr>
        <w:t>一、发展基础与面临形势</w:t>
      </w:r>
      <w:bookmarkEnd w:id="16"/>
      <w:bookmarkEnd w:id="17"/>
      <w:bookmarkEnd w:id="18"/>
      <w:bookmarkEnd w:id="19"/>
      <w:bookmarkEnd w:id="20"/>
    </w:p>
    <w:p w14:paraId="63F2423F">
      <w:pPr>
        <w:pStyle w:val="4"/>
        <w:keepNext w:val="0"/>
        <w:keepLines w:val="0"/>
        <w:pageBreakBefore w:val="0"/>
        <w:widowControl w:val="0"/>
        <w:kinsoku/>
        <w:wordWrap/>
        <w:overflowPunct/>
        <w:topLinePunct w:val="0"/>
        <w:autoSpaceDE/>
        <w:autoSpaceDN/>
        <w:bidi w:val="0"/>
        <w:spacing w:line="560" w:lineRule="exact"/>
        <w:textAlignment w:val="auto"/>
        <w:rPr>
          <w:color w:val="000000" w:themeColor="text1"/>
          <w:highlight w:val="none"/>
          <w14:textFill>
            <w14:solidFill>
              <w14:schemeClr w14:val="tx1"/>
            </w14:solidFill>
          </w14:textFill>
        </w:rPr>
      </w:pPr>
      <w:bookmarkStart w:id="21" w:name="_Toc602375015"/>
      <w:bookmarkStart w:id="22" w:name="_Toc32559"/>
      <w:bookmarkStart w:id="23" w:name="_Toc202450553"/>
      <w:bookmarkStart w:id="24" w:name="_Toc4697"/>
      <w:bookmarkStart w:id="25" w:name="_Toc15192"/>
      <w:r>
        <w:rPr>
          <w:rFonts w:hint="eastAsia"/>
          <w:color w:val="000000" w:themeColor="text1"/>
          <w:highlight w:val="none"/>
          <w14:textFill>
            <w14:solidFill>
              <w14:schemeClr w14:val="tx1"/>
            </w14:solidFill>
          </w14:textFill>
        </w:rPr>
        <w:t>（一）发展基础与成就</w:t>
      </w:r>
      <w:bookmarkEnd w:id="21"/>
      <w:bookmarkEnd w:id="22"/>
      <w:bookmarkEnd w:id="23"/>
      <w:bookmarkEnd w:id="24"/>
      <w:bookmarkEnd w:id="25"/>
    </w:p>
    <w:p w14:paraId="5B263EE0">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“十四五”期间，大兴区教育系统始终坚持党对教育事业的全面领导，</w:t>
      </w:r>
      <w:r>
        <w:rPr>
          <w:rFonts w:hint="eastAsia" w:ascii="仿宋_GB2312" w:hAnsi="仿宋_GB2312" w:cs="仿宋_GB2312"/>
          <w:color w:val="000000" w:themeColor="text1"/>
          <w:highlight w:val="none"/>
          <w:lang w:eastAsia="zh-CN"/>
          <w14:textFill>
            <w14:solidFill>
              <w14:schemeClr w14:val="tx1"/>
            </w14:solidFill>
          </w14:textFill>
        </w:rPr>
        <w:t>全面贯彻落实全国、全市教育大会精神，召开全区教育大会，</w:t>
      </w:r>
      <w:r>
        <w:rPr>
          <w:rFonts w:hint="eastAsia" w:ascii="仿宋_GB2312" w:hAnsi="仿宋_GB2312" w:eastAsia="仿宋_GB2312" w:cs="仿宋_GB2312"/>
          <w:color w:val="000000" w:themeColor="text1"/>
          <w:highlight w:val="none"/>
          <w14:textFill>
            <w14:solidFill>
              <w14:schemeClr w14:val="tx1"/>
            </w14:solidFill>
          </w14:textFill>
        </w:rPr>
        <w:t>以高质量发展为主线，聚焦优质均衡与创新发展，推动教育与区域发展深度融合。</w:t>
      </w:r>
      <w:r>
        <w:rPr>
          <w:rFonts w:hint="eastAsia" w:ascii="仿宋_GB2312" w:hAnsi="仿宋_GB2312" w:cs="仿宋_GB2312"/>
          <w:color w:val="000000" w:themeColor="text1"/>
          <w:highlight w:val="none"/>
          <w:lang w:eastAsia="zh-CN"/>
          <w14:textFill>
            <w14:solidFill>
              <w14:schemeClr w14:val="tx1"/>
            </w14:solidFill>
          </w14:textFill>
        </w:rPr>
        <w:t>圆满完成了“十四五”时期教育改革发展各项目标任务，</w:t>
      </w:r>
      <w:r>
        <w:rPr>
          <w:rFonts w:hint="eastAsia" w:ascii="仿宋_GB2312" w:hAnsi="仿宋_GB2312" w:eastAsia="仿宋_GB2312" w:cs="仿宋_GB2312"/>
          <w:sz w:val="32"/>
          <w:szCs w:val="32"/>
          <w:highlight w:val="none"/>
        </w:rPr>
        <w:t>为实现建设教育强区目标筑牢了坚实根基</w:t>
      </w:r>
      <w:r>
        <w:rPr>
          <w:rFonts w:hint="eastAsia" w:ascii="仿宋_GB2312" w:hAnsi="仿宋_GB2312" w:eastAsia="仿宋_GB2312" w:cs="仿宋_GB2312"/>
          <w:color w:val="000000" w:themeColor="text1"/>
          <w:highlight w:val="none"/>
          <w14:textFill>
            <w14:solidFill>
              <w14:schemeClr w14:val="tx1"/>
            </w14:solidFill>
          </w14:textFill>
        </w:rPr>
        <w:t>。</w:t>
      </w:r>
    </w:p>
    <w:p w14:paraId="5CAA5987">
      <w:pPr>
        <w:pStyle w:val="5"/>
        <w:ind w:firstLine="641" w:firstLineChars="0"/>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pPr>
      <w:bookmarkStart w:id="26" w:name="_Toc15363"/>
      <w:bookmarkStart w:id="27" w:name="_Toc22482"/>
      <w:bookmarkStart w:id="28" w:name="_Toc202450554"/>
      <w:bookmarkStart w:id="29" w:name="_Toc1588"/>
      <w:bookmarkStart w:id="30" w:name="_Toc25310"/>
      <w:r>
        <w:rPr>
          <w:rFonts w:hint="eastAsia" w:ascii="仿宋_GB2312" w:hAnsi="仿宋_GB2312" w:eastAsia="仿宋_GB2312" w:cs="仿宋_GB2312"/>
          <w:b w:val="0"/>
          <w:bCs w:val="0"/>
          <w:color w:val="000000" w:themeColor="text1"/>
          <w:highlight w:val="none"/>
          <w14:textFill>
            <w14:solidFill>
              <w14:schemeClr w14:val="tx1"/>
            </w14:solidFill>
          </w14:textFill>
        </w:rPr>
        <w:t>1.党建引领事业发展开创新格局</w:t>
      </w:r>
      <w:bookmarkEnd w:id="26"/>
      <w:bookmarkEnd w:id="27"/>
      <w:bookmarkEnd w:id="28"/>
      <w:bookmarkEnd w:id="29"/>
      <w:bookmarkEnd w:id="30"/>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14:textFill>
            <w14:solidFill>
              <w14:schemeClr w14:val="tx1"/>
            </w14:solidFill>
          </w14:textFill>
        </w:rPr>
        <w:t>深入学习贯彻党的二十大</w:t>
      </w:r>
      <w:r>
        <w:rPr>
          <w:rFonts w:hint="eastAsia" w:ascii="仿宋_GB2312" w:hAnsi="仿宋_GB2312" w:cs="仿宋_GB2312"/>
          <w:b w:val="0"/>
          <w:bCs w:val="0"/>
          <w:color w:val="000000" w:themeColor="text1"/>
          <w:highlight w:val="none"/>
          <w:lang w:eastAsia="zh-CN"/>
          <w14:textFill>
            <w14:solidFill>
              <w14:schemeClr w14:val="tx1"/>
            </w14:solidFill>
          </w14:textFill>
        </w:rPr>
        <w:t>和二十届历次全会精神</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14:textFill>
            <w14:solidFill>
              <w14:schemeClr w14:val="tx1"/>
            </w14:solidFill>
          </w14:textFill>
        </w:rPr>
        <w:t>习近平总书记关于教育的重要论述。</w:t>
      </w:r>
      <w:r>
        <w:rPr>
          <w:rFonts w:ascii="仿宋_GB2312" w:hAnsi="仿宋_GB2312" w:cs="仿宋_GB2312"/>
          <w:b w:val="0"/>
          <w:bCs w:val="0"/>
          <w:color w:val="000000" w:themeColor="text1"/>
          <w:highlight w:val="none"/>
          <w14:textFill>
            <w14:solidFill>
              <w14:schemeClr w14:val="tx1"/>
            </w14:solidFill>
          </w14:textFill>
        </w:rPr>
        <w:t>高质量完成领导体制改革任务，</w:t>
      </w:r>
      <w:r>
        <w:rPr>
          <w:rFonts w:hint="eastAsia" w:ascii="仿宋_GB2312" w:hAnsi="仿宋_GB2312" w:eastAsia="仿宋_GB2312" w:cs="仿宋_GB2312"/>
          <w:b w:val="0"/>
          <w:bCs w:val="0"/>
          <w:color w:val="000000" w:themeColor="text1"/>
          <w:highlight w:val="none"/>
          <w14:textFill>
            <w14:solidFill>
              <w14:schemeClr w14:val="tx1"/>
            </w14:solidFill>
          </w14:textFill>
        </w:rPr>
        <w:t>全区中小学校</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全面</w:t>
      </w:r>
      <w:r>
        <w:rPr>
          <w:rFonts w:hint="eastAsia" w:ascii="仿宋_GB2312" w:hAnsi="仿宋_GB2312" w:eastAsia="仿宋_GB2312" w:cs="仿宋_GB2312"/>
          <w:b w:val="0"/>
          <w:bCs w:val="0"/>
          <w:color w:val="000000" w:themeColor="text1"/>
          <w:highlight w:val="none"/>
          <w14:textFill>
            <w14:solidFill>
              <w14:schemeClr w14:val="tx1"/>
            </w14:solidFill>
          </w14:textFill>
        </w:rPr>
        <w:t>实行党组织领导的校长负责制，</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形成</w:t>
      </w:r>
      <w:r>
        <w:rPr>
          <w:rFonts w:hint="eastAsia" w:ascii="仿宋_GB2312" w:hAnsi="仿宋_GB2312" w:eastAsia="仿宋_GB2312" w:cs="仿宋_GB2312"/>
          <w:b w:val="0"/>
          <w:bCs w:val="0"/>
          <w:color w:val="000000" w:themeColor="text1"/>
          <w:highlight w:val="none"/>
          <w14:textFill>
            <w14:solidFill>
              <w14:schemeClr w14:val="tx1"/>
            </w14:solidFill>
          </w14:textFill>
        </w:rPr>
        <w:t>“1+5+N”大兴改革经验。</w:t>
      </w:r>
      <w:r>
        <w:rPr>
          <w:rFonts w:hint="eastAsia" w:ascii="仿宋_GB2312" w:hAnsi="仿宋_GB2312" w:eastAsia="仿宋_GB2312" w:cs="仿宋_GB2312"/>
          <w:b w:val="0"/>
          <w:bCs w:val="0"/>
          <w:szCs w:val="32"/>
          <w:highlight w:val="none"/>
          <w:lang w:eastAsia="zh-CN"/>
        </w:rPr>
        <w:t>实施“寻根”工程，</w:t>
      </w:r>
      <w:r>
        <w:rPr>
          <w:rFonts w:hint="eastAsia" w:ascii="仿宋_GB2312" w:hAnsi="仿宋_GB2312" w:eastAsia="仿宋_GB2312" w:cs="仿宋_GB2312"/>
          <w:b w:val="0"/>
          <w:bCs w:val="0"/>
          <w:color w:val="000000" w:themeColor="text1"/>
          <w:highlight w:val="none"/>
          <w14:textFill>
            <w14:solidFill>
              <w14:schemeClr w14:val="tx1"/>
            </w14:solidFill>
          </w14:textFill>
        </w:rPr>
        <w:t>首创“党团队一体化育人示范区”，与区委党校共建“红色先锋成长学院”</w:t>
      </w:r>
      <w:r>
        <w:rPr>
          <w:rFonts w:hint="eastAsia" w:ascii="仿宋_GB2312" w:hAnsi="仿宋_GB2312" w:eastAsia="仿宋_GB2312" w:cs="仿宋_GB2312"/>
          <w:b w:val="0"/>
          <w:bCs w:val="0"/>
          <w:color w:val="000000" w:themeColor="text1"/>
          <w:szCs w:val="32"/>
          <w:highlight w:val="none"/>
          <w14:textFill>
            <w14:solidFill>
              <w14:schemeClr w14:val="tx1"/>
            </w14:solidFill>
          </w14:textFill>
        </w:rPr>
        <w:t>，</w:t>
      </w:r>
      <w:r>
        <w:rPr>
          <w:rFonts w:hint="eastAsia" w:ascii="仿宋_GB2312" w:hAnsi="仿宋_GB2312" w:eastAsia="仿宋_GB2312" w:cs="仿宋_GB2312"/>
          <w:b w:val="0"/>
          <w:bCs w:val="0"/>
          <w:color w:val="000000" w:themeColor="text1"/>
          <w:highlight w:val="none"/>
          <w14:textFill>
            <w14:solidFill>
              <w14:schemeClr w14:val="tx1"/>
            </w14:solidFill>
          </w14:textFill>
        </w:rPr>
        <w:t>开展“这里是大兴·歌声颂祖国”百场青少年合唱活动，打造“行走的思政课”</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14:textFill>
            <w14:solidFill>
              <w14:schemeClr w14:val="tx1"/>
            </w14:solidFill>
          </w14:textFill>
        </w:rPr>
        <w:t>每年常态化开展理想信念教育200余次。</w:t>
      </w:r>
      <w:r>
        <w:rPr>
          <w:rFonts w:ascii="仿宋_GB2312" w:hAnsi="仿宋_GB2312" w:cs="仿宋_GB2312"/>
          <w:b w:val="0"/>
          <w:bCs w:val="0"/>
          <w:color w:val="000000" w:themeColor="text1"/>
          <w:highlight w:val="none"/>
          <w14:textFill>
            <w14:solidFill>
              <w14:schemeClr w14:val="tx1"/>
            </w14:solidFill>
          </w14:textFill>
        </w:rPr>
        <w:t>形成党建引领德育</w:t>
      </w:r>
      <w:r>
        <w:rPr>
          <w:rFonts w:hint="eastAsia" w:ascii="仿宋_GB2312" w:hAnsi="仿宋_GB2312" w:cs="仿宋_GB2312"/>
          <w:b w:val="0"/>
          <w:bCs w:val="0"/>
          <w:color w:val="000000" w:themeColor="text1"/>
          <w:highlight w:val="none"/>
          <w14:textFill>
            <w14:solidFill>
              <w14:schemeClr w14:val="tx1"/>
            </w14:solidFill>
          </w14:textFill>
        </w:rPr>
        <w:t>思政、一体化育人的工作格局。</w:t>
      </w:r>
    </w:p>
    <w:p w14:paraId="593B0FB6">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14:textFill>
            <w14:solidFill>
              <w14:schemeClr w14:val="tx1"/>
            </w14:solidFill>
          </w14:textFill>
        </w:rPr>
      </w:pPr>
      <w:bookmarkStart w:id="31" w:name="_Toc23108"/>
      <w:bookmarkStart w:id="32" w:name="_Toc26631"/>
      <w:bookmarkStart w:id="33" w:name="_Toc30816"/>
      <w:bookmarkStart w:id="34" w:name="_Toc202450556"/>
      <w:bookmarkStart w:id="35" w:name="_Toc31396"/>
      <w:bookmarkStart w:id="36" w:name="_Toc26296"/>
      <w:bookmarkStart w:id="37" w:name="_Toc21171"/>
      <w:bookmarkStart w:id="38" w:name="_Toc18539"/>
      <w:bookmarkStart w:id="39" w:name="_Toc6267"/>
      <w:bookmarkStart w:id="40" w:name="_Toc202450555"/>
      <w:r>
        <w:rPr>
          <w:rFonts w:hint="eastAsia" w:ascii="仿宋_GB2312" w:hAnsi="仿宋_GB2312" w:cs="仿宋_GB2312"/>
          <w:color w:val="000000" w:themeColor="text1"/>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highlight w:val="none"/>
          <w14:textFill>
            <w14:solidFill>
              <w14:schemeClr w14:val="tx1"/>
            </w14:solidFill>
          </w14:textFill>
        </w:rPr>
        <w:t>.</w:t>
      </w:r>
      <w:bookmarkEnd w:id="31"/>
      <w:bookmarkEnd w:id="32"/>
      <w:bookmarkEnd w:id="33"/>
      <w:bookmarkEnd w:id="34"/>
      <w:bookmarkEnd w:id="35"/>
      <w:r>
        <w:rPr>
          <w:rFonts w:hint="eastAsia" w:ascii="仿宋_GB2312" w:hAnsi="仿宋_GB2312" w:eastAsia="仿宋_GB2312" w:cs="仿宋_GB2312"/>
          <w:color w:val="000000" w:themeColor="text1"/>
          <w:highlight w:val="none"/>
          <w14:textFill>
            <w14:solidFill>
              <w14:schemeClr w14:val="tx1"/>
            </w14:solidFill>
          </w14:textFill>
        </w:rPr>
        <w:t>“五育并举”育人模式形成新样板。开展“全程超前伴随式”家长培训课程180场，2所学校获批北京市</w:t>
      </w:r>
      <w:r>
        <w:rPr>
          <w:rFonts w:hint="eastAsia" w:ascii="仿宋_GB2312" w:hAnsi="仿宋_GB2312" w:cs="仿宋_GB2312"/>
          <w:color w:val="000000" w:themeColor="text1"/>
          <w:highlight w:val="none"/>
          <w:lang w:eastAsia="zh-CN"/>
          <w14:textFill>
            <w14:solidFill>
              <w14:schemeClr w14:val="tx1"/>
            </w14:solidFill>
          </w14:textFill>
        </w:rPr>
        <w:t>校家社</w:t>
      </w:r>
      <w:r>
        <w:rPr>
          <w:rFonts w:hint="eastAsia" w:ascii="仿宋_GB2312" w:hAnsi="仿宋_GB2312" w:eastAsia="仿宋_GB2312" w:cs="仿宋_GB2312"/>
          <w:color w:val="000000" w:themeColor="text1"/>
          <w:highlight w:val="none"/>
          <w14:textFill>
            <w14:solidFill>
              <w14:schemeClr w14:val="tx1"/>
            </w14:solidFill>
          </w14:textFill>
        </w:rPr>
        <w:t>协同育人实践基地校。5所中小学、幼儿园获批北京市大中小幼一体化德育研究基地校，全区100%创建文明校园，1所学校创建全国文明校园，24所学校获评首都文明校园。4所学校入选全国中小学科学教育实验校，承办北京市第二届小学生运动会，23所学校获评市级艺术特色校，学生竞赛获国家级奖项80余人次。强化劳动实践基地建设，全区所有中小学均建成多样化校内劳动基地共计101个。2所学校获批北京市中小学心理健康教育实践研究特色学校。</w:t>
      </w:r>
    </w:p>
    <w:p w14:paraId="13FD67B4">
      <w:pPr>
        <w:ind w:firstLine="640"/>
        <w:rPr>
          <w:rFonts w:hint="eastAsia"/>
          <w:highlight w:val="none"/>
        </w:rPr>
      </w:pPr>
      <w:r>
        <w:rPr>
          <w:rFonts w:hint="eastAsia" w:ascii="仿宋_GB2312" w:hAnsi="仿宋_GB2312" w:cs="仿宋_GB2312"/>
          <w:color w:val="000000" w:themeColor="text1"/>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highlight w:val="none"/>
          <w14:textFill>
            <w14:solidFill>
              <w14:schemeClr w14:val="tx1"/>
            </w14:solidFill>
          </w14:textFill>
        </w:rPr>
        <w:t>.资源扩容与优质均衡取得新进展</w:t>
      </w:r>
      <w:bookmarkEnd w:id="36"/>
      <w:bookmarkEnd w:id="37"/>
      <w:bookmarkEnd w:id="38"/>
      <w:bookmarkEnd w:id="39"/>
      <w:bookmarkEnd w:id="40"/>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“十四五”以来，共完成新建、改扩建项目51处，新增学位26310个</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cs="仿宋_GB2312"/>
          <w:color w:val="000000" w:themeColor="text1"/>
          <w:highlight w:val="none"/>
          <w:lang w:val="en-US" w:eastAsia="zh-CN"/>
          <w14:textFill>
            <w14:solidFill>
              <w14:schemeClr w14:val="tx1"/>
            </w14:solidFill>
          </w14:textFill>
        </w:rPr>
        <w:t>通过国家学前教育普及普惠区评估认定，成为北京市首批达标区。作</w:t>
      </w:r>
      <w:r>
        <w:rPr>
          <w:rFonts w:hint="eastAsia" w:ascii="仿宋_GB2312" w:hAnsi="仿宋_GB2312" w:cs="仿宋_GB2312"/>
          <w:color w:val="000000" w:themeColor="text1"/>
          <w:highlight w:val="none"/>
          <w:lang w:eastAsia="zh-CN"/>
          <w14:textFill>
            <w14:solidFill>
              <w14:schemeClr w14:val="tx1"/>
            </w14:solidFill>
          </w14:textFill>
        </w:rPr>
        <w:t>为北京市唯一的教育部保育教育质量提升试点区，凝练形成“‘动’起来的童年”核心理念和“123”工作法，获教育部专家高度认可，系列成果被中国知网收录。通过教育部义务教育优质均衡</w:t>
      </w:r>
      <w:r>
        <w:rPr>
          <w:rFonts w:hint="eastAsia" w:ascii="仿宋_GB2312" w:hAnsi="仿宋_GB2312" w:eastAsia="仿宋_GB2312" w:cs="仿宋_GB2312"/>
          <w:color w:val="000000" w:themeColor="text1"/>
          <w:highlight w:val="none"/>
          <w:lang w:eastAsia="zh-CN"/>
          <w14:textFill>
            <w14:solidFill>
              <w14:schemeClr w14:val="tx1"/>
            </w14:solidFill>
          </w14:textFill>
        </w:rPr>
        <w:t>发展区督导评估认定</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新增清华附中</w:t>
      </w:r>
      <w:r>
        <w:rPr>
          <w:rFonts w:hint="eastAsia" w:ascii="仿宋_GB2312" w:hAnsi="仿宋_GB2312" w:cs="仿宋_GB2312"/>
          <w:color w:val="000000" w:themeColor="text1"/>
          <w:highlight w:val="none"/>
          <w:lang w:eastAsia="zh-CN"/>
          <w14:textFill>
            <w14:solidFill>
              <w14:schemeClr w14:val="tx1"/>
            </w14:solidFill>
          </w14:textFill>
        </w:rPr>
        <w:t>大兴学校</w:t>
      </w:r>
      <w:r>
        <w:rPr>
          <w:rFonts w:hint="eastAsia" w:ascii="仿宋_GB2312" w:hAnsi="仿宋_GB2312" w:eastAsia="仿宋_GB2312" w:cs="仿宋_GB2312"/>
          <w:color w:val="000000" w:themeColor="text1"/>
          <w:highlight w:val="none"/>
          <w:lang w:eastAsia="zh-CN"/>
          <w14:textFill>
            <w14:solidFill>
              <w14:schemeClr w14:val="tx1"/>
            </w14:solidFill>
          </w14:textFill>
        </w:rPr>
        <w:t>、北师大实验中学</w:t>
      </w:r>
      <w:r>
        <w:rPr>
          <w:rFonts w:hint="eastAsia" w:ascii="仿宋_GB2312" w:hAnsi="仿宋_GB2312" w:cs="仿宋_GB2312"/>
          <w:color w:val="000000" w:themeColor="text1"/>
          <w:highlight w:val="none"/>
          <w:lang w:eastAsia="zh-CN"/>
          <w14:textFill>
            <w14:solidFill>
              <w14:schemeClr w14:val="tx1"/>
            </w14:solidFill>
          </w14:textFill>
        </w:rPr>
        <w:t>大兴分校、黄城根小学大兴校区</w:t>
      </w:r>
      <w:r>
        <w:rPr>
          <w:rFonts w:hint="eastAsia" w:ascii="仿宋_GB2312" w:hAnsi="仿宋_GB2312" w:eastAsia="仿宋_GB2312" w:cs="仿宋_GB2312"/>
          <w:color w:val="000000" w:themeColor="text1"/>
          <w:highlight w:val="none"/>
          <w14:textFill>
            <w14:solidFill>
              <w14:schemeClr w14:val="tx1"/>
            </w14:solidFill>
          </w14:textFill>
        </w:rPr>
        <w:t>等优质资源校19所</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本土教育集团扩至12个。积极推进课程改革，</w:t>
      </w:r>
      <w:r>
        <w:rPr>
          <w:rFonts w:hint="eastAsia" w:ascii="仿宋_GB2312" w:hAnsi="仿宋_GB2312" w:eastAsia="仿宋_GB2312" w:cs="仿宋_GB2312"/>
          <w:color w:val="000000" w:themeColor="text1"/>
          <w:highlight w:val="none"/>
          <w:lang w:eastAsia="zh-CN"/>
          <w14:textFill>
            <w14:solidFill>
              <w14:schemeClr w14:val="tx1"/>
            </w14:solidFill>
          </w14:textFill>
        </w:rPr>
        <w:t>获</w:t>
      </w:r>
      <w:r>
        <w:rPr>
          <w:rFonts w:hint="eastAsia" w:ascii="仿宋_GB2312" w:hAnsi="仿宋_GB2312" w:eastAsia="仿宋_GB2312" w:cs="仿宋_GB2312"/>
          <w:color w:val="000000" w:themeColor="text1"/>
          <w:highlight w:val="none"/>
          <w14:textFill>
            <w14:solidFill>
              <w14:schemeClr w14:val="tx1"/>
            </w14:solidFill>
          </w14:textFill>
        </w:rPr>
        <w:t>市级课程建设先进单位9所</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课程建设</w:t>
      </w:r>
      <w:r>
        <w:rPr>
          <w:rFonts w:hint="eastAsia" w:ascii="仿宋_GB2312" w:hAnsi="仿宋_GB2312" w:eastAsia="仿宋_GB2312" w:cs="仿宋_GB2312"/>
          <w:color w:val="000000" w:themeColor="text1"/>
          <w:highlight w:val="none"/>
          <w:lang w:eastAsia="zh-CN"/>
          <w14:textFill>
            <w14:solidFill>
              <w14:schemeClr w14:val="tx1"/>
            </w14:solidFill>
          </w14:textFill>
        </w:rPr>
        <w:t>相关</w:t>
      </w:r>
      <w:r>
        <w:rPr>
          <w:rFonts w:hint="eastAsia" w:ascii="仿宋_GB2312" w:hAnsi="仿宋_GB2312" w:eastAsia="仿宋_GB2312" w:cs="仿宋_GB2312"/>
          <w:color w:val="000000" w:themeColor="text1"/>
          <w:highlight w:val="none"/>
          <w14:textFill>
            <w14:solidFill>
              <w14:schemeClr w14:val="tx1"/>
            </w14:solidFill>
          </w14:textFill>
        </w:rPr>
        <w:t>优秀成果</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265</w:t>
      </w:r>
      <w:r>
        <w:rPr>
          <w:rFonts w:hint="eastAsia" w:ascii="仿宋_GB2312" w:hAnsi="仿宋_GB2312" w:eastAsia="仿宋_GB2312" w:cs="仿宋_GB2312"/>
          <w:color w:val="000000" w:themeColor="text1"/>
          <w:highlight w:val="none"/>
          <w14:textFill>
            <w14:solidFill>
              <w14:schemeClr w14:val="tx1"/>
            </w14:solidFill>
          </w14:textFill>
        </w:rPr>
        <w:t>项。</w:t>
      </w:r>
    </w:p>
    <w:p w14:paraId="3E8CCEE8">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lang w:val="en-US" w:eastAsia="zh-CN"/>
          <w14:textFill>
            <w14:solidFill>
              <w14:schemeClr w14:val="tx1"/>
            </w14:solidFill>
          </w14:textFill>
        </w:rPr>
      </w:pPr>
      <w:bookmarkStart w:id="41" w:name="_Toc30586"/>
      <w:bookmarkStart w:id="42" w:name="_Toc22440"/>
      <w:bookmarkStart w:id="43" w:name="_Toc202450557"/>
      <w:bookmarkStart w:id="44" w:name="_Toc11774"/>
      <w:bookmarkStart w:id="45" w:name="_Toc18755"/>
      <w:r>
        <w:rPr>
          <w:rFonts w:hint="eastAsia" w:ascii="仿宋_GB2312" w:hAnsi="仿宋_GB2312" w:eastAsia="仿宋_GB2312" w:cs="仿宋_GB2312"/>
          <w:color w:val="000000" w:themeColor="text1"/>
          <w:highlight w:val="none"/>
          <w14:textFill>
            <w14:solidFill>
              <w14:schemeClr w14:val="tx1"/>
            </w14:solidFill>
          </w14:textFill>
        </w:rPr>
        <w:t>4.服务首都高质量发展能力实现新跃升</w:t>
      </w:r>
      <w:bookmarkEnd w:id="41"/>
      <w:bookmarkEnd w:id="42"/>
      <w:bookmarkEnd w:id="43"/>
      <w:bookmarkEnd w:id="44"/>
      <w:bookmarkEnd w:id="45"/>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创新人才培养模式，在</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highlight w:val="none"/>
          <w14:textFill>
            <w14:solidFill>
              <w14:schemeClr w14:val="tx1"/>
            </w14:solidFill>
          </w14:textFill>
        </w:rPr>
        <w:t>所学校实施“1+3”项目，精心打造钱学森等创新实验班。</w:t>
      </w:r>
      <w:r>
        <w:rPr>
          <w:rFonts w:hint="eastAsia" w:ascii="仿宋_GB2312" w:hAnsi="仿宋_GB2312" w:eastAsia="仿宋_GB2312" w:cs="仿宋_GB2312"/>
          <w:color w:val="000000" w:themeColor="text1"/>
          <w:highlight w:val="none"/>
          <w:lang w:eastAsia="zh-CN"/>
          <w14:textFill>
            <w14:solidFill>
              <w14:schemeClr w14:val="tx1"/>
            </w14:solidFill>
          </w14:textFill>
        </w:rPr>
        <w:t>构建</w:t>
      </w:r>
      <w:r>
        <w:rPr>
          <w:rFonts w:hint="eastAsia" w:ascii="仿宋_GB2312" w:hAnsi="仿宋_GB2312" w:eastAsia="仿宋_GB2312" w:cs="仿宋_GB2312"/>
          <w:color w:val="000000" w:themeColor="text1"/>
          <w:highlight w:val="none"/>
          <w14:textFill>
            <w14:solidFill>
              <w14:schemeClr w14:val="tx1"/>
            </w14:solidFill>
          </w14:textFill>
        </w:rPr>
        <w:t>“小初高+高校”纵向课程链，推行项目式学习，建立联合教研机制，实现课程目标与能力培养无缝衔接。成立北京青少年创新学院大兴分院。大兴一职获批北京市优质中职学校专科试点</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cs="仿宋_GB2312"/>
          <w:color w:val="000000" w:themeColor="text1"/>
          <w:highlight w:val="none"/>
          <w:lang w:eastAsia="zh-CN"/>
          <w14:textFill>
            <w14:solidFill>
              <w14:schemeClr w14:val="tx1"/>
            </w14:solidFill>
          </w14:textFill>
        </w:rPr>
        <w:t>构建“头雁直播助农”机制，开展电商技能培训，数字赋能促增收。</w:t>
      </w:r>
    </w:p>
    <w:p w14:paraId="1FDD489A">
      <w:pPr>
        <w:pStyle w:val="5"/>
        <w:ind w:firstLine="641" w:firstLineChars="0"/>
        <w:rPr>
          <w:rFonts w:hint="eastAsia" w:ascii="仿宋_GB2312" w:hAnsi="仿宋_GB2312" w:eastAsia="仿宋_GB2312" w:cs="仿宋_GB2312"/>
          <w:b w:val="0"/>
          <w:bCs w:val="0"/>
          <w:color w:val="000000" w:themeColor="text1"/>
          <w:kern w:val="2"/>
          <w:sz w:val="32"/>
          <w:szCs w:val="22"/>
          <w:highlight w:val="none"/>
          <w:lang w:val="en-US" w:eastAsia="zh-CN" w:bidi="ar-SA"/>
          <w14:textFill>
            <w14:solidFill>
              <w14:schemeClr w14:val="tx1"/>
            </w14:solidFill>
          </w14:textFill>
        </w:rPr>
      </w:pPr>
      <w:bookmarkStart w:id="46" w:name="_Toc202450558"/>
      <w:bookmarkStart w:id="47" w:name="_Toc210"/>
      <w:bookmarkStart w:id="48" w:name="_Toc10946"/>
      <w:bookmarkStart w:id="49" w:name="_Toc30039"/>
      <w:bookmarkStart w:id="50" w:name="_Toc6358"/>
      <w:r>
        <w:rPr>
          <w:rFonts w:hint="eastAsia" w:ascii="仿宋_GB2312" w:hAnsi="仿宋_GB2312" w:eastAsia="仿宋_GB2312" w:cs="仿宋_GB2312"/>
          <w:b w:val="0"/>
          <w:bCs w:val="0"/>
          <w:color w:val="000000" w:themeColor="text1"/>
          <w:kern w:val="2"/>
          <w:sz w:val="32"/>
          <w:szCs w:val="22"/>
          <w:highlight w:val="none"/>
          <w:lang w:val="en-US" w:eastAsia="zh-CN" w:bidi="ar-SA"/>
          <w14:textFill>
            <w14:solidFill>
              <w14:schemeClr w14:val="tx1"/>
            </w14:solidFill>
          </w14:textFill>
        </w:rPr>
        <w:t>5.</w:t>
      </w:r>
      <w:bookmarkEnd w:id="46"/>
      <w:bookmarkEnd w:id="47"/>
      <w:bookmarkEnd w:id="48"/>
      <w:bookmarkEnd w:id="49"/>
      <w:bookmarkEnd w:id="50"/>
      <w:bookmarkStart w:id="51" w:name="_Toc10167"/>
      <w:bookmarkStart w:id="52" w:name="_Toc202450559"/>
      <w:bookmarkStart w:id="53" w:name="_Toc21245"/>
      <w:bookmarkStart w:id="54" w:name="_Toc31769"/>
      <w:bookmarkStart w:id="55" w:name="_Toc3785"/>
      <w:r>
        <w:rPr>
          <w:rFonts w:hint="eastAsia" w:ascii="仿宋_GB2312" w:hAnsi="仿宋_GB2312" w:eastAsia="仿宋_GB2312" w:cs="仿宋_GB2312"/>
          <w:b w:val="0"/>
          <w:bCs w:val="0"/>
          <w:color w:val="000000" w:themeColor="text1"/>
          <w:kern w:val="2"/>
          <w:sz w:val="32"/>
          <w:szCs w:val="22"/>
          <w:highlight w:val="none"/>
          <w:lang w:val="en-US" w:eastAsia="zh-CN" w:bidi="ar-SA"/>
          <w14:textFill>
            <w14:solidFill>
              <w14:schemeClr w14:val="tx1"/>
            </w14:solidFill>
          </w14:textFill>
        </w:rPr>
        <w:t>高素质专业化干部教师队伍能力迈上新台阶。加强干部队伍建设，年轻干部占比持续提升，实施</w:t>
      </w:r>
      <w:r>
        <w:rPr>
          <w:rFonts w:hint="eastAsia" w:ascii="仿宋_GB2312" w:hAnsi="仿宋_GB2312" w:cs="仿宋_GB2312"/>
          <w:b w:val="0"/>
          <w:bCs w:val="0"/>
          <w:color w:val="000000" w:themeColor="text1"/>
          <w:kern w:val="2"/>
          <w:sz w:val="32"/>
          <w:szCs w:val="22"/>
          <w:highlight w:val="none"/>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kern w:val="2"/>
          <w:sz w:val="32"/>
          <w:szCs w:val="22"/>
          <w:highlight w:val="none"/>
          <w:lang w:val="en-US" w:eastAsia="zh-CN" w:bidi="ar-SA"/>
          <w14:textFill>
            <w14:solidFill>
              <w14:schemeClr w14:val="tx1"/>
            </w14:solidFill>
          </w14:textFill>
        </w:rPr>
        <w:t>薪火计划</w:t>
      </w:r>
      <w:r>
        <w:rPr>
          <w:rFonts w:hint="eastAsia" w:ascii="仿宋_GB2312" w:hAnsi="仿宋_GB2312" w:cs="仿宋_GB2312"/>
          <w:b w:val="0"/>
          <w:bCs w:val="0"/>
          <w:color w:val="000000" w:themeColor="text1"/>
          <w:kern w:val="2"/>
          <w:sz w:val="32"/>
          <w:szCs w:val="22"/>
          <w:highlight w:val="none"/>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kern w:val="2"/>
          <w:sz w:val="32"/>
          <w:szCs w:val="22"/>
          <w:highlight w:val="none"/>
          <w:lang w:val="en-US" w:eastAsia="zh-CN" w:bidi="ar-SA"/>
          <w14:textFill>
            <w14:solidFill>
              <w14:schemeClr w14:val="tx1"/>
            </w14:solidFill>
          </w14:textFill>
        </w:rPr>
        <w:t>，三期遴选150名中层后备干部，平均年龄32.6岁，研究生占比55.9%。培育壮大</w:t>
      </w:r>
      <w:r>
        <w:rPr>
          <w:rFonts w:hint="eastAsia" w:ascii="仿宋_GB2312" w:hAnsi="仿宋_GB2312" w:cs="仿宋_GB2312"/>
          <w:b w:val="0"/>
          <w:bCs w:val="0"/>
          <w:color w:val="000000" w:themeColor="text1"/>
          <w:kern w:val="2"/>
          <w:sz w:val="32"/>
          <w:szCs w:val="22"/>
          <w:highlight w:val="none"/>
          <w:lang w:val="en-US" w:eastAsia="zh-CN" w:bidi="ar-SA"/>
          <w14:textFill>
            <w14:solidFill>
              <w14:schemeClr w14:val="tx1"/>
            </w14:solidFill>
          </w14:textFill>
        </w:rPr>
        <w:t>师资力量</w:t>
      </w:r>
      <w:r>
        <w:rPr>
          <w:rFonts w:hint="eastAsia" w:ascii="仿宋_GB2312" w:hAnsi="仿宋_GB2312" w:eastAsia="仿宋_GB2312" w:cs="仿宋_GB2312"/>
          <w:b w:val="0"/>
          <w:bCs w:val="0"/>
          <w:color w:val="000000" w:themeColor="text1"/>
          <w:kern w:val="2"/>
          <w:sz w:val="32"/>
          <w:szCs w:val="22"/>
          <w:highlight w:val="none"/>
          <w:lang w:val="en-US" w:eastAsia="zh-CN" w:bidi="ar-SA"/>
          <w14:textFill>
            <w14:solidFill>
              <w14:schemeClr w14:val="tx1"/>
            </w14:solidFill>
          </w14:textFill>
        </w:rPr>
        <w:t>，“十四五”期间，共招聘各类型教师1679人，引进管理型人才7人，新增正高级教师78人，特级教师11人，28人获评全国模范教师、北京市优秀教师等奖项。推行“领航人才行动计划”，创新构建优秀校长、成熟校长、新任校长、青年干部四级培训体系。成功申报教育部人工智能助推教师队伍建设行动试点，推动教师专业成长和教育质量提升。</w:t>
      </w:r>
    </w:p>
    <w:p w14:paraId="19C37A23">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lang w:eastAsia="zh-CN"/>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6.治理体系和治理能力现代化</w:t>
      </w:r>
      <w:bookmarkEnd w:id="51"/>
      <w:bookmarkEnd w:id="52"/>
      <w:bookmarkEnd w:id="53"/>
      <w:r>
        <w:rPr>
          <w:rFonts w:hint="eastAsia" w:ascii="仿宋_GB2312" w:hAnsi="仿宋_GB2312" w:eastAsia="仿宋_GB2312" w:cs="仿宋_GB2312"/>
          <w:color w:val="000000" w:themeColor="text1"/>
          <w:highlight w:val="none"/>
          <w:lang w:eastAsia="zh-CN"/>
          <w14:textFill>
            <w14:solidFill>
              <w14:schemeClr w14:val="tx1"/>
            </w14:solidFill>
          </w14:textFill>
        </w:rPr>
        <w:t>迎来</w:t>
      </w:r>
      <w:r>
        <w:rPr>
          <w:rFonts w:hint="eastAsia" w:ascii="仿宋_GB2312" w:hAnsi="仿宋_GB2312" w:eastAsia="仿宋_GB2312" w:cs="仿宋_GB2312"/>
          <w:color w:val="000000" w:themeColor="text1"/>
          <w:highlight w:val="none"/>
          <w14:textFill>
            <w14:solidFill>
              <w14:schemeClr w14:val="tx1"/>
            </w14:solidFill>
          </w14:textFill>
        </w:rPr>
        <w:t>新变革</w:t>
      </w:r>
      <w:bookmarkEnd w:id="54"/>
      <w:bookmarkEnd w:id="55"/>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推进教育督导体制机制改革，创新开展接诉即办经常性督导</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“接诉即办”连续12个月全市考核满分，平安校园达标率保持100%</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校内法制教育覆盖率达到100%</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智慧校园覆盖率达到100%</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教育满意度显著提升。学科类校外培训机构实现全流程监管，治理经验入选全国优秀案例</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cs="仿宋_GB2312"/>
          <w:color w:val="000000" w:themeColor="text1"/>
          <w:highlight w:val="none"/>
          <w:lang w:val="en-US" w:eastAsia="zh-CN"/>
          <w14:textFill>
            <w14:solidFill>
              <w14:schemeClr w14:val="tx1"/>
            </w14:solidFill>
          </w14:textFill>
        </w:rPr>
        <w:t>大兴区作为全市远郊唯一通学公交试点，</w:t>
      </w:r>
      <w:r>
        <w:rPr>
          <w:rFonts w:hint="eastAsia" w:ascii="仿宋_GB2312" w:hAnsi="仿宋_GB2312" w:cs="仿宋_GB2312"/>
          <w:color w:val="000000" w:themeColor="text1"/>
          <w:highlight w:val="none"/>
          <w:lang w:eastAsia="zh-CN"/>
          <w14:textFill>
            <w14:solidFill>
              <w14:schemeClr w14:val="tx1"/>
            </w14:solidFill>
          </w14:textFill>
        </w:rPr>
        <w:t>顺利</w:t>
      </w:r>
      <w:r>
        <w:rPr>
          <w:rFonts w:hint="eastAsia" w:ascii="仿宋_GB2312" w:hAnsi="仿宋_GB2312" w:eastAsia="仿宋_GB2312" w:cs="仿宋_GB2312"/>
          <w:color w:val="000000" w:themeColor="text1"/>
          <w:highlight w:val="none"/>
          <w:lang w:eastAsia="zh-CN"/>
          <w14:textFill>
            <w14:solidFill>
              <w14:schemeClr w14:val="tx1"/>
            </w14:solidFill>
          </w14:textFill>
        </w:rPr>
        <w:t>开通</w:t>
      </w:r>
      <w:r>
        <w:rPr>
          <w:rFonts w:hint="eastAsia" w:ascii="仿宋_GB2312" w:hAnsi="仿宋_GB2312" w:eastAsia="仿宋_GB2312" w:cs="仿宋_GB2312"/>
          <w:color w:val="000000" w:themeColor="text1"/>
          <w:highlight w:val="none"/>
          <w14:textFill>
            <w14:solidFill>
              <w14:schemeClr w14:val="tx1"/>
            </w14:solidFill>
          </w14:textFill>
        </w:rPr>
        <w:t>6</w:t>
      </w:r>
      <w:r>
        <w:rPr>
          <w:rFonts w:hint="eastAsia" w:ascii="仿宋_GB2312" w:hAnsi="仿宋_GB2312" w:cs="仿宋_GB2312"/>
          <w:color w:val="000000" w:themeColor="text1"/>
          <w:highlight w:val="none"/>
          <w:lang w:val="en-US" w:eastAsia="zh-CN"/>
          <w14:textFill>
            <w14:solidFill>
              <w14:schemeClr w14:val="tx1"/>
            </w14:solidFill>
          </w14:textFill>
        </w:rPr>
        <w:t>0余</w:t>
      </w:r>
      <w:r>
        <w:rPr>
          <w:rFonts w:hint="eastAsia" w:ascii="仿宋_GB2312" w:hAnsi="仿宋_GB2312" w:eastAsia="仿宋_GB2312" w:cs="仿宋_GB2312"/>
          <w:color w:val="000000" w:themeColor="text1"/>
          <w:highlight w:val="none"/>
          <w14:textFill>
            <w14:solidFill>
              <w14:schemeClr w14:val="tx1"/>
            </w14:solidFill>
          </w14:textFill>
        </w:rPr>
        <w:t>条通学公交线路。</w:t>
      </w:r>
    </w:p>
    <w:p w14:paraId="7223C0CB">
      <w:pPr>
        <w:pStyle w:val="4"/>
        <w:keepNext w:val="0"/>
        <w:keepLines w:val="0"/>
        <w:pageBreakBefore w:val="0"/>
        <w:widowControl w:val="0"/>
        <w:kinsoku/>
        <w:wordWrap/>
        <w:overflowPunct/>
        <w:topLinePunct w:val="0"/>
        <w:autoSpaceDE/>
        <w:autoSpaceDN/>
        <w:bidi w:val="0"/>
        <w:spacing w:line="560" w:lineRule="exact"/>
        <w:textAlignment w:val="auto"/>
        <w:rPr>
          <w:color w:val="000000" w:themeColor="text1"/>
          <w:highlight w:val="none"/>
          <w14:textFill>
            <w14:solidFill>
              <w14:schemeClr w14:val="tx1"/>
            </w14:solidFill>
          </w14:textFill>
        </w:rPr>
      </w:pPr>
      <w:bookmarkStart w:id="56" w:name="_Toc878965147"/>
      <w:bookmarkStart w:id="57" w:name="_Toc18537"/>
      <w:bookmarkStart w:id="58" w:name="_Toc613"/>
      <w:bookmarkStart w:id="59" w:name="_Toc19320"/>
      <w:bookmarkStart w:id="60" w:name="_Toc202450560"/>
      <w:r>
        <w:rPr>
          <w:rFonts w:hint="eastAsia"/>
          <w:color w:val="000000" w:themeColor="text1"/>
          <w:highlight w:val="none"/>
          <w14:textFill>
            <w14:solidFill>
              <w14:schemeClr w14:val="tx1"/>
            </w14:solidFill>
          </w14:textFill>
        </w:rPr>
        <w:t>（二）面临</w:t>
      </w:r>
      <w:r>
        <w:rPr>
          <w:color w:val="000000" w:themeColor="text1"/>
          <w:highlight w:val="none"/>
          <w14:textFill>
            <w14:solidFill>
              <w14:schemeClr w14:val="tx1"/>
            </w14:solidFill>
          </w14:textFill>
        </w:rPr>
        <w:t>形势</w:t>
      </w:r>
      <w:bookmarkEnd w:id="56"/>
      <w:bookmarkEnd w:id="57"/>
      <w:bookmarkEnd w:id="58"/>
      <w:bookmarkEnd w:id="59"/>
      <w:bookmarkEnd w:id="60"/>
    </w:p>
    <w:p w14:paraId="6A023059">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十五五”时期是全面贯彻落实《教育强国建设规划纲要（2024—2035年）》，建成教育强国首善之区、率先实现高水平教育现代化重要阶段，必须深入分析国家建设、城市发展、人口变化、新一轮科技革命和产业变革对大兴区教育的新挑战、新要求，持续推动教育在规模、结构、质量、效益方面的协调发展。</w:t>
      </w:r>
      <w:bookmarkStart w:id="61" w:name="_Toc202450561"/>
      <w:bookmarkStart w:id="62" w:name="_Toc26693"/>
      <w:bookmarkStart w:id="63" w:name="_Toc213748139"/>
      <w:bookmarkStart w:id="64" w:name="_Toc19396"/>
      <w:r>
        <w:rPr>
          <w:rFonts w:hint="eastAsia" w:ascii="仿宋_GB2312" w:hAnsi="仿宋_GB2312" w:eastAsia="仿宋_GB2312" w:cs="仿宋_GB2312"/>
          <w:color w:val="000000" w:themeColor="text1"/>
          <w:highlight w:val="none"/>
          <w:lang w:eastAsia="zh-CN"/>
          <w14:textFill>
            <w14:solidFill>
              <w14:schemeClr w14:val="tx1"/>
            </w14:solidFill>
          </w14:textFill>
        </w:rPr>
        <w:t>同时，立足大兴</w:t>
      </w:r>
      <w:r>
        <w:rPr>
          <w:rFonts w:hint="eastAsia" w:ascii="仿宋_GB2312" w:hAnsi="仿宋_GB2312" w:eastAsia="仿宋_GB2312" w:cs="仿宋_GB2312"/>
          <w:color w:val="000000" w:themeColor="text1"/>
          <w:highlight w:val="none"/>
          <w14:textFill>
            <w14:solidFill>
              <w14:schemeClr w14:val="tx1"/>
            </w14:solidFill>
          </w14:textFill>
        </w:rPr>
        <w:t>“三区一门户”的</w:t>
      </w:r>
      <w:r>
        <w:rPr>
          <w:rFonts w:hint="eastAsia" w:ascii="仿宋_GB2312" w:hAnsi="仿宋_GB2312" w:eastAsia="仿宋_GB2312" w:cs="仿宋_GB2312"/>
          <w:color w:val="000000" w:themeColor="text1"/>
          <w:highlight w:val="none"/>
          <w:lang w:eastAsia="zh-CN"/>
          <w14:textFill>
            <w14:solidFill>
              <w14:schemeClr w14:val="tx1"/>
            </w14:solidFill>
          </w14:textFill>
        </w:rPr>
        <w:t>功能定位，教育更要</w:t>
      </w:r>
      <w:r>
        <w:rPr>
          <w:rFonts w:hint="eastAsia" w:ascii="仿宋_GB2312" w:hAnsi="仿宋_GB2312" w:eastAsia="仿宋_GB2312" w:cs="仿宋_GB2312"/>
          <w:color w:val="000000" w:themeColor="text1"/>
          <w:highlight w:val="none"/>
          <w14:textFill>
            <w14:solidFill>
              <w14:schemeClr w14:val="tx1"/>
            </w14:solidFill>
          </w14:textFill>
        </w:rPr>
        <w:t>积极围绕</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6+5+3</w:t>
      </w:r>
      <w:r>
        <w:rPr>
          <w:rFonts w:hint="eastAsia" w:ascii="仿宋_GB2312" w:hAnsi="仿宋_GB2312" w:eastAsia="仿宋_GB2312" w:cs="仿宋_GB2312"/>
          <w:color w:val="000000" w:themeColor="text1"/>
          <w:highlight w:val="none"/>
          <w:lang w:eastAsia="zh-CN"/>
          <w14:textFill>
            <w14:solidFill>
              <w14:schemeClr w14:val="tx1"/>
            </w14:solidFill>
          </w14:textFill>
        </w:rPr>
        <w:t>”产业布局</w:t>
      </w:r>
      <w:r>
        <w:rPr>
          <w:rFonts w:hint="eastAsia" w:ascii="仿宋_GB2312" w:hAnsi="仿宋_GB2312" w:eastAsia="仿宋_GB2312" w:cs="仿宋_GB2312"/>
          <w:color w:val="000000" w:themeColor="text1"/>
          <w:highlight w:val="none"/>
          <w14:textFill>
            <w14:solidFill>
              <w14:schemeClr w14:val="tx1"/>
            </w14:solidFill>
          </w14:textFill>
        </w:rPr>
        <w:t>，全面提高人才自主培养质量，切实提升教育对经济社会发展的支撑与引领作用。</w:t>
      </w:r>
    </w:p>
    <w:p w14:paraId="2008B4E0">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lang w:eastAsia="zh-CN"/>
          <w14:textFill>
            <w14:solidFill>
              <w14:schemeClr w14:val="tx1"/>
            </w14:solidFill>
          </w14:textFill>
        </w:rPr>
        <w:t>大兴教育面临发展机遇，同时存在不足：</w:t>
      </w:r>
      <w:r>
        <w:rPr>
          <w:rFonts w:hint="eastAsia" w:ascii="仿宋_GB2312" w:hAnsi="仿宋_GB2312" w:eastAsia="仿宋_GB2312" w:cs="仿宋_GB2312"/>
          <w:color w:val="000000" w:themeColor="text1"/>
          <w:highlight w:val="none"/>
          <w14:textFill>
            <w14:solidFill>
              <w14:schemeClr w14:val="tx1"/>
            </w14:solidFill>
          </w14:textFill>
        </w:rPr>
        <w:t>教育供给与发展需求匹配度</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区域教育品牌竞争力需进一步提升</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教育集团</w:t>
      </w:r>
      <w:r>
        <w:rPr>
          <w:rFonts w:hint="eastAsia"/>
          <w:color w:val="000000" w:themeColor="text1"/>
          <w:highlight w:val="none"/>
          <w14:textFill>
            <w14:solidFill>
              <w14:schemeClr w14:val="tx1"/>
            </w14:solidFill>
          </w14:textFill>
        </w:rPr>
        <w:t>作用发挥</w:t>
      </w:r>
      <w:r>
        <w:rPr>
          <w:rFonts w:hint="eastAsia"/>
          <w:color w:val="000000" w:themeColor="text1"/>
          <w:highlight w:val="none"/>
          <w:lang w:eastAsia="zh-CN"/>
          <w14:textFill>
            <w14:solidFill>
              <w14:schemeClr w14:val="tx1"/>
            </w14:solidFill>
          </w14:textFill>
        </w:rPr>
        <w:t>不够</w:t>
      </w:r>
      <w:r>
        <w:rPr>
          <w:rFonts w:hint="eastAsia"/>
          <w:color w:val="000000" w:themeColor="text1"/>
          <w:highlight w:val="none"/>
          <w14:textFill>
            <w14:solidFill>
              <w14:schemeClr w14:val="tx1"/>
            </w14:solidFill>
          </w14:textFill>
        </w:rPr>
        <w:t>充分。</w:t>
      </w:r>
      <w:r>
        <w:rPr>
          <w:rFonts w:hint="eastAsia" w:ascii="仿宋_GB2312" w:hAnsi="仿宋_GB2312" w:eastAsia="仿宋_GB2312" w:cs="仿宋_GB2312"/>
          <w:color w:val="000000" w:themeColor="text1"/>
          <w:highlight w:val="none"/>
          <w14:textFill>
            <w14:solidFill>
              <w14:schemeClr w14:val="tx1"/>
            </w14:solidFill>
          </w14:textFill>
        </w:rPr>
        <w:t>教师队伍配置不均衡且结构性问题突出，教育人才政策支撑作用不足</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教育评价、师资流动、产教融合等关键领域改革深度不够</w:t>
      </w:r>
      <w:r>
        <w:rPr>
          <w:rFonts w:hint="eastAsia" w:ascii="仿宋_GB2312" w:hAnsi="仿宋_GB2312" w:cs="仿宋_GB2312"/>
          <w:color w:val="000000" w:themeColor="text1"/>
          <w:highlight w:val="none"/>
          <w:lang w:eastAsia="zh-CN"/>
          <w14:textFill>
            <w14:solidFill>
              <w14:schemeClr w14:val="tx1"/>
            </w14:solidFill>
          </w14:textFill>
        </w:rPr>
        <w:t>。校家社</w:t>
      </w:r>
      <w:r>
        <w:rPr>
          <w:rFonts w:hint="eastAsia" w:ascii="仿宋_GB2312" w:hAnsi="仿宋_GB2312" w:eastAsia="仿宋_GB2312" w:cs="仿宋_GB2312"/>
          <w:color w:val="000000" w:themeColor="text1"/>
          <w:highlight w:val="none"/>
          <w14:textFill>
            <w14:solidFill>
              <w14:schemeClr w14:val="tx1"/>
            </w14:solidFill>
          </w14:textFill>
        </w:rPr>
        <w:t>协作合力还没有真正形成。</w:t>
      </w:r>
      <w:bookmarkEnd w:id="61"/>
      <w:bookmarkEnd w:id="62"/>
      <w:bookmarkEnd w:id="63"/>
      <w:bookmarkEnd w:id="64"/>
      <w:bookmarkStart w:id="65" w:name="_Toc22550"/>
      <w:bookmarkStart w:id="66" w:name="_Toc202450565"/>
      <w:bookmarkStart w:id="67" w:name="_Toc25747"/>
    </w:p>
    <w:p w14:paraId="774E782E">
      <w:pPr>
        <w:pStyle w:val="3"/>
        <w:keepNext w:val="0"/>
        <w:keepLines w:val="0"/>
        <w:pageBreakBefore w:val="0"/>
        <w:widowControl w:val="0"/>
        <w:kinsoku/>
        <w:wordWrap/>
        <w:overflowPunct/>
        <w:topLinePunct w:val="0"/>
        <w:autoSpaceDE/>
        <w:autoSpaceDN/>
        <w:bidi w:val="0"/>
        <w:spacing w:line="560" w:lineRule="exact"/>
        <w:ind w:firstLine="640"/>
        <w:textAlignment w:val="auto"/>
        <w:rPr>
          <w:rFonts w:hint="default" w:eastAsia="黑体"/>
          <w:highlight w:val="none"/>
          <w:lang w:val="en-US" w:eastAsia="zh-CN"/>
        </w:rPr>
      </w:pPr>
      <w:bookmarkStart w:id="68" w:name="_Toc24936"/>
      <w:bookmarkStart w:id="69" w:name="_Toc227217916"/>
      <w:r>
        <w:rPr>
          <w:rFonts w:hint="eastAsia"/>
          <w:highlight w:val="none"/>
        </w:rPr>
        <w:t>二、</w:t>
      </w:r>
      <w:bookmarkEnd w:id="65"/>
      <w:bookmarkEnd w:id="66"/>
      <w:bookmarkEnd w:id="67"/>
      <w:bookmarkEnd w:id="68"/>
      <w:r>
        <w:rPr>
          <w:rFonts w:hint="eastAsia"/>
          <w:highlight w:val="none"/>
          <w:lang w:val="en-US" w:eastAsia="zh-CN"/>
        </w:rPr>
        <w:t>发展目标</w:t>
      </w:r>
      <w:bookmarkEnd w:id="69"/>
    </w:p>
    <w:p w14:paraId="3DAD5C59">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宋体" w:cs="宋体"/>
          <w:bCs/>
          <w:color w:val="auto"/>
          <w:kern w:val="0"/>
          <w:sz w:val="32"/>
          <w:szCs w:val="32"/>
          <w:highlight w:val="none"/>
          <w:lang w:val="en-US" w:eastAsia="zh-CN"/>
        </w:rPr>
      </w:pPr>
      <w:bookmarkStart w:id="70" w:name="_Toc10148"/>
      <w:bookmarkStart w:id="71" w:name="_Toc2333"/>
      <w:bookmarkStart w:id="72" w:name="_Toc202450567"/>
      <w:bookmarkStart w:id="73" w:name="_Toc4065"/>
      <w:r>
        <w:rPr>
          <w:rFonts w:hint="eastAsia" w:ascii="仿宋_GB2312" w:hAnsi="宋体" w:eastAsia="仿宋_GB2312" w:cs="宋体"/>
          <w:bCs/>
          <w:color w:val="auto"/>
          <w:kern w:val="0"/>
          <w:sz w:val="32"/>
          <w:szCs w:val="32"/>
          <w:highlight w:val="none"/>
        </w:rPr>
        <w:t>紧扣大兴“三区一门户”功能定位，锚定建设</w:t>
      </w:r>
      <w:r>
        <w:rPr>
          <w:rFonts w:hint="eastAsia" w:ascii="仿宋_GB2312" w:hAnsi="宋体" w:cs="宋体"/>
          <w:bCs/>
          <w:color w:val="auto"/>
          <w:kern w:val="0"/>
          <w:sz w:val="32"/>
          <w:szCs w:val="32"/>
          <w:highlight w:val="none"/>
          <w:lang w:eastAsia="zh-CN"/>
        </w:rPr>
        <w:t>“</w:t>
      </w:r>
      <w:r>
        <w:rPr>
          <w:rFonts w:hint="eastAsia" w:ascii="仿宋_GB2312" w:hAnsi="宋体" w:eastAsia="仿宋_GB2312" w:cs="宋体"/>
          <w:bCs/>
          <w:color w:val="auto"/>
          <w:kern w:val="0"/>
          <w:sz w:val="32"/>
          <w:szCs w:val="32"/>
          <w:highlight w:val="none"/>
        </w:rPr>
        <w:t>协同发展示范区、繁荣开放国门新城</w:t>
      </w:r>
      <w:r>
        <w:rPr>
          <w:rFonts w:hint="eastAsia" w:ascii="仿宋_GB2312" w:hAnsi="宋体" w:cs="宋体"/>
          <w:bCs/>
          <w:color w:val="auto"/>
          <w:kern w:val="0"/>
          <w:sz w:val="32"/>
          <w:szCs w:val="32"/>
          <w:highlight w:val="none"/>
          <w:lang w:eastAsia="zh-CN"/>
        </w:rPr>
        <w:t>”</w:t>
      </w:r>
      <w:r>
        <w:rPr>
          <w:rFonts w:hint="eastAsia" w:ascii="仿宋_GB2312" w:hAnsi="宋体" w:eastAsia="仿宋_GB2312" w:cs="宋体"/>
          <w:bCs/>
          <w:color w:val="auto"/>
          <w:kern w:val="0"/>
          <w:sz w:val="32"/>
          <w:szCs w:val="32"/>
          <w:highlight w:val="none"/>
        </w:rPr>
        <w:t>战略目标，推动教育深度融入</w:t>
      </w:r>
      <w:r>
        <w:rPr>
          <w:rFonts w:hint="eastAsia" w:ascii="仿宋_GB2312" w:hAnsi="宋体" w:cs="宋体"/>
          <w:bCs/>
          <w:color w:val="auto"/>
          <w:kern w:val="0"/>
          <w:sz w:val="32"/>
          <w:szCs w:val="32"/>
          <w:highlight w:val="none"/>
          <w:lang w:eastAsia="zh-CN"/>
        </w:rPr>
        <w:t>区域</w:t>
      </w:r>
      <w:r>
        <w:rPr>
          <w:rFonts w:hint="eastAsia" w:ascii="仿宋_GB2312" w:hAnsi="宋体" w:eastAsia="仿宋_GB2312" w:cs="宋体"/>
          <w:bCs/>
          <w:color w:val="auto"/>
          <w:kern w:val="0"/>
          <w:sz w:val="32"/>
          <w:szCs w:val="32"/>
          <w:highlight w:val="none"/>
        </w:rPr>
        <w:t>发展大局</w:t>
      </w:r>
      <w:r>
        <w:rPr>
          <w:rFonts w:hint="eastAsia" w:ascii="仿宋_GB2312" w:hAnsi="宋体" w:cs="宋体"/>
          <w:bCs/>
          <w:color w:val="auto"/>
          <w:kern w:val="0"/>
          <w:sz w:val="32"/>
          <w:szCs w:val="32"/>
          <w:highlight w:val="none"/>
          <w:lang w:eastAsia="zh-CN"/>
        </w:rPr>
        <w:t>。</w:t>
      </w:r>
      <w:r>
        <w:rPr>
          <w:rFonts w:hint="eastAsia" w:ascii="仿宋_GB2312" w:hAnsi="宋体" w:eastAsia="仿宋_GB2312" w:cs="宋体"/>
          <w:bCs/>
          <w:color w:val="auto"/>
          <w:kern w:val="0"/>
          <w:sz w:val="32"/>
          <w:szCs w:val="32"/>
          <w:highlight w:val="none"/>
        </w:rPr>
        <w:t>到2030年，教育整体发展水平跻身全市平原新城前列，</w:t>
      </w:r>
      <w:r>
        <w:rPr>
          <w:rFonts w:hint="eastAsia" w:ascii="仿宋_GB2312" w:hAnsi="宋体" w:cs="宋体"/>
          <w:bCs/>
          <w:color w:val="auto"/>
          <w:kern w:val="0"/>
          <w:sz w:val="32"/>
          <w:szCs w:val="32"/>
          <w:highlight w:val="none"/>
          <w:lang w:eastAsia="zh-CN"/>
        </w:rPr>
        <w:t>育人品质显著增强，</w:t>
      </w:r>
      <w:r>
        <w:rPr>
          <w:rFonts w:hint="eastAsia" w:ascii="仿宋_GB2312" w:hAnsi="宋体" w:eastAsia="仿宋_GB2312" w:cs="宋体"/>
          <w:bCs/>
          <w:color w:val="auto"/>
          <w:kern w:val="0"/>
          <w:sz w:val="32"/>
          <w:szCs w:val="32"/>
          <w:highlight w:val="none"/>
        </w:rPr>
        <w:t>人民群众教育获得感显著增强，服务首都南部新增长极建设</w:t>
      </w:r>
      <w:r>
        <w:rPr>
          <w:rFonts w:hint="eastAsia" w:ascii="仿宋_GB2312" w:hAnsi="宋体" w:cs="宋体"/>
          <w:bCs/>
          <w:color w:val="auto"/>
          <w:kern w:val="0"/>
          <w:sz w:val="32"/>
          <w:szCs w:val="32"/>
          <w:highlight w:val="none"/>
          <w:lang w:eastAsia="zh-CN"/>
        </w:rPr>
        <w:t>能力</w:t>
      </w:r>
      <w:r>
        <w:rPr>
          <w:rFonts w:hint="eastAsia" w:ascii="仿宋_GB2312" w:hAnsi="宋体" w:eastAsia="仿宋_GB2312" w:cs="宋体"/>
          <w:bCs/>
          <w:color w:val="auto"/>
          <w:kern w:val="0"/>
          <w:sz w:val="32"/>
          <w:szCs w:val="32"/>
          <w:highlight w:val="none"/>
        </w:rPr>
        <w:t>显著增强，逐步建成具有大兴特色、彰显首善标准的“首都新国门教育新高地”。</w:t>
      </w:r>
      <w:r>
        <w:rPr>
          <w:rFonts w:hint="eastAsia" w:ascii="仿宋_GB2312" w:hAnsi="宋体" w:cs="宋体"/>
          <w:bCs/>
          <w:color w:val="auto"/>
          <w:kern w:val="0"/>
          <w:sz w:val="32"/>
          <w:szCs w:val="32"/>
          <w:highlight w:val="none"/>
          <w:lang w:val="en-US" w:eastAsia="zh-CN"/>
        </w:rPr>
        <w:t xml:space="preserve">  </w:t>
      </w:r>
    </w:p>
    <w:p w14:paraId="440A053E">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lang w:eastAsia="zh-CN"/>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1.育人质量显著提升。完善德智体美劳全面发展的人才培养体系，学生核心素养与关键能力整体达到全市前列水平。推进托幼一体发展</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基础教育全面扩优提质</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培育1所在全市有较大影响力的品牌高中</w:t>
      </w:r>
      <w:r>
        <w:rPr>
          <w:rFonts w:hint="eastAsia" w:ascii="仿宋_GB2312" w:hAnsi="仿宋_GB2312" w:eastAsia="仿宋_GB2312" w:cs="仿宋_GB2312"/>
          <w:color w:val="000000" w:themeColor="text1"/>
          <w:highlight w:val="none"/>
          <w:lang w:eastAsia="zh-CN"/>
          <w14:textFill>
            <w14:solidFill>
              <w14:schemeClr w14:val="tx1"/>
            </w14:solidFill>
          </w14:textFill>
        </w:rPr>
        <w:t>，深入</w:t>
      </w:r>
      <w:r>
        <w:rPr>
          <w:rFonts w:hint="eastAsia" w:ascii="仿宋_GB2312" w:hAnsi="仿宋_GB2312" w:eastAsia="仿宋_GB2312" w:cs="仿宋_GB2312"/>
          <w:color w:val="000000" w:themeColor="text1"/>
          <w:highlight w:val="none"/>
          <w14:textFill>
            <w14:solidFill>
              <w14:schemeClr w14:val="tx1"/>
            </w14:solidFill>
          </w14:textFill>
        </w:rPr>
        <w:t>推行融合教育，高中教育阶段残疾学生入学机会明显增加。形成与社会需求高度适配、产教深度融合、办学形态灵活多元的现代化职业教育与培训体系。</w:t>
      </w:r>
      <w:r>
        <w:rPr>
          <w:rFonts w:hint="eastAsia" w:ascii="仿宋_GB2312" w:hAnsi="仿宋_GB2312" w:cs="仿宋_GB2312"/>
          <w:color w:val="000000" w:themeColor="text1"/>
          <w:highlight w:val="none"/>
          <w:lang w:eastAsia="zh-CN"/>
          <w14:textFill>
            <w14:solidFill>
              <w14:schemeClr w14:val="tx1"/>
            </w14:solidFill>
          </w14:textFill>
        </w:rPr>
        <w:t>推动各级各类教育协同</w:t>
      </w:r>
      <w:r>
        <w:rPr>
          <w:rFonts w:hint="eastAsia" w:ascii="仿宋_GB2312" w:hAnsi="仿宋_GB2312" w:cs="仿宋_GB2312"/>
          <w:color w:val="000000" w:themeColor="text1"/>
          <w:highlight w:val="none"/>
          <w:lang w:val="en-US" w:eastAsia="zh-CN"/>
          <w14:textFill>
            <w14:solidFill>
              <w14:schemeClr w14:val="tx1"/>
            </w14:solidFill>
          </w14:textFill>
        </w:rPr>
        <w:t>提质</w:t>
      </w:r>
      <w:r>
        <w:rPr>
          <w:rFonts w:hint="eastAsia" w:ascii="仿宋_GB2312" w:hAnsi="仿宋_GB2312" w:cs="仿宋_GB2312"/>
          <w:color w:val="000000" w:themeColor="text1"/>
          <w:highlight w:val="none"/>
          <w:lang w:eastAsia="zh-CN"/>
          <w14:textFill>
            <w14:solidFill>
              <w14:schemeClr w14:val="tx1"/>
            </w14:solidFill>
          </w14:textFill>
        </w:rPr>
        <w:t>。</w:t>
      </w:r>
    </w:p>
    <w:p w14:paraId="55AC4E6D">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cs="仿宋_GB2312"/>
          <w:color w:val="000000" w:themeColor="text1"/>
          <w:highlight w:val="none"/>
          <w:lang w:eastAsia="zh-CN"/>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2.创新</w:t>
      </w:r>
      <w:r>
        <w:rPr>
          <w:rFonts w:hint="eastAsia" w:ascii="仿宋_GB2312" w:hAnsi="仿宋_GB2312" w:cs="仿宋_GB2312"/>
          <w:color w:val="000000" w:themeColor="text1"/>
          <w:highlight w:val="none"/>
          <w:lang w:eastAsia="zh-CN"/>
          <w14:textFill>
            <w14:solidFill>
              <w14:schemeClr w14:val="tx1"/>
            </w14:solidFill>
          </w14:textFill>
        </w:rPr>
        <w:t>支撑效能</w:t>
      </w:r>
      <w:r>
        <w:rPr>
          <w:rFonts w:hint="eastAsia" w:ascii="仿宋_GB2312" w:hAnsi="仿宋_GB2312" w:eastAsia="仿宋_GB2312" w:cs="仿宋_GB2312"/>
          <w:color w:val="000000" w:themeColor="text1"/>
          <w:highlight w:val="none"/>
          <w14:textFill>
            <w14:solidFill>
              <w14:schemeClr w14:val="tx1"/>
            </w14:solidFill>
          </w14:textFill>
        </w:rPr>
        <w:t>显著</w:t>
      </w:r>
      <w:r>
        <w:rPr>
          <w:rFonts w:hint="eastAsia" w:ascii="仿宋_GB2312" w:hAnsi="仿宋_GB2312" w:cs="仿宋_GB2312"/>
          <w:color w:val="000000" w:themeColor="text1"/>
          <w:highlight w:val="none"/>
          <w:lang w:eastAsia="zh-CN"/>
          <w14:textFill>
            <w14:solidFill>
              <w14:schemeClr w14:val="tx1"/>
            </w14:solidFill>
          </w14:textFill>
        </w:rPr>
        <w:t>增强</w:t>
      </w:r>
      <w:r>
        <w:rPr>
          <w:rFonts w:hint="eastAsia" w:ascii="仿宋_GB2312" w:hAnsi="仿宋_GB2312" w:eastAsia="仿宋_GB2312" w:cs="仿宋_GB2312"/>
          <w:color w:val="000000" w:themeColor="text1"/>
          <w:highlight w:val="none"/>
          <w14:textFill>
            <w14:solidFill>
              <w14:schemeClr w14:val="tx1"/>
            </w14:solidFill>
          </w14:textFill>
        </w:rPr>
        <w:t>。打造大兴科技教育特色</w:t>
      </w:r>
      <w:r>
        <w:rPr>
          <w:rFonts w:hint="eastAsia" w:ascii="仿宋_GB2312" w:hAnsi="仿宋_GB2312" w:cs="仿宋_GB2312"/>
          <w:color w:val="000000" w:themeColor="text1"/>
          <w:highlight w:val="none"/>
          <w:lang w:eastAsia="zh-CN"/>
          <w14:textFill>
            <w14:solidFill>
              <w14:schemeClr w14:val="tx1"/>
            </w14:solidFill>
          </w14:textFill>
        </w:rPr>
        <w:t>，推进科技高中建设。</w:t>
      </w:r>
      <w:r>
        <w:rPr>
          <w:rFonts w:hint="eastAsia" w:ascii="仿宋_GB2312" w:hAnsi="仿宋_GB2312" w:eastAsia="仿宋_GB2312" w:cs="仿宋_GB2312"/>
          <w:color w:val="000000" w:themeColor="text1"/>
          <w:highlight w:val="none"/>
          <w14:textFill>
            <w14:solidFill>
              <w14:schemeClr w14:val="tx1"/>
            </w14:solidFill>
          </w14:textFill>
        </w:rPr>
        <w:t>研发2个特色课程群，打造3个北京市优势学科</w:t>
      </w:r>
      <w:r>
        <w:rPr>
          <w:rFonts w:hint="eastAsia" w:ascii="仿宋_GB2312" w:hAnsi="仿宋_GB2312" w:cs="仿宋_GB2312"/>
          <w:color w:val="000000" w:themeColor="text1"/>
          <w:highlight w:val="none"/>
          <w:lang w:eastAsia="zh-CN"/>
          <w14:textFill>
            <w14:solidFill>
              <w14:schemeClr w14:val="tx1"/>
            </w14:solidFill>
          </w14:textFill>
        </w:rPr>
        <w:t>。深度对接大兴区“</w:t>
      </w:r>
      <w:r>
        <w:rPr>
          <w:rFonts w:hint="eastAsia" w:ascii="仿宋_GB2312" w:hAnsi="仿宋_GB2312" w:cs="仿宋_GB2312"/>
          <w:color w:val="000000" w:themeColor="text1"/>
          <w:highlight w:val="none"/>
          <w:lang w:val="en-US" w:eastAsia="zh-CN"/>
          <w14:textFill>
            <w14:solidFill>
              <w14:schemeClr w14:val="tx1"/>
            </w14:solidFill>
          </w14:textFill>
        </w:rPr>
        <w:t>6+5+3</w:t>
      </w:r>
      <w:r>
        <w:rPr>
          <w:rFonts w:hint="eastAsia" w:ascii="仿宋_GB2312" w:hAnsi="仿宋_GB2312" w:cs="仿宋_GB2312"/>
          <w:color w:val="000000" w:themeColor="text1"/>
          <w:highlight w:val="none"/>
          <w:lang w:eastAsia="zh-CN"/>
          <w14:textFill>
            <w14:solidFill>
              <w14:schemeClr w14:val="tx1"/>
            </w14:solidFill>
          </w14:textFill>
        </w:rPr>
        <w:t>”产业布局，聚焦</w:t>
      </w:r>
      <w:r>
        <w:rPr>
          <w:rFonts w:hint="eastAsia" w:ascii="仿宋_GB2312" w:hAnsi="仿宋_GB2312" w:eastAsia="仿宋_GB2312" w:cs="仿宋_GB2312"/>
          <w:color w:val="000000" w:themeColor="text1"/>
          <w:highlight w:val="none"/>
          <w14:textFill>
            <w14:solidFill>
              <w14:schemeClr w14:val="tx1"/>
            </w14:solidFill>
          </w14:textFill>
        </w:rPr>
        <w:t>临空经济、数字经济、</w:t>
      </w:r>
      <w:r>
        <w:rPr>
          <w:rFonts w:hint="eastAsia" w:ascii="仿宋_GB2312" w:hAnsi="仿宋_GB2312" w:eastAsia="仿宋_GB2312" w:cs="仿宋_GB2312"/>
          <w:color w:val="000000" w:themeColor="text1"/>
          <w:highlight w:val="none"/>
          <w:lang w:eastAsia="zh-CN"/>
          <w14:textFill>
            <w14:solidFill>
              <w14:schemeClr w14:val="tx1"/>
            </w14:solidFill>
          </w14:textFill>
        </w:rPr>
        <w:t>未来能源</w:t>
      </w:r>
      <w:r>
        <w:rPr>
          <w:rFonts w:hint="eastAsia" w:ascii="仿宋_GB2312" w:hAnsi="仿宋_GB2312" w:eastAsia="仿宋_GB2312" w:cs="仿宋_GB2312"/>
          <w:color w:val="000000" w:themeColor="text1"/>
          <w:highlight w:val="none"/>
          <w14:textFill>
            <w14:solidFill>
              <w14:schemeClr w14:val="tx1"/>
            </w14:solidFill>
          </w14:textFill>
        </w:rPr>
        <w:t>等主导产业，</w:t>
      </w:r>
      <w:r>
        <w:rPr>
          <w:rFonts w:hint="eastAsia" w:ascii="仿宋_GB2312" w:hAnsi="仿宋_GB2312" w:cs="仿宋_GB2312"/>
          <w:color w:val="000000" w:themeColor="text1"/>
          <w:highlight w:val="none"/>
          <w:lang w:eastAsia="zh-CN"/>
          <w14:textFill>
            <w14:solidFill>
              <w14:schemeClr w14:val="tx1"/>
            </w14:solidFill>
          </w14:textFill>
        </w:rPr>
        <w:t>构建</w:t>
      </w:r>
      <w:r>
        <w:rPr>
          <w:rFonts w:hint="eastAsia" w:ascii="仿宋_GB2312" w:hAnsi="仿宋_GB2312" w:eastAsia="仿宋_GB2312" w:cs="仿宋_GB2312"/>
          <w:color w:val="000000" w:themeColor="text1"/>
          <w:highlight w:val="none"/>
          <w14:textFill>
            <w14:solidFill>
              <w14:schemeClr w14:val="tx1"/>
            </w14:solidFill>
          </w14:textFill>
        </w:rPr>
        <w:t>学段贯通、衔接产业的高水平人才供给体系</w:t>
      </w:r>
      <w:r>
        <w:rPr>
          <w:rFonts w:hint="eastAsia" w:ascii="仿宋_GB2312" w:hAnsi="仿宋_GB2312" w:cs="仿宋_GB2312"/>
          <w:color w:val="000000" w:themeColor="text1"/>
          <w:highlight w:val="none"/>
          <w:lang w:eastAsia="zh-CN"/>
          <w14:textFill>
            <w14:solidFill>
              <w14:schemeClr w14:val="tx1"/>
            </w14:solidFill>
          </w14:textFill>
        </w:rPr>
        <w:t>。充分盘活驻区高校资源，深化校地协同、产研联动，持续强化教育对区域发展的支撑效能。</w:t>
      </w:r>
    </w:p>
    <w:p w14:paraId="39082A86">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3.智慧教育成为新高地。深入落实“人工智能+教育”，实现人工智能与教育教学全流程、全要素融合，成功打造具有区域特色与示范价值的智慧教育，争创国家智慧教育示范区。</w:t>
      </w:r>
    </w:p>
    <w:p w14:paraId="3AF16C44">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highlight w:val="none"/>
          <w14:textFill>
            <w14:solidFill>
              <w14:schemeClr w14:val="tx1"/>
            </w14:solidFill>
          </w14:textFill>
        </w:rPr>
        <w:t>.队伍素质能力</w:t>
      </w:r>
      <w:r>
        <w:rPr>
          <w:rFonts w:hint="eastAsia" w:ascii="仿宋_GB2312" w:hAnsi="仿宋_GB2312" w:cs="仿宋_GB2312"/>
          <w:color w:val="000000" w:themeColor="text1"/>
          <w:highlight w:val="none"/>
          <w:lang w:eastAsia="zh-CN"/>
          <w14:textFill>
            <w14:solidFill>
              <w14:schemeClr w14:val="tx1"/>
            </w14:solidFill>
          </w14:textFill>
        </w:rPr>
        <w:t>稳步</w:t>
      </w:r>
      <w:r>
        <w:rPr>
          <w:rFonts w:hint="eastAsia" w:ascii="仿宋_GB2312" w:hAnsi="仿宋_GB2312" w:eastAsia="仿宋_GB2312" w:cs="仿宋_GB2312"/>
          <w:color w:val="000000" w:themeColor="text1"/>
          <w:highlight w:val="none"/>
          <w14:textFill>
            <w14:solidFill>
              <w14:schemeClr w14:val="tx1"/>
            </w14:solidFill>
          </w14:textFill>
        </w:rPr>
        <w:t>提升。完成教师资源配置优化与管理制度系统性改革，推动教师数量充足、素质精良、结构科学协调发展</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培育一批在全市具有影响力的名师、名校长。</w:t>
      </w:r>
    </w:p>
    <w:p w14:paraId="13D04AE9">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lang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5.</w:t>
      </w:r>
      <w:r>
        <w:rPr>
          <w:rFonts w:hint="eastAsia" w:ascii="仿宋_GB2312" w:hAnsi="仿宋_GB2312" w:cs="仿宋_GB2312"/>
          <w:color w:val="000000" w:themeColor="text1"/>
          <w:highlight w:val="none"/>
          <w:lang w:eastAsia="zh-CN"/>
          <w14:textFill>
            <w14:solidFill>
              <w14:schemeClr w14:val="tx1"/>
            </w14:solidFill>
          </w14:textFill>
        </w:rPr>
        <w:t>教育治理能力提质增效。巩固“双减”成果，全面提升学校办学治校效能。完善教育督导体制机制，健全全过程监督体系。提高教育法治化水平，推进建设更高水平平安校园，持续提升区域教育治理现代化水平。</w:t>
      </w:r>
    </w:p>
    <w:p w14:paraId="41869587">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highlight w:val="none"/>
          <w14:textFill>
            <w14:solidFill>
              <w14:schemeClr w14:val="tx1"/>
            </w14:solidFill>
          </w14:textFill>
        </w:rPr>
        <w:t>.开放协同水平显著提升。构建全方位、多层次、宽领域的教育开放协同新格局</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深度融入京津冀</w:t>
      </w:r>
      <w:r>
        <w:rPr>
          <w:rFonts w:hint="eastAsia" w:ascii="仿宋_GB2312" w:hAnsi="仿宋_GB2312" w:eastAsia="仿宋_GB2312" w:cs="仿宋_GB2312"/>
          <w:color w:val="000000" w:themeColor="text1"/>
          <w:highlight w:val="none"/>
          <w:lang w:eastAsia="zh-CN"/>
          <w14:textFill>
            <w14:solidFill>
              <w14:schemeClr w14:val="tx1"/>
            </w14:solidFill>
          </w14:textFill>
        </w:rPr>
        <w:t>协同创新体系</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推进国际交流合作</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教育国际化水平和区域协同能力显著跃升，形成开放办学新态势。</w:t>
      </w:r>
    </w:p>
    <w:p w14:paraId="17E517A3">
      <w:pPr>
        <w:keepNext w:val="0"/>
        <w:keepLines w:val="0"/>
        <w:pageBreakBefore w:val="0"/>
        <w:widowControl w:val="0"/>
        <w:kinsoku/>
        <w:wordWrap/>
        <w:overflowPunct/>
        <w:topLinePunct w:val="0"/>
        <w:autoSpaceDE/>
        <w:autoSpaceDN/>
        <w:bidi w:val="0"/>
        <w:spacing w:line="560" w:lineRule="exact"/>
        <w:ind w:firstLine="640"/>
        <w:textAlignment w:val="auto"/>
        <w:rPr>
          <w:rFonts w:hint="eastAsia" w:ascii="黑体" w:hAnsi="黑体" w:eastAsia="黑体" w:cs="方正公文小标宋"/>
          <w:color w:val="000000" w:themeColor="text1"/>
          <w:spacing w:val="5"/>
          <w:szCs w:val="32"/>
          <w:highlight w:val="none"/>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7</w:t>
      </w:r>
      <w:r>
        <w:rPr>
          <w:rFonts w:hint="eastAsia" w:ascii="仿宋_GB2312" w:hAnsi="仿宋_GB2312" w:eastAsia="仿宋_GB2312" w:cs="仿宋_GB2312"/>
          <w:color w:val="000000" w:themeColor="text1"/>
          <w:highlight w:val="none"/>
          <w14:textFill>
            <w14:solidFill>
              <w14:schemeClr w14:val="tx1"/>
            </w14:solidFill>
          </w14:textFill>
        </w:rPr>
        <w:t>.人民群众获得感持续增强。</w:t>
      </w:r>
      <w:r>
        <w:rPr>
          <w:rFonts w:hint="eastAsia" w:ascii="仿宋_GB2312" w:hAnsi="仿宋_GB2312" w:cs="仿宋_GB2312"/>
          <w:color w:val="000000" w:themeColor="text1"/>
          <w:highlight w:val="none"/>
          <w:lang w:eastAsia="zh-CN"/>
          <w14:textFill>
            <w14:solidFill>
              <w14:schemeClr w14:val="tx1"/>
            </w14:solidFill>
          </w14:textFill>
        </w:rPr>
        <w:t>持续优化教育资源布局，</w:t>
      </w:r>
      <w:r>
        <w:rPr>
          <w:rFonts w:hint="eastAsia" w:ascii="仿宋_GB2312" w:hAnsi="仿宋_GB2312" w:eastAsia="仿宋_GB2312" w:cs="仿宋_GB2312"/>
          <w:color w:val="000000" w:themeColor="text1"/>
          <w:highlight w:val="none"/>
          <w:lang w:eastAsia="zh-CN"/>
          <w14:textFill>
            <w14:solidFill>
              <w14:schemeClr w14:val="tx1"/>
            </w14:solidFill>
          </w14:textFill>
        </w:rPr>
        <w:t>推进</w:t>
      </w:r>
      <w:r>
        <w:rPr>
          <w:rFonts w:hint="eastAsia" w:ascii="仿宋_GB2312" w:hAnsi="仿宋_GB2312" w:eastAsia="仿宋_GB2312" w:cs="仿宋_GB2312"/>
          <w:color w:val="000000" w:themeColor="text1"/>
          <w:highlight w:val="none"/>
          <w14:textFill>
            <w14:solidFill>
              <w14:schemeClr w14:val="tx1"/>
            </w14:solidFill>
          </w14:textFill>
        </w:rPr>
        <w:t>小初高一体化教育集团</w:t>
      </w:r>
      <w:r>
        <w:rPr>
          <w:rFonts w:hint="eastAsia" w:ascii="仿宋_GB2312" w:hAnsi="仿宋_GB2312" w:eastAsia="仿宋_GB2312" w:cs="仿宋_GB2312"/>
          <w:color w:val="000000" w:themeColor="text1"/>
          <w:highlight w:val="none"/>
          <w:lang w:eastAsia="zh-CN"/>
          <w14:textFill>
            <w14:solidFill>
              <w14:schemeClr w14:val="tx1"/>
            </w14:solidFill>
          </w14:textFill>
        </w:rPr>
        <w:t>全覆盖</w:t>
      </w:r>
      <w:r>
        <w:rPr>
          <w:rFonts w:hint="eastAsia" w:ascii="仿宋_GB2312" w:hAnsi="仿宋_GB2312" w:eastAsia="仿宋_GB2312" w:cs="仿宋_GB2312"/>
          <w:color w:val="000000" w:themeColor="text1"/>
          <w:highlight w:val="none"/>
          <w14:textFill>
            <w14:solidFill>
              <w14:schemeClr w14:val="tx1"/>
            </w14:solidFill>
          </w14:textFill>
        </w:rPr>
        <w:t>，群众在家门口“上好学”的愿望基本实现</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教育领域综合改革全面深化</w:t>
      </w:r>
      <w:r>
        <w:rPr>
          <w:rFonts w:hint="eastAsia" w:ascii="仿宋_GB2312" w:hAnsi="仿宋_GB2312" w:cs="仿宋_GB2312"/>
          <w:color w:val="000000" w:themeColor="text1"/>
          <w:highlight w:val="none"/>
          <w:lang w:eastAsia="zh-CN"/>
          <w14:textFill>
            <w14:solidFill>
              <w14:schemeClr w14:val="tx1"/>
            </w14:solidFill>
          </w14:textFill>
        </w:rPr>
        <w:t>。校家社</w:t>
      </w:r>
      <w:r>
        <w:rPr>
          <w:rFonts w:hint="eastAsia" w:ascii="仿宋_GB2312" w:hAnsi="仿宋_GB2312" w:eastAsia="仿宋_GB2312" w:cs="仿宋_GB2312"/>
          <w:color w:val="000000" w:themeColor="text1"/>
          <w:highlight w:val="none"/>
          <w14:textFill>
            <w14:solidFill>
              <w14:schemeClr w14:val="tx1"/>
            </w14:solidFill>
          </w14:textFill>
        </w:rPr>
        <w:t>协同育人成效显著</w:t>
      </w:r>
      <w:r>
        <w:rPr>
          <w:rFonts w:hint="eastAsia" w:ascii="仿宋_GB2312" w:hAnsi="仿宋_GB2312" w:cs="仿宋_GB2312"/>
          <w:color w:val="000000" w:themeColor="text1"/>
          <w:highlight w:val="none"/>
          <w:lang w:eastAsia="zh-CN"/>
          <w14:textFill>
            <w14:solidFill>
              <w14:schemeClr w14:val="tx1"/>
            </w14:solidFill>
          </w14:textFill>
        </w:rPr>
        <w:t>提升</w:t>
      </w:r>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ascii="仿宋_GB2312" w:hAnsi="仿宋_GB2312" w:cs="仿宋_GB2312"/>
          <w:color w:val="000000" w:themeColor="text1"/>
          <w:highlight w:val="none"/>
          <w:lang w:eastAsia="zh-CN"/>
          <w14:textFill>
            <w14:solidFill>
              <w14:schemeClr w14:val="tx1"/>
            </w14:solidFill>
          </w14:textFill>
        </w:rPr>
        <w:t>社区教育供给更加多元，</w:t>
      </w:r>
      <w:r>
        <w:rPr>
          <w:rFonts w:hint="eastAsia" w:ascii="仿宋_GB2312" w:hAnsi="仿宋_GB2312" w:eastAsia="仿宋_GB2312" w:cs="仿宋_GB2312"/>
          <w:color w:val="000000" w:themeColor="text1"/>
          <w:highlight w:val="none"/>
          <w14:textFill>
            <w14:solidFill>
              <w14:schemeClr w14:val="tx1"/>
            </w14:solidFill>
          </w14:textFill>
        </w:rPr>
        <w:t>人民群众对教育的满意度不断提升。</w:t>
      </w:r>
      <w:bookmarkEnd w:id="70"/>
      <w:bookmarkEnd w:id="71"/>
      <w:bookmarkEnd w:id="72"/>
      <w:bookmarkEnd w:id="73"/>
    </w:p>
    <w:p w14:paraId="1C210338">
      <w:pPr>
        <w:pStyle w:val="3"/>
        <w:keepNext w:val="0"/>
        <w:keepLines w:val="0"/>
        <w:pageBreakBefore w:val="0"/>
        <w:widowControl w:val="0"/>
        <w:kinsoku/>
        <w:wordWrap/>
        <w:overflowPunct/>
        <w:topLinePunct w:val="0"/>
        <w:autoSpaceDE/>
        <w:autoSpaceDN/>
        <w:bidi w:val="0"/>
        <w:spacing w:line="560" w:lineRule="exact"/>
        <w:ind w:firstLine="640"/>
        <w:textAlignment w:val="auto"/>
        <w:rPr>
          <w:color w:val="000000" w:themeColor="text1"/>
          <w:highlight w:val="none"/>
          <w14:textFill>
            <w14:solidFill>
              <w14:schemeClr w14:val="tx1"/>
            </w14:solidFill>
          </w14:textFill>
        </w:rPr>
      </w:pPr>
      <w:bookmarkStart w:id="74" w:name="_Toc26311"/>
      <w:bookmarkStart w:id="75" w:name="_Toc208606010"/>
      <w:bookmarkStart w:id="76" w:name="_Toc8152"/>
      <w:bookmarkStart w:id="77" w:name="_Toc5591"/>
      <w:bookmarkStart w:id="78" w:name="_Toc202450569"/>
      <w:bookmarkStart w:id="79" w:name="_Toc6694"/>
      <w:bookmarkStart w:id="80" w:name="_Toc16269"/>
      <w:bookmarkStart w:id="81" w:name="_Toc30753"/>
      <w:bookmarkStart w:id="82" w:name="_Toc202450609"/>
      <w:r>
        <w:rPr>
          <w:rFonts w:hint="eastAsia"/>
          <w:color w:val="000000" w:themeColor="text1"/>
          <w:highlight w:val="none"/>
          <w14:textFill>
            <w14:solidFill>
              <w14:schemeClr w14:val="tx1"/>
            </w14:solidFill>
          </w14:textFill>
        </w:rPr>
        <w:t>三、重点任务</w:t>
      </w:r>
      <w:bookmarkEnd w:id="74"/>
      <w:bookmarkEnd w:id="75"/>
      <w:bookmarkEnd w:id="76"/>
      <w:bookmarkEnd w:id="77"/>
      <w:bookmarkEnd w:id="78"/>
    </w:p>
    <w:p w14:paraId="1B557EF2">
      <w:pPr>
        <w:pStyle w:val="4"/>
        <w:keepNext w:val="0"/>
        <w:keepLines w:val="0"/>
        <w:pageBreakBefore w:val="0"/>
        <w:widowControl w:val="0"/>
        <w:kinsoku/>
        <w:wordWrap/>
        <w:overflowPunct/>
        <w:topLinePunct w:val="0"/>
        <w:autoSpaceDE/>
        <w:autoSpaceDN/>
        <w:bidi w:val="0"/>
        <w:spacing w:line="560" w:lineRule="exact"/>
        <w:ind w:firstLine="640"/>
        <w:textAlignment w:val="auto"/>
        <w:rPr>
          <w:b w:val="0"/>
          <w:bCs w:val="0"/>
          <w:color w:val="000000" w:themeColor="text1"/>
          <w:highlight w:val="none"/>
          <w14:textFill>
            <w14:solidFill>
              <w14:schemeClr w14:val="tx1"/>
            </w14:solidFill>
          </w14:textFill>
        </w:rPr>
      </w:pPr>
      <w:bookmarkStart w:id="83" w:name="_Toc7258"/>
      <w:bookmarkStart w:id="84" w:name="_Toc1813"/>
      <w:bookmarkStart w:id="85" w:name="_Toc2235"/>
      <w:bookmarkStart w:id="86" w:name="_Toc1347898166"/>
      <w:bookmarkStart w:id="87" w:name="_Toc202450570"/>
      <w:r>
        <w:rPr>
          <w:rFonts w:hint="eastAsia"/>
          <w:b w:val="0"/>
          <w:bCs w:val="0"/>
          <w:color w:val="000000" w:themeColor="text1"/>
          <w:highlight w:val="none"/>
          <w14:textFill>
            <w14:solidFill>
              <w14:schemeClr w14:val="tx1"/>
            </w14:solidFill>
          </w14:textFill>
        </w:rPr>
        <w:t>（一）</w:t>
      </w:r>
      <w:r>
        <w:rPr>
          <w:rFonts w:hint="eastAsia"/>
          <w:b w:val="0"/>
          <w:bCs w:val="0"/>
          <w:color w:val="000000" w:themeColor="text1"/>
          <w:highlight w:val="none"/>
          <w:lang w:eastAsia="zh-CN"/>
          <w14:textFill>
            <w14:solidFill>
              <w14:schemeClr w14:val="tx1"/>
            </w14:solidFill>
          </w14:textFill>
        </w:rPr>
        <w:t>加强党的领导</w:t>
      </w:r>
      <w:r>
        <w:rPr>
          <w:rFonts w:hint="eastAsia"/>
          <w:b w:val="0"/>
          <w:bCs w:val="0"/>
          <w:color w:val="000000" w:themeColor="text1"/>
          <w:highlight w:val="none"/>
          <w14:textFill>
            <w14:solidFill>
              <w14:schemeClr w14:val="tx1"/>
            </w14:solidFill>
          </w14:textFill>
        </w:rPr>
        <w:t>，</w:t>
      </w:r>
      <w:bookmarkEnd w:id="83"/>
      <w:bookmarkEnd w:id="84"/>
      <w:bookmarkEnd w:id="85"/>
      <w:r>
        <w:rPr>
          <w:rFonts w:hint="eastAsia"/>
          <w:b w:val="0"/>
          <w:bCs w:val="0"/>
          <w:color w:val="000000" w:themeColor="text1"/>
          <w:highlight w:val="none"/>
          <w14:textFill>
            <w14:solidFill>
              <w14:schemeClr w14:val="tx1"/>
            </w14:solidFill>
          </w14:textFill>
        </w:rPr>
        <w:t>以高质量党建引领</w:t>
      </w:r>
      <w:r>
        <w:rPr>
          <w:rFonts w:hint="eastAsia"/>
          <w:b w:val="0"/>
          <w:bCs w:val="0"/>
          <w:color w:val="000000" w:themeColor="text1"/>
          <w:highlight w:val="none"/>
          <w:lang w:eastAsia="zh-CN"/>
          <w14:textFill>
            <w14:solidFill>
              <w14:schemeClr w14:val="tx1"/>
            </w14:solidFill>
          </w14:textFill>
        </w:rPr>
        <w:t>教育</w:t>
      </w:r>
      <w:r>
        <w:rPr>
          <w:rFonts w:hint="eastAsia"/>
          <w:b w:val="0"/>
          <w:bCs w:val="0"/>
          <w:color w:val="000000" w:themeColor="text1"/>
          <w:highlight w:val="none"/>
          <w14:textFill>
            <w14:solidFill>
              <w14:schemeClr w14:val="tx1"/>
            </w14:solidFill>
          </w14:textFill>
        </w:rPr>
        <w:t>发展</w:t>
      </w:r>
      <w:bookmarkEnd w:id="86"/>
    </w:p>
    <w:bookmarkEnd w:id="79"/>
    <w:bookmarkEnd w:id="80"/>
    <w:bookmarkEnd w:id="81"/>
    <w:bookmarkEnd w:id="82"/>
    <w:bookmarkEnd w:id="87"/>
    <w:p w14:paraId="59196DA0">
      <w:pPr>
        <w:pStyle w:val="5"/>
        <w:ind w:firstLine="641" w:firstLineChars="0"/>
        <w:rPr>
          <w:rFonts w:ascii="仿宋_GB2312" w:hAnsi="仿宋_GB2312" w:cs="仿宋_GB2312"/>
          <w:b w:val="0"/>
          <w:bCs w:val="0"/>
          <w:color w:val="000000" w:themeColor="text1"/>
          <w:highlight w:val="none"/>
          <w14:textFill>
            <w14:solidFill>
              <w14:schemeClr w14:val="tx1"/>
            </w14:solidFill>
          </w14:textFill>
        </w:rPr>
      </w:pPr>
      <w:bookmarkStart w:id="88" w:name="_Toc1981"/>
      <w:bookmarkStart w:id="89" w:name="_Toc30359"/>
      <w:bookmarkStart w:id="90" w:name="_Toc15110"/>
      <w:r>
        <w:rPr>
          <w:rFonts w:ascii="仿宋_GB2312" w:hAnsi="仿宋_GB2312" w:cs="仿宋_GB2312"/>
          <w:b w:val="0"/>
          <w:bCs w:val="0"/>
          <w:color w:val="000000" w:themeColor="text1"/>
          <w:highlight w:val="none"/>
          <w14:textFill>
            <w14:solidFill>
              <w14:schemeClr w14:val="tx1"/>
            </w14:solidFill>
          </w14:textFill>
        </w:rPr>
        <w:t>1.</w:t>
      </w:r>
      <w:r>
        <w:rPr>
          <w:rFonts w:hint="eastAsia" w:ascii="仿宋_GB2312" w:hAnsi="仿宋_GB2312" w:cs="仿宋_GB2312"/>
          <w:b w:val="0"/>
          <w:bCs w:val="0"/>
          <w:color w:val="000000" w:themeColor="text1"/>
          <w:highlight w:val="none"/>
          <w14:textFill>
            <w14:solidFill>
              <w14:schemeClr w14:val="tx1"/>
            </w14:solidFill>
          </w14:textFill>
        </w:rPr>
        <w:t>坚持和加强</w:t>
      </w:r>
      <w:r>
        <w:rPr>
          <w:rFonts w:ascii="仿宋_GB2312" w:hAnsi="仿宋_GB2312" w:cs="仿宋_GB2312"/>
          <w:b w:val="0"/>
          <w:bCs w:val="0"/>
          <w:color w:val="000000" w:themeColor="text1"/>
          <w:highlight w:val="none"/>
          <w14:textFill>
            <w14:solidFill>
              <w14:schemeClr w14:val="tx1"/>
            </w14:solidFill>
          </w14:textFill>
        </w:rPr>
        <w:t>党对教育工作的全面领导。巩固中小学校幼儿园党组织领导的校长负责制</w:t>
      </w:r>
      <w:r>
        <w:rPr>
          <w:rFonts w:hint="eastAsia" w:ascii="仿宋_GB2312" w:hAnsi="仿宋_GB2312" w:cs="仿宋_GB2312"/>
          <w:b w:val="0"/>
          <w:bCs w:val="0"/>
          <w:color w:val="000000" w:themeColor="text1"/>
          <w:highlight w:val="none"/>
          <w14:textFill>
            <w14:solidFill>
              <w14:schemeClr w14:val="tx1"/>
            </w14:solidFill>
          </w14:textFill>
        </w:rPr>
        <w:t>改革成果</w:t>
      </w:r>
      <w:r>
        <w:rPr>
          <w:rFonts w:ascii="仿宋_GB2312" w:hAnsi="仿宋_GB2312" w:cs="仿宋_GB2312"/>
          <w:b w:val="0"/>
          <w:bCs w:val="0"/>
          <w:color w:val="000000" w:themeColor="text1"/>
          <w:highlight w:val="none"/>
          <w14:textFill>
            <w14:solidFill>
              <w14:schemeClr w14:val="tx1"/>
            </w14:solidFill>
          </w14:textFill>
        </w:rPr>
        <w:t>，以党的建设引领学校治理。健全党建和业务同谋划、同部署、同推进、同考核机制。站稳守牢学校意识形态主阵地，加强教师思想政治教育，严防学生意识形态问题低龄化趋势，牢牢守住学校政治安全和意识形态安全底线。</w:t>
      </w:r>
    </w:p>
    <w:p w14:paraId="45E9F3AC">
      <w:pPr>
        <w:pStyle w:val="5"/>
        <w:ind w:firstLine="641" w:firstLineChars="0"/>
        <w:rPr>
          <w:rFonts w:hint="eastAsia" w:ascii="仿宋_GB2312" w:hAnsi="仿宋_GB2312" w:cs="仿宋_GB2312"/>
          <w:b w:val="0"/>
          <w:bCs w:val="0"/>
          <w:color w:val="000000" w:themeColor="text1"/>
          <w:highlight w:val="none"/>
          <w14:textFill>
            <w14:solidFill>
              <w14:schemeClr w14:val="tx1"/>
            </w14:solidFill>
          </w14:textFill>
        </w:rPr>
      </w:pPr>
      <w:r>
        <w:rPr>
          <w:rFonts w:ascii="仿宋_GB2312" w:hAnsi="仿宋_GB2312" w:cs="仿宋_GB2312"/>
          <w:b w:val="0"/>
          <w:bCs w:val="0"/>
          <w:color w:val="000000" w:themeColor="text1"/>
          <w:highlight w:val="none"/>
          <w14:textFill>
            <w14:solidFill>
              <w14:schemeClr w14:val="tx1"/>
            </w14:solidFill>
          </w14:textFill>
        </w:rPr>
        <w:t>2.提升教育系统党的建设质量。健全完善各级各类学校党建工作管理体制，增强基层党组织政治功能和组织功能，搭建党员发挥先锋模范作用有效平台，把组织力量、组织优势有效转化为发展动力和发展优势。加强党团队一体化育人体系建设，</w:t>
      </w:r>
      <w:r>
        <w:rPr>
          <w:rFonts w:hint="eastAsia" w:ascii="仿宋_GB2312" w:hAnsi="仿宋_GB2312" w:cs="仿宋_GB2312"/>
          <w:b w:val="0"/>
          <w:bCs w:val="0"/>
          <w:color w:val="000000" w:themeColor="text1"/>
          <w:highlight w:val="none"/>
          <w14:textFill>
            <w14:solidFill>
              <w14:schemeClr w14:val="tx1"/>
            </w14:solidFill>
          </w14:textFill>
        </w:rPr>
        <w:t>完善</w:t>
      </w:r>
      <w:r>
        <w:rPr>
          <w:rFonts w:ascii="仿宋_GB2312" w:hAnsi="仿宋_GB2312" w:cs="仿宋_GB2312"/>
          <w:b w:val="0"/>
          <w:bCs w:val="0"/>
          <w:color w:val="000000" w:themeColor="text1"/>
          <w:highlight w:val="none"/>
          <w14:textFill>
            <w14:solidFill>
              <w14:schemeClr w14:val="tx1"/>
            </w14:solidFill>
          </w14:textFill>
        </w:rPr>
        <w:t>党建带团建、带队建的</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ascii="仿宋_GB2312" w:hAnsi="仿宋_GB2312" w:cs="仿宋_GB2312"/>
          <w:b w:val="0"/>
          <w:bCs w:val="0"/>
          <w:color w:val="000000" w:themeColor="text1"/>
          <w:highlight w:val="none"/>
          <w14:textFill>
            <w14:solidFill>
              <w14:schemeClr w14:val="tx1"/>
            </w14:solidFill>
          </w14:textFill>
        </w:rPr>
        <w:t>1+8+N</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ascii="仿宋_GB2312" w:hAnsi="仿宋_GB2312" w:cs="仿宋_GB2312"/>
          <w:b w:val="0"/>
          <w:bCs w:val="0"/>
          <w:color w:val="000000" w:themeColor="text1"/>
          <w:highlight w:val="none"/>
          <w14:textFill>
            <w14:solidFill>
              <w14:schemeClr w14:val="tx1"/>
            </w14:solidFill>
          </w14:textFill>
        </w:rPr>
        <w:t>大兴模式</w:t>
      </w:r>
      <w:r>
        <w:rPr>
          <w:rFonts w:hint="eastAsia" w:ascii="仿宋_GB2312" w:hAnsi="仿宋_GB2312" w:cs="仿宋_GB2312"/>
          <w:b w:val="0"/>
          <w:bCs w:val="0"/>
          <w:color w:val="000000" w:themeColor="text1"/>
          <w:highlight w:val="none"/>
          <w14:textFill>
            <w14:solidFill>
              <w14:schemeClr w14:val="tx1"/>
            </w14:solidFill>
          </w14:textFill>
        </w:rPr>
        <w:t>。</w:t>
      </w:r>
    </w:p>
    <w:p w14:paraId="6A913874">
      <w:pPr>
        <w:pStyle w:val="5"/>
        <w:ind w:firstLine="641" w:firstLineChars="0"/>
        <w:rPr>
          <w:rFonts w:ascii="仿宋_GB2312" w:hAnsi="仿宋_GB2312" w:cs="仿宋_GB2312"/>
          <w:b w:val="0"/>
          <w:bCs w:val="0"/>
          <w:color w:val="000000" w:themeColor="text1"/>
          <w:highlight w:val="none"/>
          <w14:textFill>
            <w14:solidFill>
              <w14:schemeClr w14:val="tx1"/>
            </w14:solidFill>
          </w14:textFill>
        </w:rPr>
      </w:pPr>
      <w:r>
        <w:rPr>
          <w:rFonts w:ascii="仿宋_GB2312" w:hAnsi="仿宋_GB2312" w:cs="仿宋_GB2312"/>
          <w:b w:val="0"/>
          <w:bCs w:val="0"/>
          <w:color w:val="000000" w:themeColor="text1"/>
          <w:highlight w:val="none"/>
          <w14:textFill>
            <w14:solidFill>
              <w14:schemeClr w14:val="tx1"/>
            </w14:solidFill>
          </w14:textFill>
        </w:rPr>
        <w:t>3.营造风清气正干事创业氛围。落实全面从严治党要求，强化党风廉政建设“两个责任”的落实。进一步加强基层纪检干部队伍建设工作，充分发挥基层党组织纪检监察的“前哨”作用。加强党员管理，切实提升党员干部政治判断力、政治领悟力、政治执行力。</w:t>
      </w:r>
    </w:p>
    <w:p w14:paraId="5B0EEA6B">
      <w:pPr>
        <w:pStyle w:val="4"/>
        <w:keepNext w:val="0"/>
        <w:keepLines w:val="0"/>
        <w:pageBreakBefore w:val="0"/>
        <w:widowControl w:val="0"/>
        <w:kinsoku/>
        <w:wordWrap/>
        <w:overflowPunct/>
        <w:topLinePunct w:val="0"/>
        <w:autoSpaceDE/>
        <w:autoSpaceDN/>
        <w:bidi w:val="0"/>
        <w:spacing w:line="560" w:lineRule="exact"/>
        <w:ind w:firstLine="640"/>
        <w:textAlignment w:val="auto"/>
        <w:rPr>
          <w:rFonts w:hint="eastAsia" w:eastAsia="楷体_GB2312"/>
          <w:b w:val="0"/>
          <w:bCs w:val="0"/>
          <w:color w:val="000000" w:themeColor="text1"/>
          <w:highlight w:val="none"/>
          <w:lang w:eastAsia="zh-CN"/>
          <w14:textFill>
            <w14:solidFill>
              <w14:schemeClr w14:val="tx1"/>
            </w14:solidFill>
          </w14:textFill>
        </w:rPr>
      </w:pPr>
      <w:bookmarkStart w:id="91" w:name="_Toc319483759"/>
      <w:r>
        <w:rPr>
          <w:rFonts w:hint="eastAsia"/>
          <w:b w:val="0"/>
          <w:bCs w:val="0"/>
          <w:color w:val="000000" w:themeColor="text1"/>
          <w:highlight w:val="none"/>
          <w14:textFill>
            <w14:solidFill>
              <w14:schemeClr w14:val="tx1"/>
            </w14:solidFill>
          </w14:textFill>
        </w:rPr>
        <w:t>（二）</w:t>
      </w:r>
      <w:bookmarkEnd w:id="88"/>
      <w:bookmarkEnd w:id="89"/>
      <w:bookmarkEnd w:id="90"/>
      <w:r>
        <w:rPr>
          <w:rFonts w:hint="eastAsia"/>
          <w:b w:val="0"/>
          <w:bCs w:val="0"/>
          <w:color w:val="000000" w:themeColor="text1"/>
          <w:highlight w:val="none"/>
          <w:lang w:eastAsia="zh-CN"/>
          <w14:textFill>
            <w14:solidFill>
              <w14:schemeClr w14:val="tx1"/>
            </w14:solidFill>
          </w14:textFill>
        </w:rPr>
        <w:t>构筑育人体系</w:t>
      </w:r>
      <w:r>
        <w:rPr>
          <w:rFonts w:hint="eastAsia"/>
          <w:b w:val="0"/>
          <w:bCs w:val="0"/>
          <w:color w:val="000000" w:themeColor="text1"/>
          <w:highlight w:val="none"/>
          <w14:textFill>
            <w14:solidFill>
              <w14:schemeClr w14:val="tx1"/>
            </w14:solidFill>
          </w14:textFill>
        </w:rPr>
        <w:t>，塑造立德树人新格局</w:t>
      </w:r>
      <w:bookmarkEnd w:id="91"/>
    </w:p>
    <w:p w14:paraId="3F2A41D0">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cs="仿宋_GB2312"/>
          <w:b w:val="0"/>
          <w:bCs w:val="0"/>
          <w:color w:val="000000" w:themeColor="text1"/>
          <w:highlight w:val="none"/>
          <w:lang w:val="en-US" w:eastAsia="zh-CN"/>
          <w14:textFill>
            <w14:solidFill>
              <w14:schemeClr w14:val="tx1"/>
            </w14:solidFill>
          </w14:textFill>
        </w:rPr>
      </w:pPr>
      <w:bookmarkStart w:id="92" w:name="_Toc650"/>
      <w:bookmarkStart w:id="93" w:name="_Toc202450571"/>
      <w:bookmarkStart w:id="94" w:name="_Toc26418"/>
      <w:bookmarkStart w:id="95" w:name="_Toc20840"/>
      <w:bookmarkStart w:id="96" w:name="_Toc17015"/>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4.</w:t>
      </w:r>
      <w:bookmarkEnd w:id="92"/>
      <w:bookmarkEnd w:id="93"/>
      <w:bookmarkEnd w:id="94"/>
      <w:bookmarkEnd w:id="95"/>
      <w:bookmarkEnd w:id="96"/>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加强和改进新时代学校思想政治教育。推进思政教育创新品牌建设</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构建全面覆盖、类型丰富、层次递进、相互支撑的思政课程体系</w:t>
      </w:r>
      <w:r>
        <w:rPr>
          <w:rFonts w:hint="eastAsia" w:ascii="仿宋_GB2312" w:hAnsi="仿宋_GB2312" w:cs="仿宋_GB2312"/>
          <w:b w:val="0"/>
          <w:bCs w:val="0"/>
          <w:color w:val="000000" w:themeColor="text1"/>
          <w:highlight w:val="none"/>
          <w:lang w:val="en-US" w:eastAsia="zh-CN"/>
          <w14:textFill>
            <w14:solidFill>
              <w14:schemeClr w14:val="tx1"/>
            </w14:solidFill>
          </w14:textFill>
        </w:rPr>
        <w:t>，深化大中小思政教育一体化改革</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cs="仿宋_GB2312"/>
          <w:b w:val="0"/>
          <w:bCs w:val="0"/>
          <w:color w:val="000000" w:themeColor="text1"/>
          <w:highlight w:val="none"/>
          <w:lang w:val="en-US" w:eastAsia="zh-CN"/>
          <w14:textFill>
            <w14:solidFill>
              <w14:schemeClr w14:val="tx1"/>
            </w14:solidFill>
          </w14:textFill>
        </w:rPr>
        <w:t>持续深化“</w:t>
      </w:r>
      <w:r>
        <w:rPr>
          <w:rFonts w:hint="eastAsia" w:ascii="仿宋_GB2312" w:hAnsi="仿宋_GB2312" w:eastAsia="仿宋_GB2312" w:cs="仿宋_GB2312"/>
          <w:b w:val="0"/>
          <w:bCs w:val="0"/>
          <w:color w:val="000000" w:themeColor="text1"/>
          <w:highlight w:val="none"/>
          <w14:textFill>
            <w14:solidFill>
              <w14:schemeClr w14:val="tx1"/>
            </w14:solidFill>
          </w14:textFill>
        </w:rPr>
        <w:t>这里是大兴·歌声颂祖国”百场青少年合唱活动</w:t>
      </w:r>
      <w:r>
        <w:rPr>
          <w:rFonts w:hint="eastAsia" w:ascii="仿宋_GB2312" w:hAnsi="仿宋_GB2312" w:cs="仿宋_GB2312"/>
          <w:b w:val="0"/>
          <w:bCs w:val="0"/>
          <w:color w:val="000000" w:themeColor="text1"/>
          <w:highlight w:val="none"/>
          <w:lang w:eastAsia="zh-CN"/>
          <w14:textFill>
            <w14:solidFill>
              <w14:schemeClr w14:val="tx1"/>
            </w14:solidFill>
          </w14:textFill>
        </w:rPr>
        <w:t>品牌</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打造“五个百”工程，即一百节思政“精品课”、一百节课程思政精品案例、一百名思政课种子教师、一批“沉浸式”思政课实践活动、开展百场育人故事宣讲活动。做优“大思政课”品牌示范活动，开发以实践教学为主题的“大思政课”，探索开展“重走三条路线”研学实践。进一步擦亮大兴区德育交流周活动品牌，打造学校德育工作一校一品</w:t>
      </w:r>
      <w:bookmarkStart w:id="97" w:name="_Toc202450573"/>
      <w:bookmarkStart w:id="98" w:name="_Toc6838"/>
      <w:bookmarkStart w:id="99" w:name="_Toc464"/>
      <w:bookmarkStart w:id="100" w:name="_Toc23048"/>
      <w:bookmarkStart w:id="101" w:name="_Toc30152"/>
      <w:r>
        <w:rPr>
          <w:rFonts w:hint="eastAsia" w:ascii="仿宋_GB2312" w:hAnsi="仿宋_GB2312" w:cs="仿宋_GB2312"/>
          <w:b w:val="0"/>
          <w:bCs w:val="0"/>
          <w:color w:val="000000" w:themeColor="text1"/>
          <w:highlight w:val="none"/>
          <w:lang w:val="en-US" w:eastAsia="zh-CN"/>
          <w14:textFill>
            <w14:solidFill>
              <w14:schemeClr w14:val="tx1"/>
            </w14:solidFill>
          </w14:textFill>
        </w:rPr>
        <w:t>，高质量落实新时代立德树人工程。</w:t>
      </w:r>
    </w:p>
    <w:p w14:paraId="21DF12EA">
      <w:pPr>
        <w:pStyle w:val="5"/>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bookmarkEnd w:id="97"/>
      <w:bookmarkEnd w:id="98"/>
      <w:bookmarkEnd w:id="99"/>
      <w:bookmarkEnd w:id="100"/>
      <w:bookmarkEnd w:id="101"/>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以“健康第一”引领五育融合。推进健康学校建设，持续深化“身心健康二十条”“体育八条”“课间一刻钟”改革。深入推进学生近视、超重肥胖、脊柱侧弯、龋齿等干预防控，深入推进医教协同、体教融合，做强生态体育IP,放大市队校办人才培养效能。实施美育浸润行动，深入推进“远航计划”，深化“兴戏杯”传统美育品牌，持续推动优质资源向薄弱地区下沉，全面提升学生艺术素养。持续开展“红领巾心向党”“小记者·大视界”等主题教育、社会实践活动。常态化开展劳动教育与生态文明教育，推进学校劳动、家务劳动、志愿服务有机结合，拓展各类校内外劳动教育实践基地。落实</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进一步加强中小学生心理健康工作十条措施</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，持续开展“心理健康行动”，建立学生心理健康状况档案，完善心理健康监测筛查、预警干预、转介治疗服务机制，加强心理健康教育服务。</w:t>
      </w:r>
    </w:p>
    <w:p w14:paraId="62E836D8">
      <w:pPr>
        <w:pStyle w:val="4"/>
        <w:bidi w:val="0"/>
        <w:rPr>
          <w:b w:val="0"/>
          <w:bCs w:val="0"/>
          <w:highlight w:val="none"/>
        </w:rPr>
      </w:pPr>
      <w:bookmarkStart w:id="102" w:name="_Toc854420013"/>
      <w:bookmarkStart w:id="103" w:name="_Toc202450574"/>
      <w:bookmarkStart w:id="104" w:name="_Toc26141"/>
      <w:bookmarkStart w:id="105" w:name="_Toc17560"/>
      <w:bookmarkStart w:id="106" w:name="_Toc10402"/>
      <w:r>
        <w:rPr>
          <w:rFonts w:hint="eastAsia"/>
          <w:b w:val="0"/>
          <w:bCs w:val="0"/>
          <w:highlight w:val="none"/>
        </w:rPr>
        <w:t>（</w:t>
      </w:r>
      <w:r>
        <w:rPr>
          <w:rFonts w:hint="eastAsia"/>
          <w:b w:val="0"/>
          <w:bCs w:val="0"/>
          <w:highlight w:val="none"/>
          <w:lang w:val="en-US" w:eastAsia="zh-CN"/>
        </w:rPr>
        <w:t>三</w:t>
      </w:r>
      <w:r>
        <w:rPr>
          <w:rFonts w:hint="eastAsia"/>
          <w:b w:val="0"/>
          <w:bCs w:val="0"/>
          <w:highlight w:val="none"/>
        </w:rPr>
        <w:t>）</w:t>
      </w:r>
      <w:r>
        <w:rPr>
          <w:rFonts w:hint="eastAsia"/>
          <w:b w:val="0"/>
          <w:bCs w:val="0"/>
          <w:highlight w:val="none"/>
          <w:lang w:val="en-US" w:eastAsia="zh-CN"/>
        </w:rPr>
        <w:t>立足区域特色，推动教育科技人才一体化发展</w:t>
      </w:r>
      <w:bookmarkEnd w:id="102"/>
    </w:p>
    <w:p w14:paraId="1A462C57">
      <w:pPr>
        <w:widowControl/>
        <w:spacing w:line="530" w:lineRule="exact"/>
        <w:ind w:left="0" w:leftChars="0" w:firstLine="64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6.</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打造科技教育特色。</w:t>
      </w:r>
      <w:r>
        <w:rPr>
          <w:rFonts w:hint="eastAsia" w:ascii="Times New Roman" w:hAnsi="Times New Roman" w:eastAsia="仿宋_GB2312" w:cs="Times New Roman"/>
          <w:b w:val="0"/>
          <w:bCs w:val="0"/>
          <w:color w:val="auto"/>
          <w:sz w:val="32"/>
          <w:szCs w:val="32"/>
          <w:highlight w:val="none"/>
          <w:lang w:val="en-US" w:eastAsia="zh-CN"/>
        </w:rPr>
        <w:t>面向义务教育阶段学生开展科学教育“做中学”领航</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行动</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仿宋_GB2312" w:hAnsi="仿宋" w:cs="宋体"/>
          <w:kern w:val="0"/>
          <w:sz w:val="32"/>
          <w:szCs w:val="32"/>
          <w:highlight w:val="none"/>
          <w:lang w:eastAsia="zh-CN"/>
        </w:rPr>
        <w:t>构建</w:t>
      </w:r>
      <w:r>
        <w:rPr>
          <w:rFonts w:hint="eastAsia" w:ascii="仿宋_GB2312" w:hAnsi="仿宋" w:eastAsia="仿宋_GB2312" w:cs="宋体"/>
          <w:kern w:val="0"/>
          <w:sz w:val="32"/>
          <w:szCs w:val="32"/>
          <w:highlight w:val="none"/>
          <w:lang w:eastAsia="zh-CN"/>
        </w:rPr>
        <w:t>“</w:t>
      </w:r>
      <w:r>
        <w:rPr>
          <w:rFonts w:hint="eastAsia" w:ascii="仿宋_GB2312" w:hAnsi="仿宋" w:eastAsia="仿宋_GB2312" w:cs="宋体"/>
          <w:kern w:val="0"/>
          <w:sz w:val="32"/>
          <w:szCs w:val="32"/>
          <w:highlight w:val="none"/>
        </w:rPr>
        <w:t>6+2+X</w:t>
      </w:r>
      <w:r>
        <w:rPr>
          <w:rFonts w:hint="eastAsia" w:ascii="仿宋_GB2312" w:hAnsi="仿宋" w:eastAsia="仿宋_GB2312" w:cs="宋体"/>
          <w:kern w:val="0"/>
          <w:sz w:val="32"/>
          <w:szCs w:val="32"/>
          <w:highlight w:val="none"/>
          <w:lang w:eastAsia="zh-CN"/>
        </w:rPr>
        <w:t>”</w:t>
      </w:r>
      <w:r>
        <w:rPr>
          <w:rFonts w:hint="eastAsia" w:ascii="仿宋_GB2312" w:hAnsi="仿宋" w:eastAsia="仿宋_GB2312" w:cs="宋体"/>
          <w:kern w:val="0"/>
          <w:sz w:val="32"/>
          <w:szCs w:val="32"/>
          <w:highlight w:val="none"/>
        </w:rPr>
        <w:t>主题实施体系，</w:t>
      </w:r>
      <w:r>
        <w:rPr>
          <w:rFonts w:hint="eastAsia" w:ascii="仿宋_GB2312" w:hAnsi="仿宋" w:cs="宋体"/>
          <w:kern w:val="0"/>
          <w:sz w:val="32"/>
          <w:szCs w:val="32"/>
          <w:highlight w:val="none"/>
          <w:lang w:eastAsia="zh-CN"/>
        </w:rPr>
        <w:t>重点打造</w:t>
      </w:r>
      <w:r>
        <w:rPr>
          <w:rFonts w:hint="eastAsia" w:ascii="仿宋_GB2312" w:hAnsi="仿宋" w:eastAsia="仿宋_GB2312" w:cs="宋体"/>
          <w:kern w:val="0"/>
          <w:sz w:val="32"/>
          <w:szCs w:val="32"/>
          <w:highlight w:val="none"/>
        </w:rPr>
        <w:t>“空天大兴”“中国药谷”“京南沃土”“星空探知”</w:t>
      </w:r>
      <w:r>
        <w:rPr>
          <w:rFonts w:hint="eastAsia" w:ascii="仿宋_GB2312" w:hAnsi="仿宋" w:cs="宋体"/>
          <w:kern w:val="0"/>
          <w:sz w:val="32"/>
          <w:szCs w:val="32"/>
          <w:highlight w:val="none"/>
          <w:lang w:eastAsia="zh-CN"/>
        </w:rPr>
        <w:t>“氢能未来”等</w:t>
      </w:r>
      <w:r>
        <w:rPr>
          <w:rFonts w:hint="eastAsia" w:ascii="仿宋_GB2312" w:hAnsi="仿宋" w:eastAsia="仿宋_GB2312" w:cs="宋体"/>
          <w:kern w:val="0"/>
          <w:sz w:val="32"/>
          <w:szCs w:val="32"/>
          <w:highlight w:val="none"/>
        </w:rPr>
        <w:t>区域</w:t>
      </w:r>
      <w:r>
        <w:rPr>
          <w:rFonts w:hint="eastAsia" w:ascii="仿宋_GB2312" w:hAnsi="仿宋" w:cs="宋体"/>
          <w:kern w:val="0"/>
          <w:sz w:val="32"/>
          <w:szCs w:val="32"/>
          <w:highlight w:val="none"/>
          <w:lang w:eastAsia="zh-CN"/>
        </w:rPr>
        <w:t>特色主题。</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加快实施跨学科教育和项目化学习活动等探究性、研究性学习</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建强中小学科学教育研究指导中心，聘请高水平专家兼任学术导师，指导学校开展科学教育和项目研究，组织有兴趣、有能力的青少年走进科研院所、重点实验室开展观摩学习和动手实践</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探索人工智能赋能拔尖创新人才早期发现和培养机制，建设区域拔尖创新人才成长数字化管理平台。</w:t>
      </w:r>
    </w:p>
    <w:p w14:paraId="4A08A1D5">
      <w:pPr>
        <w:pStyle w:val="5"/>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7</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完善长链条培养机制</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深化课程教学改革</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cs="仿宋_GB2312"/>
          <w:b w:val="0"/>
          <w:bCs w:val="0"/>
          <w:color w:val="000000" w:themeColor="text1"/>
          <w:highlight w:val="none"/>
          <w:lang w:val="en-US" w:eastAsia="zh-CN"/>
          <w14:textFill>
            <w14:solidFill>
              <w14:schemeClr w14:val="tx1"/>
            </w14:solidFill>
          </w14:textFill>
        </w:rPr>
        <w:t>推动拔尖创新人才贯通培养，</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纵向设置不同学段的课程群，横向推进跨学科融合，打破学科边界</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依托区内一贯制学校</w:t>
      </w:r>
      <w:r>
        <w:rPr>
          <w:rFonts w:hint="eastAsia" w:ascii="仿宋_GB2312" w:hAnsi="仿宋_GB2312" w:cs="仿宋_GB2312"/>
          <w:b w:val="0"/>
          <w:bCs w:val="0"/>
          <w:color w:val="000000" w:themeColor="text1"/>
          <w:highlight w:val="none"/>
          <w:lang w:val="en-US" w:eastAsia="zh-CN"/>
          <w14:textFill>
            <w14:solidFill>
              <w14:schemeClr w14:val="tx1"/>
            </w14:solidFill>
          </w14:textFill>
        </w:rPr>
        <w:t>及教育集团</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cs="仿宋_GB2312"/>
          <w:b w:val="0"/>
          <w:bCs w:val="0"/>
          <w:color w:val="000000" w:themeColor="text1"/>
          <w:highlight w:val="none"/>
          <w:lang w:val="en-US" w:eastAsia="zh-CN"/>
          <w14:textFill>
            <w14:solidFill>
              <w14:schemeClr w14:val="tx1"/>
            </w14:solidFill>
          </w14:textFill>
        </w:rPr>
        <w:t>研发</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小学—初中—高中创新人才课程</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依托北京市青少年创新学院大兴分院及创新人才基地校，通过学科竞赛、强基培训</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艺术创作竞赛</w:t>
      </w:r>
      <w:r>
        <w:rPr>
          <w:rFonts w:hint="eastAsia" w:ascii="仿宋_GB2312" w:hAnsi="仿宋_GB2312" w:cs="仿宋_GB2312"/>
          <w:b w:val="0"/>
          <w:bCs w:val="0"/>
          <w:color w:val="000000" w:themeColor="text1"/>
          <w:highlight w:val="none"/>
          <w:lang w:val="en-US" w:eastAsia="zh-CN"/>
          <w14:textFill>
            <w14:solidFill>
              <w14:schemeClr w14:val="tx1"/>
            </w14:solidFill>
          </w14:textFill>
        </w:rPr>
        <w:t>等</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打造质量提升增长点。充分发挥现有4所教育部科学教育实验校作用，带动区域科学课堂变革。鼓励普通高中和中职学校相互开放并共享学科名师、技能大师及课程。</w:t>
      </w:r>
    </w:p>
    <w:p w14:paraId="73F88662">
      <w:pPr>
        <w:rPr>
          <w:rFonts w:hint="eastAsia"/>
          <w:highlight w:val="none"/>
        </w:rPr>
      </w:pPr>
      <w:r>
        <w:rPr>
          <w:rFonts w:hint="eastAsia"/>
          <w:highlight w:val="none"/>
          <w:lang w:val="en-US" w:eastAsia="zh-CN"/>
        </w:rPr>
        <w:t>8</w:t>
      </w:r>
      <w:r>
        <w:rPr>
          <w:rFonts w:hint="eastAsia"/>
          <w:highlight w:val="none"/>
        </w:rPr>
        <w:t>.打造产教融合示范样板。紧扣大兴区“6+5+3”产业布局，着力打造区域特色的职业教育品牌。依托我区支柱产业</w:t>
      </w:r>
      <w:r>
        <w:rPr>
          <w:rFonts w:hint="eastAsia"/>
          <w:highlight w:val="none"/>
          <w:lang w:eastAsia="zh-CN"/>
        </w:rPr>
        <w:t>和</w:t>
      </w:r>
      <w:r>
        <w:rPr>
          <w:rFonts w:hint="eastAsia"/>
          <w:highlight w:val="none"/>
        </w:rPr>
        <w:t>临空经济区、国际氢能示范区、生物医药产业基地</w:t>
      </w:r>
      <w:r>
        <w:rPr>
          <w:rFonts w:hint="eastAsia"/>
          <w:highlight w:val="none"/>
          <w:lang w:eastAsia="zh-CN"/>
        </w:rPr>
        <w:t>等</w:t>
      </w:r>
      <w:r>
        <w:rPr>
          <w:rFonts w:hint="eastAsia"/>
          <w:highlight w:val="none"/>
        </w:rPr>
        <w:t>重点</w:t>
      </w:r>
      <w:r>
        <w:rPr>
          <w:rFonts w:hint="eastAsia"/>
          <w:highlight w:val="none"/>
          <w:lang w:eastAsia="zh-CN"/>
        </w:rPr>
        <w:t>功能区</w:t>
      </w:r>
      <w:r>
        <w:rPr>
          <w:rFonts w:hint="eastAsia"/>
          <w:highlight w:val="none"/>
        </w:rPr>
        <w:t>，发挥“产业学院+工匠学院”作用，校企共建共性技术平台，定向培养职场适配的创新创业人才。建成“教学+实训+研发+孵化”产教融合共同体，</w:t>
      </w:r>
      <w:r>
        <w:rPr>
          <w:rFonts w:hint="eastAsia"/>
          <w:highlight w:val="none"/>
          <w:lang w:eastAsia="zh-CN"/>
        </w:rPr>
        <w:t>着力培养与区域产业发展相配套的职教人才。</w:t>
      </w:r>
      <w:r>
        <w:rPr>
          <w:rFonts w:hint="eastAsia"/>
          <w:highlight w:val="none"/>
        </w:rPr>
        <w:t>打造首都南城高技能人才培养新高地。</w:t>
      </w:r>
    </w:p>
    <w:p w14:paraId="5FD6784F">
      <w:pPr>
        <w:pStyle w:val="4"/>
        <w:bidi w:val="0"/>
        <w:rPr>
          <w:rFonts w:hint="eastAsia" w:eastAsia="楷体_GB2312"/>
          <w:b w:val="0"/>
          <w:bCs w:val="0"/>
          <w:highlight w:val="none"/>
          <w:lang w:eastAsia="zh-CN"/>
        </w:rPr>
      </w:pPr>
      <w:bookmarkStart w:id="107" w:name="_Toc14011002"/>
      <w:r>
        <w:rPr>
          <w:rFonts w:hint="eastAsia"/>
          <w:b w:val="0"/>
          <w:bCs w:val="0"/>
          <w:highlight w:val="none"/>
        </w:rPr>
        <w:t>（</w:t>
      </w:r>
      <w:r>
        <w:rPr>
          <w:rFonts w:hint="eastAsia"/>
          <w:b w:val="0"/>
          <w:bCs w:val="0"/>
          <w:highlight w:val="none"/>
          <w:lang w:val="en-US" w:eastAsia="zh-CN"/>
        </w:rPr>
        <w:t>四</w:t>
      </w:r>
      <w:r>
        <w:rPr>
          <w:rFonts w:hint="eastAsia"/>
          <w:b w:val="0"/>
          <w:bCs w:val="0"/>
          <w:highlight w:val="none"/>
        </w:rPr>
        <w:t>）</w:t>
      </w:r>
      <w:bookmarkEnd w:id="103"/>
      <w:r>
        <w:rPr>
          <w:rStyle w:val="14"/>
          <w:rFonts w:hint="eastAsia"/>
          <w:b w:val="0"/>
          <w:bCs w:val="0"/>
          <w:color w:val="000000" w:themeColor="text1"/>
          <w:highlight w:val="none"/>
          <w:u w:val="none"/>
          <w14:textFill>
            <w14:solidFill>
              <w14:schemeClr w14:val="tx1"/>
            </w14:solidFill>
          </w14:textFill>
        </w:rPr>
        <w:t>全面扩优提质，</w:t>
      </w:r>
      <w:bookmarkEnd w:id="104"/>
      <w:bookmarkEnd w:id="105"/>
      <w:bookmarkEnd w:id="106"/>
      <w:r>
        <w:rPr>
          <w:rFonts w:hint="eastAsia"/>
          <w:b w:val="0"/>
          <w:bCs w:val="0"/>
          <w:highlight w:val="none"/>
          <w:lang w:eastAsia="zh-CN"/>
        </w:rPr>
        <w:t>构建教育优质均衡发展新生态</w:t>
      </w:r>
      <w:bookmarkEnd w:id="107"/>
    </w:p>
    <w:p w14:paraId="04457210">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08" w:name="_Toc7358"/>
      <w:bookmarkStart w:id="109" w:name="_Toc32531"/>
      <w:bookmarkStart w:id="110" w:name="_Toc761"/>
      <w:bookmarkStart w:id="111" w:name="_Toc202450575"/>
      <w:bookmarkStart w:id="112" w:name="_Toc13680"/>
      <w:r>
        <w:rPr>
          <w:rFonts w:hint="eastAsia" w:ascii="仿宋_GB2312" w:hAnsi="仿宋_GB2312" w:cs="仿宋_GB2312"/>
          <w:b w:val="0"/>
          <w:bCs w:val="0"/>
          <w:color w:val="000000" w:themeColor="text1"/>
          <w:highlight w:val="none"/>
          <w:lang w:val="en-US" w:eastAsia="zh-CN"/>
          <w14:textFill>
            <w14:solidFill>
              <w14:schemeClr w14:val="tx1"/>
            </w14:solidFill>
          </w14:textFill>
        </w:rPr>
        <w:t>9</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bookmarkEnd w:id="108"/>
      <w:bookmarkEnd w:id="109"/>
      <w:bookmarkEnd w:id="110"/>
      <w:bookmarkEnd w:id="111"/>
      <w:bookmarkEnd w:id="112"/>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推动学前教育优质普惠、托幼一体提质创优。稳步扩大公办学位供给，扶持民办普惠园发展，巩固普及普惠成效。构建0—6岁“大学前”服务体系，以幼儿园办托为主渠道，推动公办园托班应开尽开，盘活富余学位转化托位。持续推进区域“‘动’起来的童年”学前特色品牌建设，全力推动区域学前教育向“幼有优育”高质量跃升。推动大兴区托育综合服务中心建设，加强托育机构常态化综合监管，争创全市领先的托幼一体化服务样板。</w:t>
      </w:r>
    </w:p>
    <w:p w14:paraId="59E4161D">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13" w:name="_Toc20519"/>
      <w:bookmarkStart w:id="114" w:name="_Toc5725"/>
      <w:bookmarkStart w:id="115" w:name="_Toc202450576"/>
      <w:bookmarkStart w:id="116" w:name="_Toc204"/>
      <w:bookmarkStart w:id="117" w:name="_Toc10944"/>
      <w:r>
        <w:rPr>
          <w:rFonts w:hint="eastAsia" w:ascii="仿宋_GB2312" w:hAnsi="仿宋_GB2312" w:cs="仿宋_GB2312"/>
          <w:b w:val="0"/>
          <w:bCs w:val="0"/>
          <w:color w:val="000000" w:themeColor="text1"/>
          <w:highlight w:val="none"/>
          <w:lang w:val="en-US" w:eastAsia="zh-CN"/>
          <w14:textFill>
            <w14:solidFill>
              <w14:schemeClr w14:val="tx1"/>
            </w14:solidFill>
          </w14:textFill>
        </w:rPr>
        <w:t>10</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.深化义务教育优质均衡发展</w:t>
      </w:r>
      <w:bookmarkEnd w:id="113"/>
      <w:bookmarkEnd w:id="114"/>
      <w:bookmarkEnd w:id="115"/>
      <w:bookmarkEnd w:id="116"/>
      <w:bookmarkEnd w:id="117"/>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持续巩固“双减”成效，深化学校内涵发展，规范教学管理，统筹推进教育教学质量提升</w:t>
      </w:r>
      <w:r>
        <w:rPr>
          <w:rFonts w:hint="eastAsia" w:ascii="仿宋_GB2312" w:hAnsi="仿宋_GB2312" w:cs="仿宋_GB2312"/>
          <w:b w:val="0"/>
          <w:bCs w:val="0"/>
          <w:color w:val="000000" w:themeColor="text1"/>
          <w:highlight w:val="none"/>
          <w:lang w:val="en-US" w:eastAsia="zh-CN"/>
          <w14:textFill>
            <w14:solidFill>
              <w14:schemeClr w14:val="tx1"/>
            </w14:solidFill>
          </w14:textFill>
        </w:rPr>
        <w:t>。推动北京四中大兴校区、中关村三小大兴学校等优质学校落地。</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提高义务教育办学品质。推进城乡</w:t>
      </w:r>
      <w:r>
        <w:rPr>
          <w:rFonts w:hint="eastAsia" w:ascii="仿宋_GB2312" w:hAnsi="仿宋_GB2312" w:cs="仿宋_GB2312"/>
          <w:b w:val="0"/>
          <w:bCs w:val="0"/>
          <w:color w:val="000000" w:themeColor="text1"/>
          <w:highlight w:val="none"/>
          <w:lang w:val="en-US" w:eastAsia="zh-CN"/>
          <w14:textFill>
            <w14:solidFill>
              <w14:schemeClr w14:val="tx1"/>
            </w14:solidFill>
          </w14:textFill>
        </w:rPr>
        <w:t>学校共同体建设</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，通过</w:t>
      </w:r>
      <w:r>
        <w:rPr>
          <w:rFonts w:hint="eastAsia" w:ascii="仿宋_GB2312" w:hAnsi="仿宋_GB2312" w:cs="仿宋_GB2312"/>
          <w:b w:val="0"/>
          <w:bCs w:val="0"/>
          <w:color w:val="000000" w:themeColor="text1"/>
          <w:highlight w:val="none"/>
          <w:lang w:val="en-US" w:eastAsia="zh-CN"/>
          <w14:textFill>
            <w14:solidFill>
              <w14:schemeClr w14:val="tx1"/>
            </w14:solidFill>
          </w14:textFill>
        </w:rPr>
        <w:t>城乡学校结对、</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农村十校联盟</w:t>
      </w:r>
      <w:r>
        <w:rPr>
          <w:rFonts w:hint="eastAsia" w:ascii="仿宋_GB2312" w:hAnsi="仿宋_GB2312" w:cs="仿宋_GB2312"/>
          <w:b w:val="0"/>
          <w:bCs w:val="0"/>
          <w:color w:val="000000" w:themeColor="text1"/>
          <w:highlight w:val="none"/>
          <w:lang w:val="en-US" w:eastAsia="zh-CN"/>
          <w14:textFill>
            <w14:solidFill>
              <w14:schemeClr w14:val="tx1"/>
            </w14:solidFill>
          </w14:textFill>
        </w:rPr>
        <w:t>等</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工作，加</w:t>
      </w:r>
      <w:r>
        <w:rPr>
          <w:rFonts w:hint="eastAsia" w:ascii="仿宋_GB2312" w:hAnsi="仿宋_GB2312" w:cs="仿宋_GB2312"/>
          <w:b w:val="0"/>
          <w:bCs w:val="0"/>
          <w:color w:val="000000" w:themeColor="text1"/>
          <w:highlight w:val="none"/>
          <w:lang w:val="en-US" w:eastAsia="zh-CN"/>
          <w14:textFill>
            <w14:solidFill>
              <w14:schemeClr w14:val="tx1"/>
            </w14:solidFill>
          </w14:textFill>
        </w:rPr>
        <w:t>大对</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农村学校</w:t>
      </w:r>
      <w:r>
        <w:rPr>
          <w:rFonts w:hint="eastAsia" w:ascii="仿宋_GB2312" w:hAnsi="仿宋_GB2312" w:cs="仿宋_GB2312"/>
          <w:b w:val="0"/>
          <w:bCs w:val="0"/>
          <w:color w:val="000000" w:themeColor="text1"/>
          <w:highlight w:val="none"/>
          <w:lang w:val="en-US" w:eastAsia="zh-CN"/>
          <w14:textFill>
            <w14:solidFill>
              <w14:schemeClr w14:val="tx1"/>
            </w14:solidFill>
          </w14:textFill>
        </w:rPr>
        <w:t>扶持力度。优化师生配比，做好师资跨学校、跨学段、跨学科动态调整，</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加大学校优秀校长和骨干教师区域内统筹调配、交流轮岗力度。加强对民办学校常态规范管理。</w:t>
      </w:r>
    </w:p>
    <w:p w14:paraId="54A8EB60">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18" w:name="_Toc202450577"/>
      <w:bookmarkStart w:id="119" w:name="_Toc26896"/>
      <w:bookmarkStart w:id="120" w:name="_Toc13604"/>
      <w:bookmarkStart w:id="121" w:name="_Toc22778"/>
      <w:bookmarkStart w:id="122" w:name="_Toc31100"/>
      <w:r>
        <w:rPr>
          <w:rFonts w:hint="eastAsia" w:ascii="仿宋_GB2312" w:hAnsi="仿宋_GB2312" w:cs="仿宋_GB2312"/>
          <w:b w:val="0"/>
          <w:bCs w:val="0"/>
          <w:color w:val="000000" w:themeColor="text1"/>
          <w:highlight w:val="none"/>
          <w:lang w:val="en-US" w:eastAsia="zh-CN"/>
          <w14:textFill>
            <w14:solidFill>
              <w14:schemeClr w14:val="tx1"/>
            </w14:solidFill>
          </w14:textFill>
        </w:rPr>
        <w:t>11</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.推动普通高中特色多样发展</w:t>
      </w:r>
      <w:bookmarkEnd w:id="118"/>
      <w:bookmarkEnd w:id="119"/>
      <w:bookmarkEnd w:id="120"/>
      <w:bookmarkEnd w:id="121"/>
      <w:bookmarkEnd w:id="122"/>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加强课程创新和特色建设，引导建设一批具有科技、人文、外语、体育、艺术等方面特色的普通高中。推进北京第四实验学校高中部、清华附中高中部等学校建成投用。探索优质综合高中班建设，摸索职普融通的有效途径，为学生发展提供更多通道。进一步完善学生自主选课、分层教学、走班制等教学与管理模式。逐年增加普通高中研究生学历专任教师比例，全面提升高中教育质量。</w:t>
      </w:r>
    </w:p>
    <w:p w14:paraId="75774241">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23" w:name="_Toc8792"/>
      <w:bookmarkStart w:id="124" w:name="_Toc202450578"/>
      <w:bookmarkStart w:id="125" w:name="_Toc7640"/>
      <w:bookmarkStart w:id="126" w:name="_Toc8610"/>
      <w:bookmarkStart w:id="127" w:name="_Toc14252"/>
      <w:r>
        <w:rPr>
          <w:rFonts w:hint="eastAsia" w:ascii="仿宋_GB2312" w:hAnsi="仿宋_GB2312" w:cs="仿宋_GB2312"/>
          <w:b w:val="0"/>
          <w:bCs w:val="0"/>
          <w:color w:val="000000" w:themeColor="text1"/>
          <w:highlight w:val="none"/>
          <w:lang w:val="en-US" w:eastAsia="zh-CN"/>
          <w14:textFill>
            <w14:solidFill>
              <w14:schemeClr w14:val="tx1"/>
            </w14:solidFill>
          </w14:textFill>
        </w:rPr>
        <w:t>12</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.着力提升特殊教育服务质量</w:t>
      </w:r>
      <w:bookmarkEnd w:id="123"/>
      <w:bookmarkEnd w:id="124"/>
      <w:bookmarkEnd w:id="125"/>
      <w:bookmarkEnd w:id="126"/>
      <w:bookmarkEnd w:id="127"/>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加强十五年制特殊教育各学段课程的纵向衔接与融通，构建科学的课程体系，建设家庭学校社会协同育人机制。推进融合教育发展，健全从学前到高中阶段15年教育服务。加强融合教师队伍建设，开展特殊教育通识培训，提高融合教师专业化水平。探索推进特殊需要儿童少年专业支持服务一体化、优质化、数智化机制。</w:t>
      </w:r>
    </w:p>
    <w:p w14:paraId="2DF8F751">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28" w:name="_Toc31070"/>
      <w:bookmarkStart w:id="129" w:name="_Toc4327"/>
      <w:bookmarkStart w:id="130" w:name="_Toc202450579"/>
      <w:bookmarkStart w:id="131" w:name="_Toc24290"/>
      <w:r>
        <w:rPr>
          <w:rFonts w:hint="eastAsia" w:ascii="仿宋_GB2312" w:hAnsi="仿宋_GB2312" w:cs="仿宋_GB2312"/>
          <w:b w:val="0"/>
          <w:bCs w:val="0"/>
          <w:color w:val="000000" w:themeColor="text1"/>
          <w:highlight w:val="none"/>
          <w:lang w:val="en-US" w:eastAsia="zh-CN"/>
          <w14:textFill>
            <w14:solidFill>
              <w14:schemeClr w14:val="tx1"/>
            </w14:solidFill>
          </w14:textFill>
        </w:rPr>
        <w:t>13</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.完善现代职业教育培养培训体系。</w:t>
      </w:r>
      <w:r>
        <w:rPr>
          <w:rFonts w:hint="eastAsia" w:ascii="仿宋_GB2312" w:hAnsi="仿宋_GB2312" w:cs="仿宋_GB2312"/>
          <w:b w:val="0"/>
          <w:bCs w:val="0"/>
          <w:color w:val="000000" w:themeColor="text1"/>
          <w:highlight w:val="none"/>
          <w:lang w:eastAsia="zh-CN"/>
          <w14:textFill>
            <w14:solidFill>
              <w14:schemeClr w14:val="tx1"/>
            </w14:solidFill>
          </w14:textFill>
        </w:rPr>
        <w:t>提升职业学校办学能力，</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推进中职学校转型升级，探索职教发展新路径。深化校企合作，提升人才适配性，</w:t>
      </w:r>
      <w:r>
        <w:rPr>
          <w:rFonts w:hint="eastAsia" w:ascii="仿宋_GB2312" w:hAnsi="仿宋_GB2312" w:cs="仿宋_GB2312"/>
          <w:b w:val="0"/>
          <w:bCs w:val="0"/>
          <w:color w:val="000000" w:themeColor="text1"/>
          <w:highlight w:val="none"/>
          <w:lang w:val="en-US" w:eastAsia="zh-CN"/>
          <w14:textFill>
            <w14:solidFill>
              <w14:schemeClr w14:val="tx1"/>
            </w14:solidFill>
          </w14:textFill>
        </w:rPr>
        <w:t>构建</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产教融合</w:t>
      </w:r>
      <w:r>
        <w:rPr>
          <w:rFonts w:hint="eastAsia" w:ascii="仿宋_GB2312" w:hAnsi="仿宋_GB2312" w:cs="仿宋_GB2312"/>
          <w:b w:val="0"/>
          <w:bCs w:val="0"/>
          <w:color w:val="000000" w:themeColor="text1"/>
          <w:highlight w:val="none"/>
          <w:lang w:val="en-US" w:eastAsia="zh-CN"/>
          <w14:textFill>
            <w14:solidFill>
              <w14:schemeClr w14:val="tx1"/>
            </w14:solidFill>
          </w14:textFill>
        </w:rPr>
        <w:t>校企合作的职教</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体系。推进岗课赛证融合机制、完善职教体系，深化“双导师”制的现代学徒制，培育能快速适应产业发展的创新型、创业型高水平</w:t>
      </w:r>
      <w:r>
        <w:rPr>
          <w:rFonts w:hint="eastAsia" w:ascii="仿宋_GB2312" w:hAnsi="仿宋_GB2312" w:cs="仿宋_GB2312"/>
          <w:b w:val="0"/>
          <w:bCs w:val="0"/>
          <w:color w:val="000000" w:themeColor="text1"/>
          <w:highlight w:val="none"/>
          <w:lang w:val="en-US" w:eastAsia="zh-CN"/>
          <w14:textFill>
            <w14:solidFill>
              <w14:schemeClr w14:val="tx1"/>
            </w14:solidFill>
          </w14:textFill>
        </w:rPr>
        <w:t>技术</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技能人才。协调高等职业院校、企业联合开展职业教育教师一体化培养培训，优化实施职业院校教师素质提高计划。</w:t>
      </w:r>
    </w:p>
    <w:p w14:paraId="7546681A">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14</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.推进学习型城区建设。</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探索灵活的培训教学形式，为市民提供更加多元化的学习路径。开展学历提升教育，搭建“社会大学”终身学习平台。拓展社区教育和在线学习资源，强化服务资源创新与保障。</w:t>
      </w:r>
      <w:r>
        <w:rPr>
          <w:rFonts w:hint="eastAsia" w:ascii="仿宋_GB2312" w:hAnsi="仿宋_GB2312" w:cs="仿宋_GB2312"/>
          <w:b w:val="0"/>
          <w:bCs w:val="0"/>
          <w:color w:val="000000" w:themeColor="text1"/>
          <w:highlight w:val="none"/>
          <w:lang w:val="en-US" w:eastAsia="zh-CN"/>
          <w14:textFill>
            <w14:solidFill>
              <w14:schemeClr w14:val="tx1"/>
            </w14:solidFill>
          </w14:textFill>
        </w:rPr>
        <w:t>深化数字赋能，提升老年人信息化素养。</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深入研究乡村产业特色、村民技能需求和文化传承要点，为乡村培育懂技术、善经营、爱农村的新型人才。</w:t>
      </w:r>
      <w:bookmarkEnd w:id="128"/>
      <w:bookmarkEnd w:id="129"/>
      <w:bookmarkEnd w:id="130"/>
      <w:bookmarkEnd w:id="131"/>
      <w:bookmarkStart w:id="132" w:name="_Toc10106"/>
      <w:bookmarkStart w:id="133" w:name="_Toc202450588"/>
    </w:p>
    <w:bookmarkEnd w:id="132"/>
    <w:bookmarkEnd w:id="133"/>
    <w:p w14:paraId="7CA334DF">
      <w:pPr>
        <w:pStyle w:val="4"/>
        <w:keepNext w:val="0"/>
        <w:keepLines w:val="0"/>
        <w:pageBreakBefore w:val="0"/>
        <w:widowControl w:val="0"/>
        <w:kinsoku/>
        <w:wordWrap/>
        <w:overflowPunct/>
        <w:topLinePunct w:val="0"/>
        <w:autoSpaceDE/>
        <w:autoSpaceDN/>
        <w:bidi w:val="0"/>
        <w:spacing w:line="560" w:lineRule="exact"/>
        <w:textAlignment w:val="auto"/>
        <w:rPr>
          <w:rFonts w:hint="eastAsia" w:eastAsia="楷体_GB2312"/>
          <w:b w:val="0"/>
          <w:bCs w:val="0"/>
          <w:color w:val="000000" w:themeColor="text1"/>
          <w:highlight w:val="none"/>
          <w:lang w:eastAsia="zh-CN"/>
          <w14:textFill>
            <w14:solidFill>
              <w14:schemeClr w14:val="tx1"/>
            </w14:solidFill>
          </w14:textFill>
        </w:rPr>
      </w:pPr>
      <w:bookmarkStart w:id="134" w:name="_Toc17968"/>
      <w:bookmarkStart w:id="135" w:name="_Toc22143"/>
      <w:bookmarkStart w:id="136" w:name="_Toc1407193091"/>
      <w:r>
        <w:rPr>
          <w:rFonts w:hint="eastAsia"/>
          <w:b w:val="0"/>
          <w:bCs w:val="0"/>
          <w:color w:val="000000" w:themeColor="text1"/>
          <w:highlight w:val="none"/>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五</w:t>
      </w:r>
      <w:r>
        <w:rPr>
          <w:rFonts w:hint="eastAsia"/>
          <w:b w:val="0"/>
          <w:bCs w:val="0"/>
          <w:color w:val="000000" w:themeColor="text1"/>
          <w:highlight w:val="none"/>
          <w14:textFill>
            <w14:solidFill>
              <w14:schemeClr w14:val="tx1"/>
            </w14:solidFill>
          </w14:textFill>
        </w:rPr>
        <w:t>）优化资源布局，打造优质教育资源集群</w:t>
      </w:r>
      <w:bookmarkEnd w:id="134"/>
      <w:bookmarkEnd w:id="135"/>
      <w:r>
        <w:rPr>
          <w:rFonts w:hint="eastAsia"/>
          <w:b w:val="0"/>
          <w:bCs w:val="0"/>
          <w:color w:val="000000" w:themeColor="text1"/>
          <w:highlight w:val="none"/>
          <w:lang w:eastAsia="zh-CN"/>
          <w14:textFill>
            <w14:solidFill>
              <w14:schemeClr w14:val="tx1"/>
            </w14:solidFill>
          </w14:textFill>
        </w:rPr>
        <w:t>地</w:t>
      </w:r>
      <w:bookmarkEnd w:id="136"/>
    </w:p>
    <w:p w14:paraId="5E0E3268">
      <w:pPr>
        <w:pStyle w:val="5"/>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pPr>
      <w:bookmarkStart w:id="137" w:name="_Toc20320"/>
      <w:bookmarkStart w:id="138" w:name="_Toc28142"/>
      <w:bookmarkStart w:id="139" w:name="_Toc202450589"/>
      <w:bookmarkStart w:id="140" w:name="_Toc15430"/>
      <w:bookmarkStart w:id="141" w:name="_Toc5084"/>
      <w:r>
        <w:rPr>
          <w:rFonts w:hint="eastAsia" w:ascii="仿宋_GB2312" w:hAnsi="仿宋_GB2312" w:cs="仿宋_GB2312"/>
          <w:b w:val="0"/>
          <w:bCs w:val="0"/>
          <w:color w:val="000000" w:themeColor="text1"/>
          <w:highlight w:val="none"/>
          <w:lang w:val="en-US" w:eastAsia="zh-CN"/>
          <w14:textFill>
            <w14:solidFill>
              <w14:schemeClr w14:val="tx1"/>
            </w14:solidFill>
          </w14:textFill>
        </w:rPr>
        <w:t>15</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bookmarkEnd w:id="137"/>
      <w:bookmarkEnd w:id="138"/>
      <w:bookmarkEnd w:id="139"/>
      <w:bookmarkEnd w:id="140"/>
      <w:bookmarkEnd w:id="141"/>
      <w:bookmarkStart w:id="142" w:name="_Toc202450590"/>
      <w:bookmarkStart w:id="143" w:name="_Toc8941"/>
      <w:bookmarkStart w:id="144" w:name="_Toc21966"/>
      <w:bookmarkStart w:id="145" w:name="_Toc23650"/>
      <w:bookmarkStart w:id="146" w:name="_Toc16977"/>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加快新优质学校建设。持续优化区域教育资源配置，结合城市功能定位和人口分布，加强重点功能区教育设施建设，提升教育承载能力。落实新建居住区配套标准，依据各级各类规划和地块上市情况，推进教育资源与城市建设同步规划、同步建设。推进中小学新建、改扩建项目，计划完成</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12</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所学校建设任务，新增学位1.8万个。</w:t>
      </w:r>
    </w:p>
    <w:p w14:paraId="615202F3">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16</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w:t>
      </w:r>
      <w:bookmarkEnd w:id="142"/>
      <w:bookmarkEnd w:id="143"/>
      <w:bookmarkEnd w:id="144"/>
      <w:bookmarkEnd w:id="145"/>
      <w:bookmarkEnd w:id="146"/>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深化与市级名校合作模式。充分发挥现有优质教育资源辐射带动作用</w:t>
      </w:r>
      <w:r>
        <w:rPr>
          <w:rFonts w:hint="eastAsia" w:ascii="仿宋_GB2312" w:hAnsi="仿宋_GB2312" w:eastAsia="仿宋_GB2312" w:cs="仿宋_GB2312"/>
          <w:b w:val="0"/>
          <w:bCs w:val="0"/>
          <w:color w:val="000000" w:themeColor="text1"/>
          <w:kern w:val="2"/>
          <w:sz w:val="32"/>
          <w:szCs w:val="22"/>
          <w:highlight w:val="none"/>
          <w:lang w:val="en-US" w:eastAsia="zh-CN" w:bidi="ar-SA"/>
          <w14:textFill>
            <w14:solidFill>
              <w14:schemeClr w14:val="tx1"/>
            </w14:solidFill>
          </w14:textFill>
        </w:rPr>
        <w:t>，坚持“双向互动、协同发展”。持续深化名校合作跨区联合培养模式，推动更多中心城区学校到大兴举办高水平寄宿制中学，实施多区学生混班培养，推动跨区育人深度融合。完善干部教师交流机制，建立干部教师培养基地，实现资源深度</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融合，真正让优质教育资源在大兴开花结果。</w:t>
      </w:r>
    </w:p>
    <w:p w14:paraId="234C7A0E">
      <w:pPr>
        <w:pStyle w:val="7"/>
        <w:spacing w:line="560" w:lineRule="exact"/>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17</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深化集团化办学改革，</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积极构建新型集团办学载体。以优质高中为龙头，推进小初高一体化教育集团全覆盖。探索“一体多校”等多种集团办学模式，</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谋划构建“4+N”集团化办学模式，建立多个跨区教育集团，推动优质教育资源全域覆盖、普惠共享</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跨区育人深度融合。</w:t>
      </w:r>
      <w:r>
        <w:rPr>
          <w:rFonts w:hint="eastAsia" w:ascii="仿宋_GB2312" w:hAnsi="仿宋_GB2312" w:eastAsia="仿宋_GB2312" w:cs="仿宋_GB2312"/>
          <w:sz w:val="32"/>
          <w:szCs w:val="32"/>
          <w:highlight w:val="none"/>
        </w:rPr>
        <w:t>促进“</w:t>
      </w:r>
      <w:r>
        <w:rPr>
          <w:rFonts w:hint="eastAsia" w:ascii="仿宋_GB2312" w:hAnsi="仿宋_GB2312" w:eastAsia="仿宋_GB2312" w:cs="仿宋_GB2312"/>
          <w:sz w:val="32"/>
          <w:szCs w:val="32"/>
          <w:highlight w:val="none"/>
          <w:lang w:eastAsia="zh-CN"/>
        </w:rPr>
        <w:t>强</w:t>
      </w:r>
      <w:r>
        <w:rPr>
          <w:rFonts w:hint="eastAsia" w:ascii="仿宋_GB2312" w:hAnsi="仿宋_GB2312" w:eastAsia="仿宋_GB2312" w:cs="仿宋_GB2312"/>
          <w:sz w:val="32"/>
          <w:szCs w:val="32"/>
          <w:highlight w:val="none"/>
        </w:rPr>
        <w:t>校引领，集团发展</w:t>
      </w:r>
      <w:r>
        <w:rPr>
          <w:rFonts w:hint="eastAsia" w:ascii="仿宋_GB2312" w:hAnsi="仿宋_GB2312" w:eastAsia="仿宋_GB2312" w:cs="仿宋_GB2312"/>
          <w:sz w:val="32"/>
          <w:szCs w:val="32"/>
          <w:highlight w:val="none"/>
          <w:lang w:eastAsia="zh-CN"/>
        </w:rPr>
        <w:t>，整体提升</w:t>
      </w:r>
      <w:r>
        <w:rPr>
          <w:rFonts w:hint="eastAsia" w:ascii="仿宋_GB2312" w:hAnsi="仿宋_GB2312" w:eastAsia="仿宋_GB2312" w:cs="仿宋_GB2312"/>
          <w:sz w:val="32"/>
          <w:szCs w:val="32"/>
          <w:highlight w:val="none"/>
        </w:rPr>
        <w:t>”</w:t>
      </w:r>
      <w:r>
        <w:rPr>
          <w:rFonts w:hint="eastAsia" w:ascii="仿宋_GB2312" w:hAnsi="仿宋_GB2312" w:cs="仿宋_GB2312"/>
          <w:sz w:val="32"/>
          <w:szCs w:val="32"/>
          <w:highlight w:val="none"/>
          <w:lang w:eastAsia="zh-CN"/>
        </w:rPr>
        <w:t>目标的实现。</w:t>
      </w:r>
    </w:p>
    <w:p w14:paraId="3C6CFFE2">
      <w:pPr>
        <w:pStyle w:val="5"/>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47" w:name="_Toc27453"/>
      <w:bookmarkStart w:id="148" w:name="_Toc6333"/>
      <w:bookmarkStart w:id="149" w:name="_Toc18465"/>
      <w:bookmarkStart w:id="150" w:name="_Toc24869"/>
      <w:r>
        <w:rPr>
          <w:rFonts w:hint="eastAsia" w:ascii="仿宋_GB2312" w:hAnsi="仿宋_GB2312" w:cs="仿宋_GB2312"/>
          <w:b w:val="0"/>
          <w:bCs w:val="0"/>
          <w:color w:val="000000" w:themeColor="text1"/>
          <w:highlight w:val="none"/>
          <w:lang w:val="en-US" w:eastAsia="zh-CN"/>
          <w14:textFill>
            <w14:solidFill>
              <w14:schemeClr w14:val="tx1"/>
            </w14:solidFill>
          </w14:textFill>
        </w:rPr>
        <w:t>18</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.培育特色街镇教育品牌</w:t>
      </w:r>
      <w:bookmarkEnd w:id="147"/>
      <w:bookmarkEnd w:id="148"/>
      <w:bookmarkEnd w:id="149"/>
      <w:bookmarkEnd w:id="150"/>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深入挖掘利用社区资源，丰富课堂、课后、志愿服务内容，满足学生多样化学习、实践需求。支持各镇街立足区位优势和资源禀赋，打造富有地方特色的教育品牌，重点培育一批研学实践特色街镇、志愿服务特色街镇、传统文化教育特色街镇等，推动形成“一镇街一品牌”发展格局。推动建设新一批少年宫分宫，打造校外教育均衡发展标杆。</w:t>
      </w:r>
    </w:p>
    <w:p w14:paraId="1C14EBE5">
      <w:pPr>
        <w:pStyle w:val="4"/>
        <w:keepNext w:val="0"/>
        <w:keepLines w:val="0"/>
        <w:pageBreakBefore w:val="0"/>
        <w:widowControl w:val="0"/>
        <w:kinsoku/>
        <w:wordWrap/>
        <w:overflowPunct/>
        <w:topLinePunct w:val="0"/>
        <w:autoSpaceDE/>
        <w:autoSpaceDN/>
        <w:bidi w:val="0"/>
        <w:spacing w:line="560" w:lineRule="exact"/>
        <w:textAlignment w:val="auto"/>
        <w:rPr>
          <w:rFonts w:hint="eastAsia" w:eastAsia="楷体_GB2312"/>
          <w:b w:val="0"/>
          <w:bCs w:val="0"/>
          <w:color w:val="000000" w:themeColor="text1"/>
          <w:highlight w:val="none"/>
          <w:lang w:eastAsia="zh-CN"/>
          <w14:textFill>
            <w14:solidFill>
              <w14:schemeClr w14:val="tx1"/>
            </w14:solidFill>
          </w14:textFill>
        </w:rPr>
      </w:pPr>
      <w:bookmarkStart w:id="151" w:name="_Toc7348"/>
      <w:bookmarkStart w:id="152" w:name="_Toc202450592"/>
      <w:bookmarkStart w:id="153" w:name="_Toc5568"/>
      <w:bookmarkStart w:id="154" w:name="_Toc13640"/>
      <w:bookmarkStart w:id="155" w:name="_Toc456876026"/>
      <w:r>
        <w:rPr>
          <w:rFonts w:hint="eastAsia"/>
          <w:b w:val="0"/>
          <w:bCs w:val="0"/>
          <w:color w:val="000000" w:themeColor="text1"/>
          <w:highlight w:val="none"/>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六</w:t>
      </w:r>
      <w:r>
        <w:rPr>
          <w:rFonts w:hint="eastAsia"/>
          <w:b w:val="0"/>
          <w:bCs w:val="0"/>
          <w:color w:val="000000" w:themeColor="text1"/>
          <w:highlight w:val="none"/>
          <w14:textFill>
            <w14:solidFill>
              <w14:schemeClr w14:val="tx1"/>
            </w14:solidFill>
          </w14:textFill>
        </w:rPr>
        <w:t>）</w:t>
      </w:r>
      <w:r>
        <w:rPr>
          <w:rFonts w:hint="eastAsia"/>
          <w:b w:val="0"/>
          <w:bCs w:val="0"/>
          <w:color w:val="000000" w:themeColor="text1"/>
          <w:highlight w:val="none"/>
          <w:lang w:eastAsia="zh-CN"/>
          <w14:textFill>
            <w14:solidFill>
              <w14:schemeClr w14:val="tx1"/>
            </w14:solidFill>
          </w14:textFill>
        </w:rPr>
        <w:t>深耕数字教育，</w:t>
      </w:r>
      <w:r>
        <w:rPr>
          <w:rFonts w:hint="eastAsia"/>
          <w:b w:val="0"/>
          <w:bCs w:val="0"/>
          <w:color w:val="000000" w:themeColor="text1"/>
          <w:highlight w:val="none"/>
          <w14:textFill>
            <w14:solidFill>
              <w14:schemeClr w14:val="tx1"/>
            </w14:solidFill>
          </w14:textFill>
        </w:rPr>
        <w:t>建设智慧教育新</w:t>
      </w:r>
      <w:bookmarkEnd w:id="151"/>
      <w:bookmarkEnd w:id="152"/>
      <w:bookmarkEnd w:id="153"/>
      <w:bookmarkEnd w:id="154"/>
      <w:r>
        <w:rPr>
          <w:rFonts w:hint="eastAsia"/>
          <w:b w:val="0"/>
          <w:bCs w:val="0"/>
          <w:color w:val="000000" w:themeColor="text1"/>
          <w:highlight w:val="none"/>
          <w:lang w:eastAsia="zh-CN"/>
          <w14:textFill>
            <w14:solidFill>
              <w14:schemeClr w14:val="tx1"/>
            </w14:solidFill>
          </w14:textFill>
        </w:rPr>
        <w:t>高地</w:t>
      </w:r>
      <w:bookmarkEnd w:id="155"/>
    </w:p>
    <w:p w14:paraId="6FCF761D">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56" w:name="_Toc11758"/>
      <w:bookmarkStart w:id="157" w:name="_Toc24943"/>
      <w:bookmarkStart w:id="158" w:name="_Toc202450593"/>
      <w:bookmarkStart w:id="159" w:name="_Toc13506"/>
      <w:bookmarkStart w:id="160" w:name="_Toc2565"/>
      <w:r>
        <w:rPr>
          <w:rFonts w:hint="eastAsia" w:ascii="仿宋_GB2312" w:hAnsi="仿宋_GB2312" w:cs="仿宋_GB2312"/>
          <w:b w:val="0"/>
          <w:bCs w:val="0"/>
          <w:color w:val="000000" w:themeColor="text1"/>
          <w:highlight w:val="none"/>
          <w:lang w:val="en-US" w:eastAsia="zh-CN"/>
          <w14:textFill>
            <w14:solidFill>
              <w14:schemeClr w14:val="tx1"/>
            </w14:solidFill>
          </w14:textFill>
        </w:rPr>
        <w:t>19</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.建强大兴区教育数字基座</w:t>
      </w:r>
      <w:bookmarkEnd w:id="156"/>
      <w:bookmarkEnd w:id="157"/>
      <w:bookmarkEnd w:id="158"/>
      <w:bookmarkEnd w:id="159"/>
      <w:bookmarkEnd w:id="160"/>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实施“大兴区教育数字化战略行动”。统一基础数据管理中心、数据交换中心、实名认证中心，升级教育云平台，新建教育大数据平台，改造4个重点系统。以大兴区“新三个课堂”为顶层框架，建设智慧教育应用生态系统，加强新技术赋能教育教学研究与实践。运用大数据、5G、人工智能等新技术，赋能教、学、评、</w:t>
      </w:r>
      <w:r>
        <w:rPr>
          <w:rFonts w:hint="eastAsia" w:ascii="仿宋_GB2312" w:hAnsi="仿宋_GB2312" w:cs="仿宋_GB2312"/>
          <w:b w:val="0"/>
          <w:bCs w:val="0"/>
          <w:color w:val="000000" w:themeColor="text1"/>
          <w:highlight w:val="none"/>
          <w:lang w:val="en-US" w:eastAsia="zh-CN"/>
          <w14:textFill>
            <w14:solidFill>
              <w14:schemeClr w14:val="tx1"/>
            </w14:solidFill>
          </w14:textFill>
        </w:rPr>
        <w:t>育、</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管、研</w:t>
      </w:r>
      <w:r>
        <w:rPr>
          <w:rFonts w:hint="eastAsia" w:ascii="仿宋_GB2312" w:hAnsi="仿宋_GB2312" w:cs="仿宋_GB2312"/>
          <w:b w:val="0"/>
          <w:bCs w:val="0"/>
          <w:color w:val="000000" w:themeColor="text1"/>
          <w:highlight w:val="none"/>
          <w:lang w:val="en-US" w:eastAsia="zh-CN"/>
          <w14:textFill>
            <w14:solidFill>
              <w14:schemeClr w14:val="tx1"/>
            </w14:solidFill>
          </w14:textFill>
        </w:rPr>
        <w:t>、建</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w:t>
      </w:r>
    </w:p>
    <w:p w14:paraId="590FA0C0">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61" w:name="_Toc24098"/>
      <w:bookmarkStart w:id="162" w:name="_Toc17811"/>
      <w:bookmarkStart w:id="163" w:name="_Toc202450594"/>
      <w:bookmarkStart w:id="164" w:name="_Toc21039"/>
      <w:bookmarkStart w:id="165" w:name="_Toc23533"/>
      <w:r>
        <w:rPr>
          <w:rFonts w:hint="eastAsia" w:ascii="仿宋_GB2312" w:hAnsi="仿宋_GB2312" w:cs="仿宋_GB2312"/>
          <w:b w:val="0"/>
          <w:bCs w:val="0"/>
          <w:color w:val="000000" w:themeColor="text1"/>
          <w:highlight w:val="none"/>
          <w:lang w:val="en-US" w:eastAsia="zh-CN"/>
          <w14:textFill>
            <w14:solidFill>
              <w14:schemeClr w14:val="tx1"/>
            </w14:solidFill>
          </w14:textFill>
        </w:rPr>
        <w:t>20</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.提升教师学生的数字素养</w:t>
      </w:r>
      <w:bookmarkEnd w:id="161"/>
      <w:bookmarkEnd w:id="162"/>
      <w:bookmarkEnd w:id="163"/>
      <w:bookmarkEnd w:id="164"/>
      <w:bookmarkEnd w:id="165"/>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实施“数智强师行动”，深度推广大兴区“新三个课堂”人工智能助推教师队伍建设模式，构建数智赋能、生态构建、全域覆盖的教师发展新范式。开展好人工智能通识教育，实现中小学生全面普及，全面提升人工智能素养。鼓励中小学校探索建设具有地域特色和学校特点的人工智能教育拓展课程。结合北京市“苗圃”工程，探索高校与中学合作开展人工智能人才培育模式。</w:t>
      </w:r>
    </w:p>
    <w:p w14:paraId="4657279F">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166" w:name="_Toc27129"/>
      <w:bookmarkStart w:id="167" w:name="_Toc202450595"/>
      <w:bookmarkStart w:id="168" w:name="_Toc7330"/>
      <w:bookmarkStart w:id="169" w:name="_Toc16737"/>
      <w:bookmarkStart w:id="170" w:name="_Toc28855"/>
      <w:r>
        <w:rPr>
          <w:rFonts w:hint="eastAsia" w:ascii="仿宋_GB2312" w:hAnsi="仿宋_GB2312" w:cs="仿宋_GB2312"/>
          <w:b w:val="0"/>
          <w:bCs w:val="0"/>
          <w:color w:val="000000" w:themeColor="text1"/>
          <w:highlight w:val="none"/>
          <w:lang w:val="en-US" w:eastAsia="zh-CN"/>
          <w14:textFill>
            <w14:solidFill>
              <w14:schemeClr w14:val="tx1"/>
            </w14:solidFill>
          </w14:textFill>
        </w:rPr>
        <w:t>21</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.构建数字化教育治理体系</w:t>
      </w:r>
      <w:bookmarkEnd w:id="166"/>
      <w:bookmarkEnd w:id="167"/>
      <w:bookmarkEnd w:id="168"/>
      <w:bookmarkEnd w:id="169"/>
      <w:bookmarkEnd w:id="170"/>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打造大兴区教育管理公共服务重点平台，构建“</w:t>
      </w:r>
      <w:r>
        <w:rPr>
          <w:rFonts w:hint="eastAsia" w:ascii="仿宋_GB2312" w:hAnsi="仿宋_GB2312" w:cs="仿宋_GB2312"/>
          <w:b w:val="0"/>
          <w:bCs w:val="0"/>
          <w:color w:val="000000" w:themeColor="text1"/>
          <w:highlight w:val="none"/>
          <w:lang w:val="en-US" w:eastAsia="zh-CN"/>
          <w14:textFill>
            <w14:solidFill>
              <w14:schemeClr w14:val="tx1"/>
            </w14:solidFill>
          </w14:textFill>
        </w:rPr>
        <w:t>人工智能</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智慧教育生态。利用教育大数据平台的共性服务，探索基础数据支撑、业务数据汇聚、教育数据深度挖掘的“教育大脑”建设模式，推动教育管理、智慧教学、教师发展、学生成长的数据应用创新，数据赋能教育质量提升和教育管理评价改革。</w:t>
      </w:r>
    </w:p>
    <w:p w14:paraId="0B023D3B">
      <w:pPr>
        <w:pStyle w:val="4"/>
        <w:keepNext w:val="0"/>
        <w:keepLines w:val="0"/>
        <w:pageBreakBefore w:val="0"/>
        <w:widowControl w:val="0"/>
        <w:kinsoku/>
        <w:wordWrap/>
        <w:overflowPunct/>
        <w:topLinePunct w:val="0"/>
        <w:autoSpaceDE/>
        <w:autoSpaceDN/>
        <w:bidi w:val="0"/>
        <w:spacing w:line="560" w:lineRule="exact"/>
        <w:textAlignment w:val="auto"/>
        <w:rPr>
          <w:b w:val="0"/>
          <w:bCs w:val="0"/>
          <w:color w:val="000000" w:themeColor="text1"/>
          <w:highlight w:val="none"/>
          <w14:textFill>
            <w14:solidFill>
              <w14:schemeClr w14:val="tx1"/>
            </w14:solidFill>
          </w14:textFill>
        </w:rPr>
      </w:pPr>
      <w:bookmarkStart w:id="171" w:name="_Toc32163"/>
      <w:bookmarkStart w:id="172" w:name="_Toc28764"/>
      <w:bookmarkStart w:id="173" w:name="_Toc15926"/>
      <w:bookmarkStart w:id="174" w:name="_Toc202450596"/>
      <w:bookmarkStart w:id="175" w:name="_Toc1461330957"/>
      <w:r>
        <w:rPr>
          <w:rFonts w:hint="eastAsia"/>
          <w:b w:val="0"/>
          <w:bCs w:val="0"/>
          <w:color w:val="000000" w:themeColor="text1"/>
          <w:highlight w:val="none"/>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七</w:t>
      </w:r>
      <w:r>
        <w:rPr>
          <w:rFonts w:hint="eastAsia"/>
          <w:b w:val="0"/>
          <w:bCs w:val="0"/>
          <w:color w:val="000000" w:themeColor="text1"/>
          <w:highlight w:val="none"/>
          <w14:textFill>
            <w14:solidFill>
              <w14:schemeClr w14:val="tx1"/>
            </w14:solidFill>
          </w14:textFill>
        </w:rPr>
        <w:t>）</w:t>
      </w:r>
      <w:bookmarkEnd w:id="171"/>
      <w:bookmarkEnd w:id="172"/>
      <w:bookmarkEnd w:id="173"/>
      <w:bookmarkEnd w:id="174"/>
      <w:r>
        <w:rPr>
          <w:rFonts w:hint="eastAsia"/>
          <w:b w:val="0"/>
          <w:bCs w:val="0"/>
          <w:color w:val="000000" w:themeColor="text1"/>
          <w:highlight w:val="none"/>
          <w14:textFill>
            <w14:solidFill>
              <w14:schemeClr w14:val="tx1"/>
            </w14:solidFill>
          </w14:textFill>
        </w:rPr>
        <w:t>坚持铸魂强师，提升队伍综合素质</w:t>
      </w:r>
      <w:bookmarkEnd w:id="175"/>
    </w:p>
    <w:p w14:paraId="6FBF79C5">
      <w:pPr>
        <w:ind w:firstLine="800" w:firstLineChars="250"/>
        <w:rPr>
          <w:rFonts w:ascii="仿宋_GB2312" w:eastAsia="仿宋_GB2312"/>
          <w:sz w:val="32"/>
          <w:szCs w:val="32"/>
          <w:highlight w:val="none"/>
        </w:rPr>
      </w:pPr>
      <w:bookmarkStart w:id="176" w:name="_Toc202450598"/>
      <w:bookmarkStart w:id="177" w:name="_Toc22576"/>
      <w:bookmarkStart w:id="178" w:name="_Toc18964"/>
      <w:bookmarkStart w:id="179" w:name="_Toc63"/>
      <w:bookmarkStart w:id="180" w:name="_Toc16590"/>
      <w:r>
        <w:rPr>
          <w:rFonts w:hint="eastAsia" w:ascii="仿宋_GB2312" w:hAnsi="仿宋_GB2312" w:cs="仿宋_GB2312"/>
          <w:b w:val="0"/>
          <w:bCs w:val="0"/>
          <w:color w:val="000000" w:themeColor="text1"/>
          <w:highlight w:val="none"/>
          <w:lang w:val="en-US" w:eastAsia="zh-CN"/>
          <w14:textFill>
            <w14:solidFill>
              <w14:schemeClr w14:val="tx1"/>
            </w14:solidFill>
          </w14:textFill>
        </w:rPr>
        <w:t>22</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.培育素质优良的教师</w:t>
      </w:r>
      <w:bookmarkEnd w:id="176"/>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队伍</w:t>
      </w:r>
      <w:bookmarkEnd w:id="177"/>
      <w:bookmarkEnd w:id="178"/>
      <w:bookmarkEnd w:id="179"/>
      <w:bookmarkEnd w:id="180"/>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bookmarkStart w:id="181" w:name="_Toc21049"/>
      <w:bookmarkStart w:id="182" w:name="_Toc1453"/>
      <w:bookmarkStart w:id="183" w:name="_Toc77"/>
      <w:bookmarkStart w:id="184" w:name="_Toc202450599"/>
      <w:bookmarkStart w:id="185" w:name="_Toc32265"/>
      <w:r>
        <w:rPr>
          <w:rFonts w:ascii="仿宋_GB2312" w:eastAsia="仿宋_GB2312"/>
          <w:sz w:val="32"/>
          <w:szCs w:val="32"/>
          <w:highlight w:val="none"/>
        </w:rPr>
        <w:t>加强教师队伍建设党建引领，选优配强教师党支部书记，强化教师党支部书记“双带头人”培</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育。实施教育家精神铸魂强师行动，坚持师德师风第一标准，实施“兴师计划”，</w:t>
      </w:r>
      <w:r>
        <w:rPr>
          <w:rFonts w:hint="eastAsia" w:ascii="仿宋_GB2312" w:eastAsia="仿宋_GB2312"/>
          <w:sz w:val="32"/>
          <w:szCs w:val="32"/>
          <w:highlight w:val="none"/>
          <w:lang w:eastAsia="zh-CN"/>
        </w:rPr>
        <w:t>构建“四级递进式培养体系”，推进“四大培养计划”，</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着力提升教师专业素养、课程育人能力与学科教学水平。做强学科教研，打造学科基地、名师工作室和教研组三位一体的教研共同体，提升学科</w:t>
      </w:r>
      <w:r>
        <w:rPr>
          <w:rFonts w:ascii="仿宋_GB2312" w:eastAsia="仿宋_GB2312"/>
          <w:sz w:val="32"/>
          <w:szCs w:val="32"/>
          <w:highlight w:val="none"/>
        </w:rPr>
        <w:t>研究能力。</w:t>
      </w:r>
      <w:r>
        <w:rPr>
          <w:rFonts w:hint="eastAsia" w:ascii="仿宋_GB2312" w:eastAsia="仿宋_GB2312"/>
          <w:sz w:val="32"/>
          <w:szCs w:val="32"/>
          <w:highlight w:val="none"/>
        </w:rPr>
        <w:t xml:space="preserve"> </w:t>
      </w:r>
      <w:r>
        <w:rPr>
          <w:rFonts w:ascii="仿宋_GB2312" w:eastAsia="仿宋_GB2312"/>
          <w:sz w:val="32"/>
          <w:szCs w:val="32"/>
          <w:highlight w:val="none"/>
        </w:rPr>
        <w:t xml:space="preserve">   </w:t>
      </w:r>
    </w:p>
    <w:bookmarkEnd w:id="181"/>
    <w:bookmarkEnd w:id="182"/>
    <w:bookmarkEnd w:id="183"/>
    <w:bookmarkEnd w:id="184"/>
    <w:bookmarkEnd w:id="185"/>
    <w:p w14:paraId="0BEB8B11">
      <w:pPr>
        <w:pStyle w:val="5"/>
        <w:ind w:firstLine="641" w:firstLineChars="0"/>
        <w:rPr>
          <w:rFonts w:hint="eastAsia" w:ascii="仿宋_GB2312" w:hAnsi="仿宋_GB2312" w:cs="仿宋_GB2312"/>
          <w:b w:val="0"/>
          <w:bCs w:val="0"/>
          <w:color w:val="000000" w:themeColor="text1"/>
          <w:highlight w:val="none"/>
          <w14:textFill>
            <w14:solidFill>
              <w14:schemeClr w14:val="tx1"/>
            </w14:solidFill>
          </w14:textFill>
        </w:rPr>
      </w:pPr>
      <w:bookmarkStart w:id="186" w:name="_Toc20410"/>
      <w:bookmarkStart w:id="187" w:name="_Toc30988"/>
      <w:bookmarkStart w:id="188" w:name="_Toc14110"/>
      <w:bookmarkStart w:id="189" w:name="_Toc202450601"/>
      <w:r>
        <w:rPr>
          <w:rFonts w:hint="eastAsia" w:ascii="仿宋_GB2312" w:hAnsi="仿宋_GB2312" w:cs="仿宋_GB2312"/>
          <w:b w:val="0"/>
          <w:bCs w:val="0"/>
          <w:color w:val="000000" w:themeColor="text1"/>
          <w:highlight w:val="none"/>
          <w:lang w:val="en-US" w:eastAsia="zh-CN"/>
          <w14:textFill>
            <w14:solidFill>
              <w14:schemeClr w14:val="tx1"/>
            </w14:solidFill>
          </w14:textFill>
        </w:rPr>
        <w:t>23.</w:t>
      </w:r>
      <w:r>
        <w:rPr>
          <w:rFonts w:ascii="仿宋_GB2312" w:hAnsi="仿宋_GB2312" w:cs="仿宋_GB2312"/>
          <w:b w:val="0"/>
          <w:bCs w:val="0"/>
          <w:color w:val="000000" w:themeColor="text1"/>
          <w:highlight w:val="none"/>
          <w14:textFill>
            <w14:solidFill>
              <w14:schemeClr w14:val="tx1"/>
            </w14:solidFill>
          </w14:textFill>
        </w:rPr>
        <w:t>建设干部人才成长梯队。加快推进教育系统干部队伍建设，树立正确选人用人导向，</w:t>
      </w:r>
      <w:r>
        <w:rPr>
          <w:rFonts w:hint="eastAsia" w:ascii="仿宋_GB2312" w:hAnsi="仿宋_GB2312" w:cs="仿宋_GB2312"/>
          <w:b w:val="0"/>
          <w:bCs w:val="0"/>
          <w:color w:val="000000" w:themeColor="text1"/>
          <w:highlight w:val="none"/>
          <w14:textFill>
            <w14:solidFill>
              <w14:schemeClr w14:val="tx1"/>
            </w14:solidFill>
          </w14:textFill>
        </w:rPr>
        <w:t>拓宽</w:t>
      </w:r>
      <w:r>
        <w:rPr>
          <w:rFonts w:ascii="仿宋_GB2312" w:hAnsi="仿宋_GB2312" w:cs="仿宋_GB2312"/>
          <w:b w:val="0"/>
          <w:bCs w:val="0"/>
          <w:color w:val="000000" w:themeColor="text1"/>
          <w:highlight w:val="none"/>
          <w14:textFill>
            <w14:solidFill>
              <w14:schemeClr w14:val="tx1"/>
            </w14:solidFill>
          </w14:textFill>
        </w:rPr>
        <w:t>选人用人渠道，持续优化领导班子专业结构、经历结构、年龄结构，着力打造</w:t>
      </w:r>
      <w:r>
        <w:rPr>
          <w:rFonts w:hint="eastAsia" w:ascii="仿宋_GB2312" w:hAnsi="仿宋_GB2312" w:cs="仿宋_GB2312"/>
          <w:b w:val="0"/>
          <w:bCs w:val="0"/>
          <w:color w:val="000000" w:themeColor="text1"/>
          <w:highlight w:val="none"/>
          <w14:textFill>
            <w14:solidFill>
              <w14:schemeClr w14:val="tx1"/>
            </w14:solidFill>
          </w14:textFill>
        </w:rPr>
        <w:t>高素质</w:t>
      </w:r>
      <w:r>
        <w:rPr>
          <w:rFonts w:ascii="仿宋_GB2312" w:hAnsi="仿宋_GB2312" w:cs="仿宋_GB2312"/>
          <w:b w:val="0"/>
          <w:bCs w:val="0"/>
          <w:color w:val="000000" w:themeColor="text1"/>
          <w:highlight w:val="none"/>
          <w14:textFill>
            <w14:solidFill>
              <w14:schemeClr w14:val="tx1"/>
            </w14:solidFill>
          </w14:textFill>
        </w:rPr>
        <w:t>专业化领导干部队伍。坚持“引进来”与“走出去”相结合，</w:t>
      </w:r>
      <w:r>
        <w:rPr>
          <w:rFonts w:hint="eastAsia" w:ascii="仿宋_GB2312" w:hAnsi="仿宋_GB2312" w:cs="仿宋_GB2312"/>
          <w:b w:val="0"/>
          <w:bCs w:val="0"/>
          <w:color w:val="000000" w:themeColor="text1"/>
          <w:highlight w:val="none"/>
          <w14:textFill>
            <w14:solidFill>
              <w14:schemeClr w14:val="tx1"/>
            </w14:solidFill>
          </w14:textFill>
        </w:rPr>
        <w:t>积极引进</w:t>
      </w:r>
      <w:r>
        <w:rPr>
          <w:rFonts w:ascii="仿宋_GB2312" w:hAnsi="仿宋_GB2312" w:cs="仿宋_GB2312"/>
          <w:b w:val="0"/>
          <w:bCs w:val="0"/>
          <w:color w:val="000000" w:themeColor="text1"/>
          <w:highlight w:val="none"/>
          <w14:textFill>
            <w14:solidFill>
              <w14:schemeClr w14:val="tx1"/>
            </w14:solidFill>
          </w14:textFill>
        </w:rPr>
        <w:t>优秀</w:t>
      </w:r>
      <w:r>
        <w:rPr>
          <w:rFonts w:hint="eastAsia" w:ascii="仿宋_GB2312" w:hAnsi="仿宋_GB2312" w:cs="仿宋_GB2312"/>
          <w:b w:val="0"/>
          <w:bCs w:val="0"/>
          <w:color w:val="000000" w:themeColor="text1"/>
          <w:highlight w:val="none"/>
          <w14:textFill>
            <w14:solidFill>
              <w14:schemeClr w14:val="tx1"/>
            </w14:solidFill>
          </w14:textFill>
        </w:rPr>
        <w:t>干部</w:t>
      </w:r>
      <w:r>
        <w:rPr>
          <w:rFonts w:ascii="仿宋_GB2312" w:hAnsi="仿宋_GB2312" w:cs="仿宋_GB2312"/>
          <w:b w:val="0"/>
          <w:bCs w:val="0"/>
          <w:color w:val="000000" w:themeColor="text1"/>
          <w:highlight w:val="none"/>
          <w14:textFill>
            <w14:solidFill>
              <w14:schemeClr w14:val="tx1"/>
            </w14:solidFill>
          </w14:textFill>
        </w:rPr>
        <w:t>，有计划选派干部到教育发达地区、先进学校挂职锻炼</w:t>
      </w:r>
      <w:r>
        <w:rPr>
          <w:rFonts w:hint="eastAsia" w:ascii="仿宋_GB2312" w:hAnsi="仿宋_GB2312" w:cs="仿宋_GB2312"/>
          <w:b w:val="0"/>
          <w:bCs w:val="0"/>
          <w:color w:val="000000" w:themeColor="text1"/>
          <w:highlight w:val="none"/>
          <w14:textFill>
            <w14:solidFill>
              <w14:schemeClr w14:val="tx1"/>
            </w14:solidFill>
          </w14:textFill>
        </w:rPr>
        <w:t>，</w:t>
      </w:r>
      <w:r>
        <w:rPr>
          <w:rFonts w:ascii="仿宋_GB2312" w:hAnsi="仿宋_GB2312" w:cs="仿宋_GB2312"/>
          <w:b w:val="0"/>
          <w:bCs w:val="0"/>
          <w:color w:val="000000" w:themeColor="text1"/>
          <w:highlight w:val="none"/>
          <w14:textFill>
            <w14:solidFill>
              <w14:schemeClr w14:val="tx1"/>
            </w14:solidFill>
          </w14:textFill>
        </w:rPr>
        <w:t>构建优秀校长、成熟校长、新任校长、</w:t>
      </w:r>
      <w:r>
        <w:rPr>
          <w:rFonts w:hint="eastAsia" w:ascii="仿宋_GB2312" w:hAnsi="仿宋_GB2312" w:cs="仿宋_GB2312"/>
          <w:b w:val="0"/>
          <w:bCs w:val="0"/>
          <w:color w:val="000000" w:themeColor="text1"/>
          <w:highlight w:val="none"/>
          <w:lang w:eastAsia="zh-CN"/>
          <w14:textFill>
            <w14:solidFill>
              <w14:schemeClr w14:val="tx1"/>
            </w14:solidFill>
          </w14:textFill>
        </w:rPr>
        <w:t>青年</w:t>
      </w:r>
      <w:r>
        <w:rPr>
          <w:rFonts w:ascii="仿宋_GB2312" w:hAnsi="仿宋_GB2312" w:cs="仿宋_GB2312"/>
          <w:b w:val="0"/>
          <w:bCs w:val="0"/>
          <w:color w:val="000000" w:themeColor="text1"/>
          <w:highlight w:val="none"/>
          <w14:textFill>
            <w14:solidFill>
              <w14:schemeClr w14:val="tx1"/>
            </w14:solidFill>
          </w14:textFill>
        </w:rPr>
        <w:t>干部四级培训体系，</w:t>
      </w:r>
      <w:r>
        <w:rPr>
          <w:rFonts w:hint="eastAsia" w:ascii="仿宋_GB2312" w:hAnsi="仿宋_GB2312" w:cs="仿宋_GB2312"/>
          <w:b w:val="0"/>
          <w:bCs w:val="0"/>
          <w:color w:val="000000" w:themeColor="text1"/>
          <w:highlight w:val="none"/>
          <w14:textFill>
            <w14:solidFill>
              <w14:schemeClr w14:val="tx1"/>
            </w14:solidFill>
          </w14:textFill>
        </w:rPr>
        <w:t>不断提升干部专业素养与岗位胜任力。</w:t>
      </w:r>
    </w:p>
    <w:p w14:paraId="71908505">
      <w:pPr>
        <w:ind w:firstLine="800" w:firstLineChars="25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cs="仿宋_GB2312"/>
          <w:color w:val="000000" w:themeColor="text1"/>
          <w:sz w:val="32"/>
          <w:szCs w:val="32"/>
          <w:highlight w:val="none"/>
          <w:lang w:val="en-US" w:eastAsia="zh-CN"/>
          <w14:textFill>
            <w14:solidFill>
              <w14:schemeClr w14:val="tx1"/>
            </w14:solidFill>
          </w14:textFill>
        </w:rPr>
        <w:t>24</w:t>
      </w:r>
      <w:r>
        <w:rPr>
          <w:rFonts w:hint="eastAsia" w:ascii="仿宋_GB2312" w:hAnsi="仿宋_GB2312" w:eastAsia="仿宋_GB2312" w:cs="仿宋_GB2312"/>
          <w:color w:val="000000" w:themeColor="text1"/>
          <w:sz w:val="32"/>
          <w:szCs w:val="32"/>
          <w:highlight w:val="none"/>
          <w14:textFill>
            <w14:solidFill>
              <w14:schemeClr w14:val="tx1"/>
            </w14:solidFill>
          </w14:textFill>
        </w:rPr>
        <w:t>.创新人才管理体制机制。推进人事管理改革，深度实施“区管校聘”改革，优化教师岗位配置。统筹推进“三大模块”人才招聘，持续引进高学历、高层次教师人才，逐步提专任教师研究生学历比例。完善教育人才库，持续推进公办幼儿园人员额度管理，多措并举，满足各学段师资需求。</w:t>
      </w:r>
    </w:p>
    <w:p w14:paraId="65FE7734">
      <w:pPr>
        <w:pStyle w:val="4"/>
        <w:keepNext w:val="0"/>
        <w:keepLines w:val="0"/>
        <w:pageBreakBefore w:val="0"/>
        <w:widowControl w:val="0"/>
        <w:kinsoku/>
        <w:wordWrap/>
        <w:overflowPunct/>
        <w:topLinePunct w:val="0"/>
        <w:autoSpaceDE/>
        <w:autoSpaceDN/>
        <w:bidi w:val="0"/>
        <w:spacing w:line="560" w:lineRule="exact"/>
        <w:textAlignment w:val="auto"/>
        <w:rPr>
          <w:b w:val="0"/>
          <w:bCs w:val="0"/>
          <w:color w:val="000000" w:themeColor="text1"/>
          <w:highlight w:val="none"/>
          <w14:textFill>
            <w14:solidFill>
              <w14:schemeClr w14:val="tx1"/>
            </w14:solidFill>
          </w14:textFill>
        </w:rPr>
      </w:pPr>
      <w:bookmarkStart w:id="190" w:name="_Toc1966407207"/>
      <w:r>
        <w:rPr>
          <w:rFonts w:hint="eastAsia"/>
          <w:b w:val="0"/>
          <w:bCs w:val="0"/>
          <w:color w:val="000000" w:themeColor="text1"/>
          <w:highlight w:val="none"/>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八</w:t>
      </w:r>
      <w:r>
        <w:rPr>
          <w:rFonts w:hint="eastAsia"/>
          <w:b w:val="0"/>
          <w:bCs w:val="0"/>
          <w:color w:val="000000" w:themeColor="text1"/>
          <w:highlight w:val="none"/>
          <w14:textFill>
            <w14:solidFill>
              <w14:schemeClr w14:val="tx1"/>
            </w14:solidFill>
          </w14:textFill>
        </w:rPr>
        <w:t>）加强开放协同，提高教育开放水平</w:t>
      </w:r>
      <w:bookmarkEnd w:id="186"/>
      <w:bookmarkEnd w:id="187"/>
      <w:bookmarkEnd w:id="188"/>
      <w:bookmarkEnd w:id="190"/>
    </w:p>
    <w:p w14:paraId="55E9C6A8">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pPr>
      <w:bookmarkStart w:id="191" w:name="_Toc21033"/>
      <w:bookmarkStart w:id="192" w:name="_Toc11955"/>
      <w:bookmarkStart w:id="193" w:name="_Toc10605"/>
      <w:bookmarkStart w:id="194" w:name="_Toc13326"/>
      <w:r>
        <w:rPr>
          <w:rFonts w:hint="eastAsia" w:ascii="仿宋_GB2312" w:hAnsi="仿宋_GB2312" w:cs="仿宋_GB2312"/>
          <w:b w:val="0"/>
          <w:bCs w:val="0"/>
          <w:color w:val="000000" w:themeColor="text1"/>
          <w:highlight w:val="none"/>
          <w:lang w:val="en-US" w:eastAsia="zh-CN"/>
          <w14:textFill>
            <w14:solidFill>
              <w14:schemeClr w14:val="tx1"/>
            </w14:solidFill>
          </w14:textFill>
        </w:rPr>
        <w:t>25</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.构建协同发展共同体</w:t>
      </w:r>
      <w:bookmarkEnd w:id="191"/>
      <w:bookmarkEnd w:id="192"/>
      <w:bookmarkEnd w:id="193"/>
      <w:bookmarkEnd w:id="194"/>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。加强与城区优质校开展经常性、交流合作。深化大兴区与经开区、通州</w:t>
      </w:r>
      <w:r>
        <w:rPr>
          <w:rFonts w:hint="eastAsia" w:ascii="仿宋_GB2312" w:hAnsi="仿宋_GB2312" w:cs="仿宋_GB2312"/>
          <w:b w:val="0"/>
          <w:bCs w:val="0"/>
          <w:color w:val="000000" w:themeColor="text1"/>
          <w:highlight w:val="none"/>
          <w:lang w:eastAsia="zh-CN"/>
          <w14:textFill>
            <w14:solidFill>
              <w14:schemeClr w14:val="tx1"/>
            </w14:solidFill>
          </w14:textFill>
        </w:rPr>
        <w:t>区</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等连片地区教育协同发展，完善教育资源共享机制，推动区域教育一体化发展。持续加大京津冀合作力度，</w:t>
      </w:r>
      <w:r>
        <w:rPr>
          <w:rFonts w:hint="eastAsia" w:ascii="仿宋_GB2312" w:hAnsi="仿宋_GB2312" w:cs="仿宋_GB2312"/>
          <w:b w:val="0"/>
          <w:bCs w:val="0"/>
          <w:color w:val="000000" w:themeColor="text1"/>
          <w:highlight w:val="none"/>
          <w:lang w:eastAsia="zh-CN"/>
          <w14:textFill>
            <w14:solidFill>
              <w14:schemeClr w14:val="tx1"/>
            </w14:solidFill>
          </w14:textFill>
        </w:rPr>
        <w:t>发挥大兴区作为京津冀氢能综合应用试点城市群牵头城市的优势，丰富科创、教研、实践等</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活动载体，协同推进学校、教师、学生深度交流。加强教育支援合作，继续实施京藏疆蒙教育对口帮扶。</w:t>
      </w:r>
    </w:p>
    <w:p w14:paraId="638BF163">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pPr>
      <w:bookmarkStart w:id="195" w:name="_Toc26536"/>
      <w:bookmarkStart w:id="196" w:name="_Toc13073"/>
      <w:bookmarkStart w:id="197" w:name="_Toc7318"/>
      <w:bookmarkStart w:id="198" w:name="_Toc18577"/>
      <w:r>
        <w:rPr>
          <w:rFonts w:hint="eastAsia" w:ascii="仿宋_GB2312" w:hAnsi="仿宋_GB2312" w:cs="仿宋_GB2312"/>
          <w:b w:val="0"/>
          <w:bCs w:val="0"/>
          <w:color w:val="000000" w:themeColor="text1"/>
          <w:highlight w:val="none"/>
          <w:lang w:val="en-US" w:eastAsia="zh-CN"/>
          <w14:textFill>
            <w14:solidFill>
              <w14:schemeClr w14:val="tx1"/>
            </w14:solidFill>
          </w14:textFill>
        </w:rPr>
        <w:t>26</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.探索高校合作协同机制</w:t>
      </w:r>
      <w:bookmarkEnd w:id="195"/>
      <w:bookmarkEnd w:id="196"/>
      <w:bookmarkEnd w:id="197"/>
      <w:bookmarkEnd w:id="198"/>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。推动</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所驻区高校、科研院所在教育培训、科研创新、学科建设、人才培养等方面与</w:t>
      </w:r>
      <w:r>
        <w:rPr>
          <w:rFonts w:hint="eastAsia" w:ascii="仿宋_GB2312" w:hAnsi="仿宋_GB2312" w:cs="仿宋_GB2312"/>
          <w:b w:val="0"/>
          <w:bCs w:val="0"/>
          <w:color w:val="000000" w:themeColor="text1"/>
          <w:highlight w:val="none"/>
          <w:lang w:eastAsia="zh-CN"/>
          <w14:textFill>
            <w14:solidFill>
              <w14:schemeClr w14:val="tx1"/>
            </w14:solidFill>
          </w14:textFill>
        </w:rPr>
        <w:t>学校开展</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深度合作</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支持大兴一中</w:t>
      </w:r>
      <w:r>
        <w:rPr>
          <w:rFonts w:hint="eastAsia" w:ascii="仿宋_GB2312" w:hAnsi="仿宋_GB2312" w:cs="仿宋_GB2312"/>
          <w:b w:val="0"/>
          <w:bCs w:val="0"/>
          <w:color w:val="000000" w:themeColor="text1"/>
          <w:highlight w:val="none"/>
          <w:lang w:eastAsia="zh-CN"/>
          <w14:textFill>
            <w14:solidFill>
              <w14:schemeClr w14:val="tx1"/>
            </w14:solidFill>
          </w14:textFill>
        </w:rPr>
        <w:t>、清华附中大兴学校</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等学校与部属高校开展拔尖创新人才培养合作</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探索开设大学先修课程，</w:t>
      </w:r>
      <w:r>
        <w:rPr>
          <w:rFonts w:hint="eastAsia" w:ascii="仿宋_GB2312" w:hAnsi="仿宋_GB2312" w:cs="仿宋_GB2312"/>
          <w:b w:val="0"/>
          <w:bCs w:val="0"/>
          <w:color w:val="000000" w:themeColor="text1"/>
          <w:highlight w:val="none"/>
          <w:lang w:eastAsia="zh-CN"/>
          <w14:textFill>
            <w14:solidFill>
              <w14:schemeClr w14:val="tx1"/>
            </w14:solidFill>
          </w14:textFill>
        </w:rPr>
        <w:t>促进</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大兴区高中多样化发展和特色建设</w:t>
      </w:r>
      <w:r>
        <w:rPr>
          <w:rFonts w:hint="eastAsia" w:ascii="仿宋_GB2312" w:hAnsi="仿宋_GB2312" w:cs="仿宋_GB2312"/>
          <w:b w:val="0"/>
          <w:bCs w:val="0"/>
          <w:color w:val="000000" w:themeColor="text1"/>
          <w:highlight w:val="none"/>
          <w:lang w:eastAsia="zh-CN"/>
          <w14:textFill>
            <w14:solidFill>
              <w14:schemeClr w14:val="tx1"/>
            </w14:solidFill>
          </w14:textFill>
        </w:rPr>
        <w:t>，实现</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跨学段教学—科研—社会服务多环节的资源共建共享。</w:t>
      </w:r>
    </w:p>
    <w:p w14:paraId="496848AA">
      <w:pPr>
        <w:pStyle w:val="5"/>
        <w:keepNext w:val="0"/>
        <w:keepLines w:val="0"/>
        <w:pageBreakBefore w:val="0"/>
        <w:widowControl w:val="0"/>
        <w:kinsoku/>
        <w:wordWrap/>
        <w:overflowPunct/>
        <w:topLinePunct w:val="0"/>
        <w:autoSpaceDE/>
        <w:autoSpaceDN/>
        <w:bidi w:val="0"/>
        <w:spacing w:line="560" w:lineRule="exact"/>
        <w:textAlignment w:val="auto"/>
        <w:rPr>
          <w:rFonts w:hint="eastAsia"/>
          <w:b w:val="0"/>
          <w:bCs w:val="0"/>
          <w:color w:val="000000" w:themeColor="text1"/>
          <w:highlight w:val="none"/>
          <w14:textFill>
            <w14:solidFill>
              <w14:schemeClr w14:val="tx1"/>
            </w14:solidFill>
          </w14:textFill>
        </w:rPr>
      </w:pPr>
      <w:bookmarkStart w:id="199" w:name="_Toc15662"/>
      <w:bookmarkStart w:id="200" w:name="_Toc29936"/>
      <w:bookmarkStart w:id="201" w:name="_Toc970"/>
      <w:bookmarkStart w:id="202" w:name="_Toc23375"/>
      <w:bookmarkStart w:id="203" w:name="_Toc213748188"/>
      <w:r>
        <w:rPr>
          <w:rFonts w:hint="eastAsia" w:ascii="仿宋_GB2312" w:hAnsi="仿宋_GB2312" w:cs="仿宋_GB2312"/>
          <w:b w:val="0"/>
          <w:bCs w:val="0"/>
          <w:color w:val="000000" w:themeColor="text1"/>
          <w:highlight w:val="none"/>
          <w:lang w:val="en-US" w:eastAsia="zh-CN"/>
          <w14:textFill>
            <w14:solidFill>
              <w14:schemeClr w14:val="tx1"/>
            </w14:solidFill>
          </w14:textFill>
        </w:rPr>
        <w:t>27</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.扩大高水平教育对外开放</w:t>
      </w:r>
      <w:bookmarkEnd w:id="199"/>
      <w:bookmarkEnd w:id="200"/>
      <w:bookmarkEnd w:id="201"/>
      <w:bookmarkEnd w:id="202"/>
      <w:bookmarkEnd w:id="203"/>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学习借鉴国际一流学校先进办学经验，探索建设或适时引进优质国际教育资源。发挥大兴国际机场枢纽优势，积极参与“一带一路”师资培训计划，加强中小学国际理解教育，支持师生参与多种形式的国际交流活动。</w:t>
      </w:r>
      <w:bookmarkStart w:id="204" w:name="_Toc23103"/>
      <w:bookmarkStart w:id="205" w:name="_Toc28692"/>
      <w:bookmarkStart w:id="206" w:name="_Toc29387"/>
    </w:p>
    <w:p w14:paraId="2C40CBEF">
      <w:pPr>
        <w:pStyle w:val="4"/>
        <w:keepNext w:val="0"/>
        <w:keepLines w:val="0"/>
        <w:pageBreakBefore w:val="0"/>
        <w:widowControl w:val="0"/>
        <w:kinsoku/>
        <w:wordWrap/>
        <w:overflowPunct/>
        <w:topLinePunct w:val="0"/>
        <w:autoSpaceDE/>
        <w:autoSpaceDN/>
        <w:bidi w:val="0"/>
        <w:spacing w:line="560" w:lineRule="exact"/>
        <w:textAlignment w:val="auto"/>
        <w:rPr>
          <w:b w:val="0"/>
          <w:bCs w:val="0"/>
          <w:color w:val="000000" w:themeColor="text1"/>
          <w:highlight w:val="none"/>
          <w14:textFill>
            <w14:solidFill>
              <w14:schemeClr w14:val="tx1"/>
            </w14:solidFill>
          </w14:textFill>
        </w:rPr>
      </w:pPr>
      <w:bookmarkStart w:id="207" w:name="_Toc1780084366"/>
      <w:r>
        <w:rPr>
          <w:rFonts w:hint="eastAsia"/>
          <w:b w:val="0"/>
          <w:bCs w:val="0"/>
          <w:color w:val="000000" w:themeColor="text1"/>
          <w:highlight w:val="none"/>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九</w:t>
      </w:r>
      <w:r>
        <w:rPr>
          <w:rFonts w:hint="eastAsia"/>
          <w:b w:val="0"/>
          <w:bCs w:val="0"/>
          <w:color w:val="000000" w:themeColor="text1"/>
          <w:highlight w:val="none"/>
          <w14:textFill>
            <w14:solidFill>
              <w14:schemeClr w14:val="tx1"/>
            </w14:solidFill>
          </w14:textFill>
        </w:rPr>
        <w:t>）深化教育改革，增强教育发展活力</w:t>
      </w:r>
      <w:bookmarkEnd w:id="189"/>
      <w:bookmarkEnd w:id="204"/>
      <w:bookmarkEnd w:id="205"/>
      <w:bookmarkEnd w:id="206"/>
      <w:bookmarkEnd w:id="207"/>
    </w:p>
    <w:p w14:paraId="4910D38F">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bookmarkStart w:id="208" w:name="_Toc13139"/>
      <w:bookmarkStart w:id="209" w:name="_Toc4997"/>
      <w:bookmarkStart w:id="210" w:name="_Toc26628"/>
      <w:bookmarkStart w:id="211" w:name="_Toc202450602"/>
      <w:bookmarkStart w:id="212" w:name="_Toc19305"/>
      <w:bookmarkStart w:id="213" w:name="_Toc3982"/>
      <w:bookmarkStart w:id="214" w:name="_Toc16877"/>
      <w:r>
        <w:rPr>
          <w:rFonts w:hint="eastAsia" w:ascii="仿宋_GB2312" w:hAnsi="仿宋_GB2312" w:cs="仿宋_GB2312"/>
          <w:b w:val="0"/>
          <w:bCs w:val="0"/>
          <w:color w:val="000000" w:themeColor="text1"/>
          <w:highlight w:val="none"/>
          <w:lang w:val="en-US" w:eastAsia="zh-CN"/>
          <w14:textFill>
            <w14:solidFill>
              <w14:schemeClr w14:val="tx1"/>
            </w14:solidFill>
          </w14:textFill>
        </w:rPr>
        <w:t>28</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cs="仿宋_GB2312"/>
          <w:b w:val="0"/>
          <w:bCs w:val="0"/>
          <w:color w:val="000000" w:themeColor="text1"/>
          <w:highlight w:val="none"/>
          <w:lang w:eastAsia="zh-CN"/>
          <w14:textFill>
            <w14:solidFill>
              <w14:schemeClr w14:val="tx1"/>
            </w14:solidFill>
          </w14:textFill>
        </w:rPr>
        <w:t>推动育人协同方式变革。落实全员全过程全方位全领域育人要求。持续深化</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“教联体”建设</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bookmarkEnd w:id="208"/>
      <w:bookmarkEnd w:id="209"/>
      <w:r>
        <w:rPr>
          <w:rFonts w:hint="eastAsia" w:ascii="仿宋_GB2312" w:hAnsi="仿宋_GB2312" w:cs="仿宋_GB2312"/>
          <w:b w:val="0"/>
          <w:bCs w:val="0"/>
          <w:color w:val="000000" w:themeColor="text1"/>
          <w:highlight w:val="none"/>
          <w:lang w:val="en-US" w:eastAsia="zh-CN"/>
          <w14:textFill>
            <w14:solidFill>
              <w14:schemeClr w14:val="tx1"/>
            </w14:solidFill>
          </w14:textFill>
        </w:rPr>
        <w:t>打造协同育人</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新格局。以课程提质为核心，以实践育人为突破口，以队伍建设为关键，以党团队工作一体化育人实践为支撑，推动党的创新理论和中国特色社会主义建设伟大实践融入教育教学</w:t>
      </w:r>
      <w:r>
        <w:rPr>
          <w:rFonts w:hint="eastAsia" w:ascii="仿宋_GB2312" w:hAnsi="仿宋_GB2312" w:cs="仿宋_GB2312"/>
          <w:b w:val="0"/>
          <w:bCs w:val="0"/>
          <w:color w:val="000000" w:themeColor="text1"/>
          <w:highlight w:val="none"/>
          <w:lang w:val="en-US" w:eastAsia="zh-CN"/>
          <w14:textFill>
            <w14:solidFill>
              <w14:schemeClr w14:val="tx1"/>
            </w14:solidFill>
          </w14:textFill>
        </w:rPr>
        <w:t>各环节</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。纵向推进大中小学各学段有效贯通，横向推动校内校外、线上线下、</w:t>
      </w:r>
      <w:r>
        <w:rPr>
          <w:rFonts w:hint="eastAsia" w:ascii="仿宋_GB2312" w:hAnsi="仿宋_GB2312" w:cs="仿宋_GB2312"/>
          <w:b w:val="0"/>
          <w:bCs w:val="0"/>
          <w:color w:val="000000" w:themeColor="text1"/>
          <w:highlight w:val="none"/>
          <w:lang w:val="en-US" w:eastAsia="zh-CN"/>
          <w14:textFill>
            <w14:solidFill>
              <w14:schemeClr w14:val="tx1"/>
            </w14:solidFill>
          </w14:textFill>
        </w:rPr>
        <w:t>校家社</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资源有效协同。统筹大兴区的高校、科研院所、高新技术企业等资源开展多类型的合作，提升学生的综合素养。</w:t>
      </w:r>
    </w:p>
    <w:p w14:paraId="435F3220">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29</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.深化教育治理</w:t>
      </w:r>
      <w:r>
        <w:rPr>
          <w:rFonts w:hint="eastAsia" w:ascii="仿宋_GB2312" w:hAnsi="仿宋_GB2312" w:cs="仿宋_GB2312"/>
          <w:b w:val="0"/>
          <w:bCs w:val="0"/>
          <w:color w:val="000000" w:themeColor="text1"/>
          <w:highlight w:val="none"/>
          <w:lang w:eastAsia="zh-CN"/>
          <w14:textFill>
            <w14:solidFill>
              <w14:schemeClr w14:val="tx1"/>
            </w14:solidFill>
          </w14:textFill>
        </w:rPr>
        <w:t>改革</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有效利用信息技术推动教育管理现代化，提升教育决策的科学性</w:t>
      </w:r>
      <w:r>
        <w:rPr>
          <w:rFonts w:hint="eastAsia" w:ascii="仿宋_GB2312" w:hAnsi="仿宋_GB2312" w:cs="仿宋_GB2312"/>
          <w:b w:val="0"/>
          <w:bCs w:val="0"/>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落实北京市中小学教师减负清单，统筹规范督查检查、评比考核、社会事务进校园等，提升中小学校治理效能。健全教育行政</w:t>
      </w:r>
      <w:r>
        <w:rPr>
          <w:rFonts w:hint="eastAsia" w:ascii="仿宋_GB2312" w:hAnsi="仿宋_GB2312" w:cs="仿宋_GB2312"/>
          <w:b w:val="0"/>
          <w:bCs w:val="0"/>
          <w:color w:val="000000" w:themeColor="text1"/>
          <w:highlight w:val="none"/>
          <w:lang w:val="en-US" w:eastAsia="zh-CN"/>
          <w14:textFill>
            <w14:solidFill>
              <w14:schemeClr w14:val="tx1"/>
            </w14:solidFill>
          </w14:textFill>
        </w:rPr>
        <w:t>检查</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机制，推进多部门联合执法</w:t>
      </w:r>
      <w:r>
        <w:rPr>
          <w:rFonts w:hint="eastAsia" w:ascii="仿宋_GB2312" w:hAnsi="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创新实施“第一校长”带动工程，在产业发展重点区域、资源紧缺区域、农村薄弱区域为部分学校选派领导干部、优秀人才担任第一校长，带动相关学校提升办学治校整体水平。</w:t>
      </w:r>
    </w:p>
    <w:bookmarkEnd w:id="210"/>
    <w:bookmarkEnd w:id="211"/>
    <w:bookmarkEnd w:id="212"/>
    <w:bookmarkEnd w:id="213"/>
    <w:bookmarkEnd w:id="214"/>
    <w:p w14:paraId="02245ACA">
      <w:pPr>
        <w:pStyle w:val="5"/>
        <w:numPr>
          <w:ilvl w:val="0"/>
          <w:numId w:val="0"/>
        </w:numPr>
        <w:ind w:firstLine="640" w:firstLineChars="200"/>
        <w:rPr>
          <w:rFonts w:hint="eastAsia" w:ascii="仿宋_GB2312" w:hAnsi="仿宋_GB2312" w:cs="仿宋_GB2312"/>
          <w:b w:val="0"/>
          <w:bCs w:val="0"/>
          <w:color w:val="000000" w:themeColor="text1"/>
          <w:highlight w:val="none"/>
          <w:lang w:val="en-US" w:eastAsia="zh-CN"/>
          <w14:textFill>
            <w14:solidFill>
              <w14:schemeClr w14:val="tx1"/>
            </w14:solidFill>
          </w14:textFill>
        </w:rPr>
      </w:pPr>
      <w:bookmarkStart w:id="215" w:name="_Toc6198"/>
      <w:bookmarkStart w:id="216" w:name="_Toc202450603"/>
      <w:bookmarkStart w:id="217" w:name="_Toc17849"/>
      <w:bookmarkStart w:id="218" w:name="_Toc25034"/>
      <w:bookmarkStart w:id="219" w:name="_Toc460"/>
      <w:r>
        <w:rPr>
          <w:rFonts w:hint="eastAsia" w:ascii="仿宋_GB2312" w:hAnsi="仿宋_GB2312" w:cs="仿宋_GB2312"/>
          <w:b w:val="0"/>
          <w:bCs w:val="0"/>
          <w:color w:val="000000" w:themeColor="text1"/>
          <w:highlight w:val="none"/>
          <w:lang w:val="en-US" w:eastAsia="zh-CN"/>
          <w14:textFill>
            <w14:solidFill>
              <w14:schemeClr w14:val="tx1"/>
            </w14:solidFill>
          </w14:textFill>
        </w:rPr>
        <w:t>30.强化教育资源前瞻性动态调配改革，积极应对学龄人口排浪式达峰、城镇化持续推进等实际情况，做好教育资源配置前瞻布局。持续加强各学段学龄人口依次达峰预测和预警研究，探索打通硬件资源共享渠道，</w:t>
      </w:r>
      <w:r>
        <w:rPr>
          <w:rFonts w:hint="eastAsia" w:ascii="仿宋_GB2312" w:hAnsi="仿宋_GB2312" w:cs="仿宋_GB2312"/>
          <w:b w:val="0"/>
          <w:bCs w:val="0"/>
          <w:color w:val="000000" w:themeColor="text1"/>
          <w:highlight w:val="none"/>
          <w:lang w:val="en-US" w:eastAsia="zh-CN"/>
          <w14:textFill>
            <w14:solidFill>
              <w14:schemeClr w14:val="tx1"/>
            </w14:solidFill>
          </w14:textFill>
        </w:rPr>
        <w:t>支持地理位置相近的教育集团成员校根据学位富余情况统筹相互调剂使用校舍资源。推动低学段符合条件的教师补充到中小学缺编单位，</w:t>
      </w:r>
      <w:r>
        <w:rPr>
          <w:rFonts w:hint="eastAsia" w:ascii="仿宋_GB2312" w:hAnsi="仿宋_GB2312" w:cs="仿宋_GB2312"/>
          <w:b w:val="0"/>
          <w:bCs w:val="0"/>
          <w:color w:val="000000" w:themeColor="text1"/>
          <w:highlight w:val="none"/>
          <w:lang w:val="en-US" w:eastAsia="zh-CN"/>
          <w14:textFill>
            <w14:solidFill>
              <w14:schemeClr w14:val="tx1"/>
            </w14:solidFill>
          </w14:textFill>
        </w:rPr>
        <w:t>动态调整学段间师资结构，达到“合理配置，适度超前”。</w:t>
      </w:r>
    </w:p>
    <w:p w14:paraId="433EA8C1">
      <w:pPr>
        <w:pStyle w:val="5"/>
        <w:numPr>
          <w:ilvl w:val="0"/>
          <w:numId w:val="0"/>
        </w:numPr>
        <w:ind w:firstLine="640" w:firstLineChars="200"/>
        <w:rPr>
          <w:rFonts w:hint="eastAsia"/>
          <w:highlight w:val="none"/>
          <w:lang w:eastAsia="zh-CN"/>
        </w:rPr>
      </w:pPr>
      <w:r>
        <w:rPr>
          <w:rFonts w:hint="eastAsia" w:ascii="仿宋_GB2312" w:hAnsi="仿宋_GB2312" w:cs="仿宋_GB2312"/>
          <w:b w:val="0"/>
          <w:bCs w:val="0"/>
          <w:color w:val="000000" w:themeColor="text1"/>
          <w:highlight w:val="none"/>
          <w:lang w:val="en-US" w:eastAsia="zh-CN"/>
          <w14:textFill>
            <w14:solidFill>
              <w14:schemeClr w14:val="tx1"/>
            </w14:solidFill>
          </w14:textFill>
        </w:rPr>
        <w:t>31</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w:t>
      </w:r>
      <w:r>
        <w:rPr>
          <w:rFonts w:hint="eastAsia" w:ascii="仿宋_GB2312" w:hAnsi="仿宋_GB2312" w:cs="仿宋_GB2312"/>
          <w:b w:val="0"/>
          <w:bCs w:val="0"/>
          <w:color w:val="000000" w:themeColor="text1"/>
          <w:highlight w:val="none"/>
          <w:lang w:eastAsia="zh-CN"/>
          <w14:textFill>
            <w14:solidFill>
              <w14:schemeClr w14:val="tx1"/>
            </w14:solidFill>
          </w14:textFill>
        </w:rPr>
        <w:t>探索</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教育评价</w:t>
      </w:r>
      <w:r>
        <w:rPr>
          <w:rFonts w:hint="eastAsia" w:ascii="仿宋_GB2312" w:hAnsi="仿宋_GB2312" w:cs="仿宋_GB2312"/>
          <w:b w:val="0"/>
          <w:bCs w:val="0"/>
          <w:color w:val="000000" w:themeColor="text1"/>
          <w:highlight w:val="none"/>
          <w:lang w:val="en-US" w:eastAsia="zh-CN"/>
          <w14:textFill>
            <w14:solidFill>
              <w14:schemeClr w14:val="tx1"/>
            </w14:solidFill>
          </w14:textFill>
        </w:rPr>
        <w:t>改革</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。完善以发展素质教育为导向的学校办学质量评价体系。探索对各教育集团开展</w:t>
      </w:r>
      <w:r>
        <w:rPr>
          <w:rFonts w:hint="eastAsia" w:ascii="仿宋_GB2312" w:hAnsi="仿宋_GB2312" w:cs="仿宋_GB2312"/>
          <w:b w:val="0"/>
          <w:bCs w:val="0"/>
          <w:color w:val="000000" w:themeColor="text1"/>
          <w:highlight w:val="none"/>
          <w:lang w:eastAsia="zh-CN"/>
          <w14:textFill>
            <w14:solidFill>
              <w14:schemeClr w14:val="tx1"/>
            </w14:solidFill>
          </w14:textFill>
        </w:rPr>
        <w:t>成效一体评估</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，全面提升教育质量。深入落实北京市中高考改革，加强核心素养立意的考试评价研究。加强教学评一体化的研究和实践，</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推动初中学生综合素质评价在高中阶段招生中的运用</w:t>
      </w:r>
      <w:r>
        <w:rPr>
          <w:rFonts w:hint="eastAsia" w:ascii="仿宋_GB2312" w:hAnsi="仿宋_GB2312" w:eastAsia="仿宋_GB2312" w:cs="仿宋_GB2312"/>
          <w:b w:val="0"/>
          <w:bCs w:val="0"/>
          <w:color w:val="000000" w:themeColor="text1"/>
          <w:highlight w:val="none"/>
          <w:lang w:eastAsia="zh-CN"/>
          <w14:textFill>
            <w14:solidFill>
              <w14:schemeClr w14:val="tx1"/>
            </w14:solidFill>
          </w14:textFill>
        </w:rPr>
        <w:t>，完善高中多元评价方式。深化教育督导体制机制改革，健全以经常性督导规范常规、以专项督导推进重点工作、以综合督导引领办学方向等多种模式相结合的督导评价工作体制。</w:t>
      </w:r>
      <w:bookmarkEnd w:id="215"/>
      <w:bookmarkEnd w:id="216"/>
      <w:bookmarkEnd w:id="217"/>
      <w:bookmarkEnd w:id="218"/>
      <w:bookmarkEnd w:id="219"/>
    </w:p>
    <w:p w14:paraId="2D23AF36">
      <w:pPr>
        <w:numPr>
          <w:ilvl w:val="0"/>
          <w:numId w:val="1"/>
        </w:numPr>
        <w:ind w:left="440" w:leftChars="0" w:firstLineChars="0"/>
        <w:outlineLvl w:val="1"/>
        <w:rPr>
          <w:rFonts w:hint="eastAsia" w:ascii="楷体_GB2312" w:hAnsi="楷体_GB2312" w:eastAsia="楷体_GB2312" w:cs="楷体_GB2312"/>
          <w:highlight w:val="none"/>
          <w:lang w:val="en-US" w:eastAsia="zh-CN"/>
        </w:rPr>
      </w:pPr>
      <w:bookmarkStart w:id="220" w:name="_Toc1283253005"/>
      <w:r>
        <w:rPr>
          <w:rFonts w:hint="eastAsia" w:ascii="楷体_GB2312" w:hAnsi="楷体_GB2312" w:eastAsia="楷体_GB2312" w:cs="楷体_GB2312"/>
          <w:highlight w:val="none"/>
          <w:lang w:eastAsia="zh-CN"/>
        </w:rPr>
        <w:t>强化协同治理，筑牢</w:t>
      </w:r>
      <w:r>
        <w:rPr>
          <w:rFonts w:hint="eastAsia" w:ascii="楷体_GB2312" w:hAnsi="楷体_GB2312" w:eastAsia="楷体_GB2312" w:cs="楷体_GB2312"/>
          <w:highlight w:val="none"/>
          <w:lang w:val="en-US" w:eastAsia="zh-CN"/>
        </w:rPr>
        <w:t>平安校园防线</w:t>
      </w:r>
      <w:bookmarkEnd w:id="220"/>
    </w:p>
    <w:p w14:paraId="7A526C48">
      <w:pPr>
        <w:pStyle w:val="2"/>
        <w:numPr>
          <w:ilvl w:val="-1"/>
          <w:numId w:val="0"/>
        </w:numPr>
        <w:ind w:firstLine="640" w:firstLineChars="200"/>
        <w:rPr>
          <w:rFonts w:hint="eastAsia" w:ascii="仿宋_GB2312" w:hAnsi="仿宋_GB2312" w:eastAsia="仿宋_GB2312" w:cs="仿宋_GB2312"/>
          <w:highlight w:val="none"/>
          <w:lang w:val="en-US" w:eastAsia="zh-CN"/>
        </w:rPr>
      </w:pPr>
      <w:bookmarkStart w:id="221" w:name="_Toc454988214"/>
      <w:r>
        <w:rPr>
          <w:rFonts w:hint="eastAsia" w:ascii="仿宋_GB2312" w:hAnsi="仿宋_GB2312" w:eastAsia="仿宋_GB2312" w:cs="仿宋_GB2312"/>
          <w:highlight w:val="none"/>
          <w:lang w:val="en-US" w:eastAsia="zh-CN"/>
        </w:rPr>
        <w:t>32.强化校园安全治理。优化安全稳定工作机制，持续深入推进平安校园建设工作，分批次推进智能安防系统进校园。强化联动检查，深化校地协同，压实各方安全责任，防范校园恶性安全事件。全面深化宪法法治、法律法规、国家安全教育，深化学校国防教育，持续加强意识形态阵地建设。推动落实法治副校长制度，强化“法治副校长”进校园的宣传力度，提高教育法治化水平。</w:t>
      </w:r>
      <w:bookmarkEnd w:id="221"/>
    </w:p>
    <w:p w14:paraId="68CE3A4A">
      <w:pPr>
        <w:pStyle w:val="2"/>
        <w:numPr>
          <w:ilvl w:val="-1"/>
          <w:numId w:val="0"/>
        </w:numPr>
        <w:ind w:firstLine="640" w:firstLineChars="200"/>
        <w:rPr>
          <w:rFonts w:hint="default" w:ascii="仿宋_GB2312" w:hAnsi="仿宋_GB2312" w:eastAsia="仿宋_GB2312" w:cs="仿宋_GB2312"/>
          <w:highlight w:val="none"/>
          <w:lang w:val="en-US" w:eastAsia="zh-CN"/>
        </w:rPr>
      </w:pPr>
      <w:bookmarkStart w:id="222" w:name="_Toc1945129378"/>
      <w:r>
        <w:rPr>
          <w:rFonts w:hint="eastAsia" w:ascii="仿宋_GB2312" w:hAnsi="仿宋_GB2312" w:eastAsia="仿宋_GB2312" w:cs="仿宋_GB2312"/>
          <w:highlight w:val="none"/>
          <w:lang w:val="en-US" w:eastAsia="zh-CN"/>
        </w:rPr>
        <w:t>33.建设安全可靠的韧性校园。加强中小学校和幼儿园周边综合治理，持续推进通学公交工作。完善校园餐服务管理体系，实施“校校有食堂”行动计划，通过大宗集采全覆盖、自营食堂广落地，智能设备强赋能，全面提升服务保障水平，确保学生用餐安全卫生、营养健康。建立基层单位“接诉即办”工作队伍，优化办件流程，利用大数据分析诉求趋势，推动“接诉即办”向“主动治理、根源治理、未诉先办、不诉自办”转变。</w:t>
      </w:r>
      <w:bookmarkEnd w:id="222"/>
    </w:p>
    <w:p w14:paraId="7F5408DB">
      <w:pPr>
        <w:pStyle w:val="3"/>
        <w:keepNext w:val="0"/>
        <w:keepLines w:val="0"/>
        <w:pageBreakBefore w:val="0"/>
        <w:widowControl w:val="0"/>
        <w:kinsoku/>
        <w:wordWrap/>
        <w:overflowPunct/>
        <w:topLinePunct w:val="0"/>
        <w:autoSpaceDE/>
        <w:autoSpaceDN/>
        <w:bidi w:val="0"/>
        <w:spacing w:line="560" w:lineRule="exact"/>
        <w:ind w:firstLine="640"/>
        <w:textAlignment w:val="auto"/>
        <w:rPr>
          <w:rFonts w:hint="eastAsia" w:eastAsia="黑体"/>
          <w:color w:val="000000" w:themeColor="text1"/>
          <w:highlight w:val="none"/>
          <w:lang w:eastAsia="zh-CN"/>
          <w14:textFill>
            <w14:solidFill>
              <w14:schemeClr w14:val="tx1"/>
            </w14:solidFill>
          </w14:textFill>
        </w:rPr>
      </w:pPr>
      <w:bookmarkStart w:id="223" w:name="_Toc645897765"/>
      <w:r>
        <w:rPr>
          <w:rFonts w:hint="eastAsia"/>
          <w:color w:val="000000" w:themeColor="text1"/>
          <w:highlight w:val="none"/>
          <w14:textFill>
            <w14:solidFill>
              <w14:schemeClr w14:val="tx1"/>
            </w14:solidFill>
          </w14:textFill>
        </w:rPr>
        <w:t>四、保障</w:t>
      </w:r>
      <w:r>
        <w:rPr>
          <w:rFonts w:hint="eastAsia"/>
          <w:color w:val="000000" w:themeColor="text1"/>
          <w:highlight w:val="none"/>
          <w:lang w:eastAsia="zh-CN"/>
          <w14:textFill>
            <w14:solidFill>
              <w14:schemeClr w14:val="tx1"/>
            </w14:solidFill>
          </w14:textFill>
        </w:rPr>
        <w:t>实施</w:t>
      </w:r>
      <w:bookmarkEnd w:id="223"/>
    </w:p>
    <w:p w14:paraId="4C481746">
      <w:pPr>
        <w:bidi w:val="0"/>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sectPr>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坚持党对规划研制、实施、督导等环节的全面领导，各部门各负其责，充分发挥群团组织、社会组织积极作用，形成合力，统筹推进教育高质量发展。聚焦规划落实落地，建立规划实施责任制，强化与年度计划和重点工作的有效衔接，确保规划提出的发展目标、重点任务有效实施。对规划实施情况开展跟踪监测和中期评估，主动接受社会监督。</w:t>
      </w:r>
    </w:p>
    <w:p w14:paraId="34DF9B69">
      <w:pPr>
        <w:ind w:firstLine="3520" w:firstLineChars="800"/>
        <w:jc w:val="both"/>
        <w:rPr>
          <w:rFonts w:hint="eastAsia" w:ascii="黑体" w:hAnsi="黑体" w:eastAsia="黑体" w:cs="黑体"/>
          <w:sz w:val="44"/>
          <w:szCs w:val="44"/>
          <w:highlight w:val="none"/>
          <w:lang w:eastAsia="zh-CN"/>
        </w:rPr>
      </w:pPr>
      <w:r>
        <w:rPr>
          <w:rFonts w:hint="eastAsia" w:ascii="黑体" w:hAnsi="黑体" w:eastAsia="黑体" w:cs="黑体"/>
          <w:sz w:val="44"/>
          <w:szCs w:val="44"/>
          <w:highlight w:val="none"/>
          <w:lang w:eastAsia="zh-CN"/>
        </w:rPr>
        <w:t>名词解释</w:t>
      </w:r>
    </w:p>
    <w:p w14:paraId="78CA27F1">
      <w:pPr>
        <w:pStyle w:val="2"/>
        <w:ind w:left="0" w:leftChars="0" w:firstLine="0" w:firstLineChars="0"/>
        <w:rPr>
          <w:rFonts w:hint="eastAsia" w:ascii="仿宋_GB2312" w:hAnsi="仿宋_GB2312" w:eastAsia="仿宋_GB2312" w:cs="仿宋_GB2312"/>
          <w:highlight w:val="none"/>
          <w:lang w:eastAsia="zh-CN"/>
        </w:rPr>
      </w:pPr>
      <w:bookmarkStart w:id="224" w:name="_Toc73900770"/>
      <w:r>
        <w:rPr>
          <w:rFonts w:hint="eastAsia"/>
          <w:highlight w:val="none"/>
          <w:lang w:eastAsia="zh-CN"/>
        </w:rPr>
        <w:t>【“1+5+N”】</w:t>
      </w:r>
      <w:r>
        <w:rPr>
          <w:rFonts w:hint="eastAsia" w:ascii="仿宋_GB2312" w:hAnsi="仿宋_GB2312" w:eastAsia="仿宋_GB2312" w:cs="仿宋_GB2312"/>
          <w:highlight w:val="none"/>
          <w:lang w:eastAsia="zh-CN"/>
        </w:rPr>
        <w:t>指《大兴区关于建立中小学校党组织领导的校长负责制的落实方案（试行）》及配套文本，“N”是大兴特色工作。</w:t>
      </w:r>
      <w:bookmarkEnd w:id="224"/>
    </w:p>
    <w:p w14:paraId="22DB36EA">
      <w:pPr>
        <w:pStyle w:val="2"/>
        <w:ind w:left="0" w:leftChars="0" w:firstLine="0" w:firstLineChars="0"/>
        <w:rPr>
          <w:rFonts w:hint="eastAsia" w:ascii="仿宋_GB2312" w:hAnsi="仿宋_GB2312" w:eastAsia="仿宋_GB2312" w:cs="仿宋_GB2312"/>
          <w:highlight w:val="none"/>
          <w:lang w:eastAsia="zh-CN"/>
        </w:rPr>
      </w:pPr>
      <w:bookmarkStart w:id="225" w:name="_Toc804693424"/>
      <w:r>
        <w:rPr>
          <w:rFonts w:hint="eastAsia"/>
          <w:highlight w:val="none"/>
          <w:lang w:eastAsia="zh-CN"/>
        </w:rPr>
        <w:t>【“‘动’起来的童年”】</w:t>
      </w:r>
      <w:r>
        <w:rPr>
          <w:rFonts w:hint="eastAsia" w:ascii="仿宋_GB2312" w:hAnsi="仿宋_GB2312" w:eastAsia="仿宋_GB2312" w:cs="仿宋_GB2312"/>
          <w:highlight w:val="none"/>
          <w:lang w:val="en-US" w:eastAsia="zh-CN"/>
        </w:rPr>
        <w:t>指</w:t>
      </w:r>
      <w:r>
        <w:rPr>
          <w:rFonts w:hint="eastAsia" w:ascii="仿宋_GB2312" w:hAnsi="仿宋_GB2312" w:eastAsia="仿宋_GB2312" w:cs="仿宋_GB2312"/>
          <w:highlight w:val="none"/>
          <w:lang w:eastAsia="zh-CN"/>
        </w:rPr>
        <w:t>强调通过身体、思维、情感与社交的多维激活与联动，引导幼儿在游戏中实现经验的自主建构与身心的全面发展。</w:t>
      </w:r>
      <w:bookmarkEnd w:id="225"/>
    </w:p>
    <w:p w14:paraId="4E55F955">
      <w:pPr>
        <w:pStyle w:val="2"/>
        <w:ind w:left="0" w:leftChars="0" w:firstLine="0" w:firstLineChars="0"/>
        <w:rPr>
          <w:rFonts w:hint="eastAsia" w:ascii="仿宋_GB2312" w:hAnsi="仿宋_GB2312" w:eastAsia="仿宋_GB2312" w:cs="仿宋_GB2312"/>
          <w:highlight w:val="none"/>
          <w:lang w:eastAsia="zh-CN"/>
        </w:rPr>
      </w:pPr>
      <w:bookmarkStart w:id="226" w:name="_Toc1777852009"/>
      <w:r>
        <w:rPr>
          <w:rFonts w:hint="eastAsia"/>
          <w:highlight w:val="none"/>
          <w:lang w:eastAsia="zh-CN"/>
        </w:rPr>
        <w:t>【“123”工作法】</w:t>
      </w:r>
      <w:r>
        <w:rPr>
          <w:rFonts w:hint="eastAsia" w:ascii="仿宋_GB2312" w:hAnsi="仿宋_GB2312" w:eastAsia="仿宋_GB2312" w:cs="仿宋_GB2312"/>
          <w:highlight w:val="none"/>
          <w:lang w:val="en-US" w:eastAsia="zh-CN"/>
        </w:rPr>
        <w:t>指把握一个要点，让幼儿充分“动”起来。坚持两个原则，坚持以儿童为本，坚持以游戏为基本活动。做优三条路径：尽可能创设适宜幼儿自主游戏的环境条件，尽可能构建平等尊重、双向互动的师幼关系，尽可能解放儿童、放手儿童、相信儿童、尊重儿童。</w:t>
      </w:r>
      <w:bookmarkEnd w:id="226"/>
    </w:p>
    <w:p w14:paraId="3123674E">
      <w:pPr>
        <w:pStyle w:val="2"/>
        <w:ind w:left="0" w:leftChars="0" w:firstLine="0" w:firstLineChars="0"/>
        <w:rPr>
          <w:rFonts w:hint="eastAsia" w:ascii="仿宋_GB2312" w:hAnsi="仿宋_GB2312" w:eastAsia="仿宋_GB2312" w:cs="仿宋_GB2312"/>
          <w:highlight w:val="none"/>
          <w:lang w:eastAsia="zh-CN"/>
        </w:rPr>
      </w:pPr>
      <w:bookmarkStart w:id="227" w:name="_Toc271250905"/>
      <w:r>
        <w:rPr>
          <w:rFonts w:hint="eastAsia"/>
          <w:highlight w:val="none"/>
          <w:lang w:eastAsia="zh-CN"/>
        </w:rPr>
        <w:t>【“领航人才行动计划”】</w:t>
      </w:r>
      <w:r>
        <w:rPr>
          <w:rFonts w:hint="eastAsia" w:ascii="仿宋_GB2312" w:hAnsi="仿宋_GB2312" w:eastAsia="仿宋_GB2312" w:cs="仿宋_GB2312"/>
          <w:highlight w:val="none"/>
          <w:lang w:val="en-US" w:eastAsia="zh-CN"/>
        </w:rPr>
        <w:t>指大兴区教育系统推进“教育强区”建设的一项核心人才工程‌，2024年4月16日正式启动，该计划</w:t>
      </w:r>
      <w:r>
        <w:rPr>
          <w:rFonts w:hint="eastAsia" w:ascii="仿宋_GB2312" w:hAnsi="仿宋_GB2312" w:eastAsia="仿宋_GB2312" w:cs="仿宋_GB2312"/>
          <w:highlight w:val="none"/>
          <w:lang w:eastAsia="zh-CN"/>
        </w:rPr>
        <w:t>聚焦学校管理、课程教学改革、中高考命题、数字化融合与创新等十个研究项目，组建由特级校长、特级教师、正高级教师、“新国门”教育领军人才、市级学科带头人等组成的领航人才团队，采取“揭榜挂帅、擂台比武”方式开展实践研究，推动大兴教育改革发展。</w:t>
      </w:r>
      <w:bookmarkEnd w:id="227"/>
    </w:p>
    <w:p w14:paraId="7C93F21E">
      <w:pPr>
        <w:pStyle w:val="2"/>
        <w:ind w:left="0" w:leftChars="0" w:firstLine="0" w:firstLineChars="0"/>
        <w:rPr>
          <w:rFonts w:hint="eastAsia" w:ascii="仿宋_GB2312" w:hAnsi="仿宋_GB2312" w:eastAsia="仿宋_GB2312" w:cs="仿宋_GB2312"/>
          <w:highlight w:val="none"/>
          <w:lang w:eastAsia="zh-CN"/>
        </w:rPr>
      </w:pPr>
      <w:bookmarkStart w:id="228" w:name="_Toc1953661401"/>
      <w:r>
        <w:rPr>
          <w:rFonts w:hint="eastAsia"/>
          <w:highlight w:val="none"/>
          <w:lang w:eastAsia="zh-CN"/>
        </w:rPr>
        <w:t>【“三区一门户”】</w:t>
      </w:r>
      <w:r>
        <w:rPr>
          <w:rFonts w:hint="eastAsia" w:ascii="仿宋_GB2312" w:hAnsi="仿宋_GB2312" w:eastAsia="仿宋_GB2312" w:cs="仿宋_GB2312"/>
          <w:highlight w:val="none"/>
          <w:lang w:eastAsia="zh-CN"/>
        </w:rPr>
        <w:t>是指在新版北京城市总体规划中，市委赋予大兴区“三区一门户”的功能定位，即：面向京津冀的协同发展示范区，具有全球影响力的科技创新引领区，首都南部国际交往新门户，城乡发展深化改革先行区。</w:t>
      </w:r>
      <w:bookmarkEnd w:id="228"/>
    </w:p>
    <w:p w14:paraId="41EE6597">
      <w:pPr>
        <w:bidi w:val="0"/>
        <w:ind w:left="0" w:leftChars="0" w:firstLine="0" w:firstLineChars="0"/>
        <w:rPr>
          <w:rFonts w:hint="eastAsia" w:ascii="仿宋_GB2312" w:hAnsi="仿宋_GB2312" w:eastAsia="仿宋_GB2312" w:cs="仿宋_GB2312"/>
          <w:kern w:val="2"/>
          <w:sz w:val="32"/>
          <w:szCs w:val="32"/>
          <w:highlight w:val="none"/>
          <w:lang w:val="en-US" w:eastAsia="zh-CN" w:bidi="ar-SA"/>
        </w:rPr>
      </w:pPr>
      <w:r>
        <w:rPr>
          <w:rFonts w:hint="eastAsia" w:ascii="黑体" w:hAnsi="黑体" w:eastAsia="黑体" w:cs="仿宋_GB2312"/>
          <w:kern w:val="2"/>
          <w:sz w:val="32"/>
          <w:szCs w:val="32"/>
          <w:highlight w:val="none"/>
          <w:lang w:val="en-US" w:eastAsia="zh-CN" w:bidi="ar-SA"/>
        </w:rPr>
        <w:t>【6+5+3】</w:t>
      </w:r>
      <w:r>
        <w:rPr>
          <w:rFonts w:hint="eastAsia" w:ascii="仿宋_GB2312" w:hAnsi="仿宋_GB2312" w:eastAsia="仿宋_GB2312" w:cs="仿宋_GB2312"/>
          <w:kern w:val="2"/>
          <w:sz w:val="32"/>
          <w:szCs w:val="32"/>
          <w:highlight w:val="none"/>
          <w:lang w:val="en-US" w:eastAsia="zh-CN" w:bidi="ar-SA"/>
        </w:rPr>
        <w:t>六大产业功能区：大兴国际机场临空经济区、大兴生物医药产业基地、北京数字经济示范区、国际氢能示范区、中日创新合作示范区、北京商业航天产业基地；五个特色产业集聚区：荟聚商务科技集聚区、国家新媒体产业基地、念坛国际金融商务区、京南物流基地、京南农林科技园；三大发展新片区：花园城市永定湾、大兴国际旅游度假区、产业协同发展示范区。</w:t>
      </w:r>
    </w:p>
    <w:p w14:paraId="04152C37">
      <w:pPr>
        <w:pStyle w:val="2"/>
        <w:ind w:left="0" w:leftChars="0" w:firstLine="0" w:firstLineChars="0"/>
        <w:rPr>
          <w:rFonts w:hint="eastAsia" w:ascii="仿宋_GB2312" w:hAnsi="仿宋_GB2312" w:eastAsia="仿宋_GB2312" w:cs="仿宋_GB2312"/>
          <w:kern w:val="2"/>
          <w:sz w:val="32"/>
          <w:szCs w:val="32"/>
          <w:highlight w:val="none"/>
          <w:lang w:val="en-US" w:eastAsia="zh-CN" w:bidi="ar-SA"/>
        </w:rPr>
      </w:pPr>
      <w:bookmarkStart w:id="229" w:name="_Toc162203977"/>
      <w:r>
        <w:rPr>
          <w:rFonts w:hint="eastAsia" w:ascii="黑体" w:hAnsi="黑体" w:eastAsia="黑体" w:cs="黑体"/>
          <w:kern w:val="2"/>
          <w:sz w:val="32"/>
          <w:szCs w:val="32"/>
          <w:highlight w:val="none"/>
          <w:lang w:val="en-US" w:eastAsia="zh-CN" w:bidi="ar-SA"/>
        </w:rPr>
        <w:t>【“两区”建设】</w:t>
      </w:r>
      <w:r>
        <w:rPr>
          <w:rFonts w:hint="eastAsia" w:ascii="仿宋_GB2312" w:hAnsi="仿宋_GB2312" w:eastAsia="仿宋_GB2312" w:cs="仿宋_GB2312"/>
          <w:kern w:val="2"/>
          <w:sz w:val="32"/>
          <w:szCs w:val="32"/>
          <w:highlight w:val="none"/>
          <w:lang w:val="en-US" w:eastAsia="zh-CN" w:bidi="ar-SA"/>
        </w:rPr>
        <w:t>指推进‌国家服务业扩大开放综合示范区‌和‌中国（北京）自由贸易试验区高端产业片区大兴组团‌建设。</w:t>
      </w:r>
      <w:bookmarkEnd w:id="229"/>
    </w:p>
    <w:p w14:paraId="27E872FA">
      <w:pPr>
        <w:pStyle w:val="2"/>
        <w:ind w:left="0" w:leftChars="0" w:firstLine="0" w:firstLineChars="0"/>
        <w:rPr>
          <w:rFonts w:hint="default" w:ascii="仿宋_GB2312" w:hAnsi="仿宋_GB2312" w:eastAsia="仿宋_GB2312" w:cs="仿宋_GB2312"/>
          <w:kern w:val="2"/>
          <w:sz w:val="32"/>
          <w:szCs w:val="32"/>
          <w:highlight w:val="none"/>
          <w:lang w:val="en-US" w:eastAsia="zh-CN" w:bidi="ar-SA"/>
        </w:rPr>
      </w:pPr>
      <w:bookmarkStart w:id="230" w:name="_Toc1005493396"/>
      <w:r>
        <w:rPr>
          <w:rFonts w:hint="eastAsia" w:ascii="黑体" w:hAnsi="黑体" w:eastAsia="黑体" w:cs="黑体"/>
          <w:kern w:val="2"/>
          <w:sz w:val="32"/>
          <w:szCs w:val="32"/>
          <w:highlight w:val="none"/>
          <w:lang w:val="en-US" w:eastAsia="zh-CN" w:bidi="ar-SA"/>
        </w:rPr>
        <w:t>【“人工智能+教育”】</w:t>
      </w:r>
      <w:r>
        <w:rPr>
          <w:rFonts w:hint="eastAsia" w:ascii="仿宋_GB2312" w:hAnsi="仿宋_GB2312" w:eastAsia="仿宋_GB2312" w:cs="仿宋_GB2312"/>
          <w:kern w:val="2"/>
          <w:sz w:val="32"/>
          <w:szCs w:val="32"/>
          <w:highlight w:val="none"/>
          <w:lang w:val="en-US" w:eastAsia="zh-CN" w:bidi="ar-SA"/>
        </w:rPr>
        <w:t>指2026年4月2日，教育部、国家发展改革委、工业和信息化部、科技部、国家数据局印发《“人工智能+教育”行动计划》中的主要行动计划。</w:t>
      </w:r>
      <w:bookmarkEnd w:id="230"/>
    </w:p>
    <w:p w14:paraId="1C35971D">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宋体" w:eastAsia="黑体" w:cs="黑体"/>
          <w:color w:val="000000"/>
          <w:kern w:val="2"/>
          <w:sz w:val="32"/>
          <w:szCs w:val="32"/>
          <w:highlight w:val="none"/>
          <w:lang w:val="en-US" w:eastAsia="zh-CN" w:bidi="ar-SA"/>
        </w:rPr>
        <w:t>【“区管校聘”机制】</w:t>
      </w:r>
      <w:r>
        <w:rPr>
          <w:rFonts w:hint="eastAsia" w:ascii="仿宋_GB2312" w:hAnsi="仿宋_GB2312" w:eastAsia="仿宋_GB2312" w:cs="仿宋_GB2312"/>
          <w:color w:val="000000"/>
          <w:kern w:val="2"/>
          <w:sz w:val="32"/>
          <w:szCs w:val="32"/>
          <w:highlight w:val="none"/>
          <w:lang w:val="en-US" w:eastAsia="zh-CN" w:bidi="ar-SA"/>
        </w:rPr>
        <w:t>指区级统筹管编制、岗位、人事关系，学校负责聘用、使用、日常考核；打通区内教师跨校、跨学区、教育集团交流轮岗，畅通区域、教联体内教师有序流动，实现师资动态调配，夯实优质均衡的师资制度基础。</w:t>
      </w:r>
    </w:p>
    <w:p w14:paraId="4823DEA6">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【“双减”】</w:t>
      </w:r>
      <w:r>
        <w:rPr>
          <w:rFonts w:hint="eastAsia" w:ascii="仿宋_GB2312" w:hAnsi="仿宋_GB2312" w:eastAsia="仿宋_GB2312" w:cs="仿宋_GB2312"/>
          <w:color w:val="000000"/>
          <w:kern w:val="2"/>
          <w:sz w:val="32"/>
          <w:szCs w:val="32"/>
          <w:highlight w:val="none"/>
          <w:lang w:val="en-US" w:eastAsia="zh-CN" w:bidi="ar-SA"/>
        </w:rPr>
        <w:t>指减轻义务教育阶段学生作业负担和校外培训负担‌，是2021年7月由中共中央办公厅、国务院办公厅印发政策正式提出的教育改革举措。</w:t>
      </w:r>
    </w:p>
    <w:p w14:paraId="5152BB45">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黑体" w:hAnsi="黑体" w:eastAsia="黑体" w:cs="黑体"/>
          <w:color w:val="0000FF"/>
          <w:kern w:val="2"/>
          <w:sz w:val="32"/>
          <w:szCs w:val="32"/>
          <w:highlight w:val="none"/>
          <w:lang w:val="en-US" w:eastAsia="zh-CN" w:bidi="ar-SA"/>
        </w:rPr>
      </w:pPr>
      <w:r>
        <w:rPr>
          <w:rFonts w:hint="eastAsia" w:ascii="黑体" w:hAnsi="黑体" w:eastAsia="黑体" w:cs="黑体"/>
          <w:b/>
          <w:bCs/>
          <w:color w:val="000000" w:themeColor="text1"/>
          <w:kern w:val="2"/>
          <w:sz w:val="32"/>
          <w:szCs w:val="32"/>
          <w:highlight w:val="none"/>
          <w:lang w:val="en-US" w:eastAsia="zh-CN" w:bidi="ar-SA"/>
          <w14:textFill>
            <w14:solidFill>
              <w14:schemeClr w14:val="tx1"/>
            </w14:solidFill>
          </w14:textFill>
        </w:rPr>
        <w:t>【"1+8+N"】</w:t>
      </w:r>
      <w:r>
        <w:rPr>
          <w:rFonts w:hint="eastAsia" w:ascii="仿宋_GB2312" w:hAnsi="仿宋_GB2312" w:eastAsia="仿宋_GB2312" w:cs="仿宋_GB2312"/>
          <w:color w:val="000000"/>
          <w:kern w:val="2"/>
          <w:sz w:val="32"/>
          <w:szCs w:val="32"/>
          <w:highlight w:val="none"/>
          <w:lang w:val="en-US" w:eastAsia="zh-CN" w:bidi="ar-SA"/>
        </w:rPr>
        <w:t>指以1个区级“红色先锋成长学院”为引领，8个党团队工作一体化基地校（一中、兴华、孙村、北印、庞一、安定、四幼、九幼）为特色，全面开展党建带团建带队建的工作模式。</w:t>
      </w:r>
    </w:p>
    <w:p w14:paraId="49E39CDD">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【“重走三条路线”】</w:t>
      </w:r>
      <w:r>
        <w:rPr>
          <w:rFonts w:hint="eastAsia" w:ascii="仿宋_GB2312" w:hAnsi="仿宋_GB2312" w:eastAsia="仿宋_GB2312" w:cs="仿宋_GB2312"/>
          <w:color w:val="000000"/>
          <w:kern w:val="2"/>
          <w:sz w:val="32"/>
          <w:szCs w:val="32"/>
          <w:highlight w:val="none"/>
          <w:lang w:val="en-US" w:eastAsia="zh-CN" w:bidi="ar-SA"/>
        </w:rPr>
        <w:t>传承红色基因路线、实践绿色生态路线、体验蓝色科技路线</w:t>
      </w:r>
    </w:p>
    <w:p w14:paraId="31E1E4F6">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宋体" w:eastAsia="黑体" w:cs="黑体"/>
          <w:color w:val="000000" w:themeColor="text1"/>
          <w:sz w:val="32"/>
          <w:szCs w:val="32"/>
          <w:highlight w:val="none"/>
          <w:lang w:eastAsia="zh-CN"/>
          <w14:textFill>
            <w14:solidFill>
              <w14:schemeClr w14:val="tx1"/>
            </w14:solidFill>
          </w14:textFill>
        </w:rPr>
        <w:t>【“身心健康二十条”】</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指</w:t>
      </w:r>
      <w:r>
        <w:rPr>
          <w:rFonts w:hint="eastAsia" w:ascii="仿宋_GB2312" w:hAnsi="仿宋_GB2312" w:eastAsia="仿宋_GB2312" w:cs="仿宋_GB2312"/>
          <w:color w:val="000000"/>
          <w:kern w:val="2"/>
          <w:sz w:val="32"/>
          <w:szCs w:val="32"/>
          <w:highlight w:val="none"/>
          <w:lang w:val="en-US" w:eastAsia="zh-CN" w:bidi="ar-SA"/>
        </w:rPr>
        <w:t>北京市2025年5月发布的《关于促进中小学生身心健康发展的若干意见》</w:t>
      </w:r>
    </w:p>
    <w:p w14:paraId="79CFC384">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w:t>
      </w:r>
      <w:r>
        <w:rPr>
          <w:rFonts w:hint="eastAsia" w:ascii="黑体" w:hAnsi="宋体" w:eastAsia="黑体" w:cs="黑体"/>
          <w:color w:val="000000" w:themeColor="text1"/>
          <w:sz w:val="32"/>
          <w:szCs w:val="32"/>
          <w:highlight w:val="none"/>
          <w:lang w:val="en-US" w:eastAsia="zh-CN"/>
          <w14:textFill>
            <w14:solidFill>
              <w14:schemeClr w14:val="tx1"/>
            </w14:solidFill>
          </w14:textFill>
        </w:rPr>
        <w:t>“体育八条”】</w:t>
      </w:r>
      <w:r>
        <w:rPr>
          <w:rFonts w:hint="eastAsia" w:ascii="仿宋_GB2312" w:hAnsi="仿宋_GB2312" w:eastAsia="仿宋_GB2312" w:cs="仿宋_GB2312"/>
          <w:color w:val="000000"/>
          <w:kern w:val="2"/>
          <w:sz w:val="32"/>
          <w:szCs w:val="32"/>
          <w:highlight w:val="none"/>
          <w:lang w:val="en-US" w:eastAsia="zh-CN" w:bidi="ar-SA"/>
        </w:rPr>
        <w:t>指北京市中小学加强学校体育工作八项措施聚焦课时保障、课堂提质、赛事开展、体质提升等，落实健康第一理念，推进体教融合，改善学生体质健康。</w:t>
      </w:r>
    </w:p>
    <w:p w14:paraId="40CB92C6">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【“课间一刻钟”】</w:t>
      </w:r>
      <w:r>
        <w:rPr>
          <w:rFonts w:hint="eastAsia" w:ascii="仿宋_GB2312" w:hAnsi="仿宋_GB2312" w:eastAsia="仿宋_GB2312" w:cs="仿宋_GB2312"/>
          <w:color w:val="000000"/>
          <w:kern w:val="2"/>
          <w:sz w:val="32"/>
          <w:szCs w:val="32"/>
          <w:highlight w:val="none"/>
          <w:lang w:val="en-US" w:eastAsia="zh-CN" w:bidi="ar-SA"/>
        </w:rPr>
        <w:t>指全市义务教育学校落实15分钟课间时长并丰富课间内容。</w:t>
      </w:r>
    </w:p>
    <w:p w14:paraId="17B7694D">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w:t>
      </w:r>
      <w:r>
        <w:rPr>
          <w:rFonts w:hint="eastAsia" w:ascii="黑体" w:hAnsi="黑体" w:eastAsia="黑体" w:cs="黑体"/>
          <w:kern w:val="2"/>
          <w:sz w:val="32"/>
          <w:szCs w:val="32"/>
          <w:highlight w:val="none"/>
          <w:lang w:val="en-US" w:eastAsia="zh-CN" w:bidi="ar-SA"/>
        </w:rPr>
        <w:t>心理健康工作十条措施】</w:t>
      </w:r>
      <w:r>
        <w:rPr>
          <w:rFonts w:hint="eastAsia" w:ascii="仿宋_GB2312" w:hAnsi="仿宋_GB2312" w:eastAsia="仿宋_GB2312" w:cs="仿宋_GB2312"/>
          <w:color w:val="000000"/>
          <w:kern w:val="2"/>
          <w:sz w:val="32"/>
          <w:szCs w:val="32"/>
          <w:highlight w:val="none"/>
          <w:lang w:val="en-US" w:eastAsia="zh-CN" w:bidi="ar-SA"/>
        </w:rPr>
        <w:t>指教育部办公厅关于印发《进一步加强中小学生心理健康工作十条措施》的通知（教基厅〔2025〕2号）内容。</w:t>
      </w:r>
    </w:p>
    <w:p w14:paraId="0E0BDBA6">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【“做中学”领航行动】</w:t>
      </w:r>
      <w:r>
        <w:rPr>
          <w:rFonts w:hint="eastAsia" w:ascii="仿宋_GB2312" w:hAnsi="仿宋_GB2312" w:cs="仿宋_GB2312"/>
          <w:color w:val="000000"/>
          <w:kern w:val="2"/>
          <w:sz w:val="32"/>
          <w:szCs w:val="32"/>
          <w:highlight w:val="none"/>
          <w:lang w:val="en-US" w:eastAsia="zh-CN" w:bidi="ar-SA"/>
        </w:rPr>
        <w:t>《北京市大兴区义务教育阶段科学教育“做中学”领航行动实施方案》</w:t>
      </w:r>
      <w:r>
        <w:rPr>
          <w:rFonts w:hint="eastAsia" w:ascii="仿宋_GB2312" w:hAnsi="仿宋_GB2312" w:eastAsia="仿宋_GB2312" w:cs="仿宋_GB2312"/>
          <w:color w:val="000000"/>
          <w:kern w:val="2"/>
          <w:sz w:val="32"/>
          <w:szCs w:val="32"/>
          <w:highlight w:val="none"/>
          <w:lang w:val="en-US" w:eastAsia="zh-CN" w:bidi="ar-SA"/>
        </w:rPr>
        <w:t>。</w:t>
      </w:r>
    </w:p>
    <w:p w14:paraId="16176784">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【“6+2+X”】</w:t>
      </w:r>
      <w:r>
        <w:rPr>
          <w:rFonts w:hint="eastAsia" w:ascii="仿宋_GB2312" w:hAnsi="仿宋_GB2312" w:eastAsia="仿宋_GB2312" w:cs="仿宋_GB2312"/>
          <w:color w:val="000000"/>
          <w:kern w:val="2"/>
          <w:sz w:val="32"/>
          <w:szCs w:val="32"/>
          <w:highlight w:val="none"/>
          <w:lang w:val="en-US" w:eastAsia="zh-CN" w:bidi="ar-SA"/>
        </w:rPr>
        <w:t>指六大主题全面实施（生命健康、生态环境、地球奥秘、航空航天、新兴产业、人工智能）、两个主题重点建设（“空天大兴”航空航天主题、“中国药谷”生命健康主题）、X个特色主题品牌培育（“京南沃土”都市农业与种业创新特色主题、“星空探知”天文探究特色主题、“氢能未来”主题）。</w:t>
      </w:r>
    </w:p>
    <w:p w14:paraId="389DD04C">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【北京苗圃工程】</w:t>
      </w:r>
      <w:r>
        <w:rPr>
          <w:rFonts w:hint="eastAsia" w:ascii="仿宋_GB2312" w:hAnsi="仿宋_GB2312" w:eastAsia="仿宋_GB2312" w:cs="仿宋_GB2312"/>
          <w:color w:val="000000"/>
          <w:kern w:val="2"/>
          <w:sz w:val="32"/>
          <w:szCs w:val="32"/>
          <w:highlight w:val="none"/>
          <w:lang w:val="en-US" w:eastAsia="zh-CN" w:bidi="ar-SA"/>
        </w:rPr>
        <w:t>北京市青少年拔尖创新人才早期普惠培育工程，依托北京青少年创新学院，以数学节、科学节、科创冬夏令营为载体，面向全体中小学生激发科学兴趣、发掘创新潜质，是“苗圃—沃土—脱颖”阶梯式创新人才培养体系的基础环节，坚持不与升学挂钩、普惠发现的原则。</w:t>
      </w:r>
    </w:p>
    <w:p w14:paraId="1CDFCD80">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【“产业学院+工匠学院”】</w:t>
      </w:r>
      <w:r>
        <w:rPr>
          <w:rFonts w:hint="eastAsia" w:ascii="仿宋_GB2312" w:hAnsi="仿宋_GB2312" w:eastAsia="仿宋_GB2312" w:cs="仿宋_GB2312"/>
          <w:color w:val="000000"/>
          <w:kern w:val="2"/>
          <w:sz w:val="32"/>
          <w:szCs w:val="32"/>
          <w:highlight w:val="none"/>
          <w:lang w:val="en-US" w:eastAsia="zh-CN" w:bidi="ar-SA"/>
        </w:rPr>
        <w:t>指大兴一职与大兴区生物医药基地管委会、大兴经济开发区管委会、大兴国际氢能示范区成立产业学院和大兴区第一职业学校大兴工匠学院，系大兴区首批“大兴工匠学院”。</w:t>
      </w:r>
    </w:p>
    <w:p w14:paraId="3C7D63AA">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【0—6岁“大学前”服务体系】</w:t>
      </w:r>
      <w:r>
        <w:rPr>
          <w:rFonts w:hint="eastAsia" w:ascii="仿宋_GB2312" w:hAnsi="仿宋_GB2312" w:eastAsia="仿宋_GB2312" w:cs="仿宋_GB2312"/>
          <w:color w:val="000000"/>
          <w:kern w:val="2"/>
          <w:sz w:val="32"/>
          <w:szCs w:val="32"/>
          <w:highlight w:val="none"/>
          <w:lang w:val="en-US" w:eastAsia="zh-CN" w:bidi="ar-SA"/>
        </w:rPr>
        <w:t>北京市面向0—6岁婴幼儿构建的托幼一体化服务体系，统筹托育与学前教育资源，以园所办托为主渠道，坚持养育相融、托幼衔接，完善供给、师资、教研、评价一体化机制，实现幼有优育。</w:t>
      </w:r>
    </w:p>
    <w:p w14:paraId="1FAC028A">
      <w:pPr>
        <w:keepNext w:val="0"/>
        <w:keepLines w:val="0"/>
        <w:pageBreakBefore w:val="0"/>
        <w:widowControl w:val="0"/>
        <w:tabs>
          <w:tab w:val="left" w:pos="795"/>
        </w:tabs>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宋体" w:eastAsia="黑体" w:cs="黑体"/>
          <w:color w:val="000000"/>
          <w:sz w:val="32"/>
          <w:szCs w:val="32"/>
          <w:highlight w:val="none"/>
          <w:lang w:val="en-US" w:eastAsia="zh-CN"/>
        </w:rPr>
        <w:t>【“新三个课堂”】</w:t>
      </w:r>
      <w:r>
        <w:rPr>
          <w:rFonts w:hint="eastAsia" w:ascii="仿宋_GB2312" w:hAnsi="仿宋_GB2312" w:eastAsia="仿宋_GB2312" w:cs="仿宋_GB2312"/>
          <w:color w:val="000000"/>
          <w:kern w:val="2"/>
          <w:sz w:val="32"/>
          <w:szCs w:val="32"/>
          <w:highlight w:val="none"/>
          <w:lang w:val="en-US" w:eastAsia="zh-CN" w:bidi="ar-SA"/>
        </w:rPr>
        <w:t>是指智慧课堂、名师课堂、活力思维课堂。</w:t>
      </w:r>
    </w:p>
    <w:p w14:paraId="005FFAF1">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sz w:val="32"/>
          <w:szCs w:val="32"/>
          <w:highlight w:val="none"/>
          <w:lang w:eastAsia="zh-CN"/>
        </w:rPr>
      </w:pPr>
      <w:r>
        <w:rPr>
          <w:rFonts w:hint="eastAsia" w:ascii="黑体" w:hAnsi="宋体" w:eastAsia="黑体" w:cs="黑体"/>
          <w:color w:val="000000"/>
          <w:sz w:val="32"/>
          <w:szCs w:val="32"/>
          <w:highlight w:val="none"/>
          <w:lang w:eastAsia="zh-CN"/>
        </w:rPr>
        <w:t>【“6+5+3”产业布局】</w:t>
      </w:r>
      <w:r>
        <w:rPr>
          <w:rFonts w:hint="eastAsia" w:ascii="仿宋_GB2312" w:hAnsi="仿宋_GB2312" w:eastAsia="仿宋_GB2312" w:cs="仿宋_GB2312"/>
          <w:color w:val="000000"/>
          <w:sz w:val="32"/>
          <w:szCs w:val="32"/>
          <w:highlight w:val="none"/>
          <w:lang w:eastAsia="zh-CN"/>
        </w:rPr>
        <w:t>指我区以六大产业功能区、五个特色产业园、三大发展新片区为框架，打造经济发展高地。</w:t>
      </w:r>
    </w:p>
    <w:p w14:paraId="68A9594C">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sz w:val="32"/>
          <w:szCs w:val="32"/>
          <w:highlight w:val="none"/>
          <w:lang w:eastAsia="zh-CN"/>
        </w:rPr>
      </w:pPr>
      <w:r>
        <w:rPr>
          <w:rFonts w:hint="eastAsia" w:ascii="黑体" w:hAnsi="宋体" w:eastAsia="黑体" w:cs="黑体"/>
          <w:color w:val="000000"/>
          <w:sz w:val="32"/>
          <w:szCs w:val="32"/>
          <w:highlight w:val="none"/>
          <w:lang w:eastAsia="zh-CN"/>
        </w:rPr>
        <w:t>【“教联体”】</w:t>
      </w:r>
      <w:r>
        <w:rPr>
          <w:rFonts w:hint="eastAsia" w:ascii="仿宋_GB2312" w:hAnsi="仿宋_GB2312" w:eastAsia="仿宋_GB2312" w:cs="仿宋_GB2312"/>
          <w:color w:val="000000"/>
          <w:sz w:val="32"/>
          <w:szCs w:val="32"/>
          <w:highlight w:val="none"/>
          <w:lang w:eastAsia="zh-CN"/>
        </w:rPr>
        <w:t>指以中小学生健康快乐成长为目标，由学校主导、区域统筹、资源整合的校家社协同育人工作机制。</w:t>
      </w:r>
    </w:p>
    <w:p w14:paraId="0A3C40F2">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eastAsia="zh-CN"/>
          <w14:textFill>
            <w14:solidFill>
              <w14:schemeClr w14:val="tx1"/>
            </w14:solidFill>
          </w14:textFill>
        </w:rPr>
        <w:t>【“4+N”集团化办学模式】</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指</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大兴一中、兴华中学、北京第四实验学校、清华附中大兴学校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4个</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小初高一体化教育集团，</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N</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为优质教育集团资源辐射带动作用下陆续成立更多跨区教育集团、学段教育集团。</w:t>
      </w:r>
    </w:p>
    <w:p w14:paraId="3ED7CA4C">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spacing w:val="-23"/>
          <w:sz w:val="32"/>
          <w:szCs w:val="32"/>
          <w:highlight w:val="none"/>
          <w:lang w:eastAsia="zh-CN"/>
        </w:rPr>
      </w:pPr>
      <w:r>
        <w:rPr>
          <w:rFonts w:hint="eastAsia" w:ascii="仿宋_GB2312" w:hAnsi="仿宋_GB2312" w:eastAsia="仿宋_GB2312" w:cs="仿宋_GB2312"/>
          <w:color w:val="000000"/>
          <w:sz w:val="32"/>
          <w:szCs w:val="32"/>
          <w:highlight w:val="none"/>
          <w:lang w:eastAsia="zh-CN"/>
        </w:rPr>
        <w:t>【</w:t>
      </w:r>
      <w:r>
        <w:rPr>
          <w:rFonts w:hint="eastAsia" w:ascii="黑体" w:hAnsi="宋体" w:eastAsia="黑体" w:cs="黑体"/>
          <w:color w:val="000000"/>
          <w:sz w:val="32"/>
          <w:szCs w:val="32"/>
          <w:highlight w:val="none"/>
          <w:lang w:val="en-US" w:eastAsia="zh-CN"/>
        </w:rPr>
        <w:t>“数智强师行动”</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kern w:val="2"/>
          <w:sz w:val="32"/>
          <w:szCs w:val="32"/>
          <w:highlight w:val="none"/>
          <w:lang w:val="en-US" w:eastAsia="zh-CN" w:bidi="ar-SA"/>
        </w:rPr>
        <w:t>指以国家中小学智慧教育平台全域应用为抓手，融合人工智能、大数据等新技术和新型数字教育资源，构建数智赋能、生态构建、全域覆盖的教师发展新范式。</w:t>
      </w:r>
    </w:p>
    <w:p w14:paraId="1833BE4A">
      <w:pPr>
        <w:keepNext w:val="0"/>
        <w:keepLines w:val="0"/>
        <w:pageBreakBefore w:val="0"/>
        <w:widowControl w:val="0"/>
        <w:tabs>
          <w:tab w:val="left" w:pos="795"/>
        </w:tabs>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zh-CN" w:eastAsia="zh-CN" w:bidi="ar-SA"/>
        </w:rPr>
      </w:pPr>
      <w:r>
        <w:rPr>
          <w:rFonts w:hint="eastAsia" w:ascii="黑体" w:hAnsi="宋体" w:eastAsia="黑体" w:cs="黑体"/>
          <w:color w:val="000000"/>
          <w:sz w:val="32"/>
          <w:szCs w:val="32"/>
          <w:highlight w:val="none"/>
          <w:lang w:val="en-US" w:eastAsia="zh-CN"/>
        </w:rPr>
        <w:t>【“1+3”】</w:t>
      </w:r>
      <w:r>
        <w:rPr>
          <w:rFonts w:hint="eastAsia" w:ascii="仿宋_GB2312" w:hAnsi="仿宋_GB2312" w:eastAsia="仿宋_GB2312" w:cs="仿宋_GB2312"/>
          <w:color w:val="000000"/>
          <w:kern w:val="2"/>
          <w:sz w:val="32"/>
          <w:szCs w:val="32"/>
          <w:highlight w:val="none"/>
          <w:lang w:val="en-US" w:eastAsia="zh-CN" w:bidi="ar-SA"/>
        </w:rPr>
        <w:t>指相关学生在初二年级结束后进入实验，连续完成初三（1年）及高中（3年）学习。</w:t>
      </w:r>
    </w:p>
    <w:p w14:paraId="3AE7FA9C">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黑体" w:hAnsi="宋体" w:eastAsia="黑体" w:cs="黑体"/>
          <w:color w:val="000000"/>
          <w:sz w:val="32"/>
          <w:szCs w:val="32"/>
          <w:highlight w:val="none"/>
          <w:lang w:val="en-US" w:eastAsia="zh-CN"/>
        </w:rPr>
        <w:t>【“集团直升（0.5+3）”】</w:t>
      </w:r>
      <w:r>
        <w:rPr>
          <w:rFonts w:hint="eastAsia" w:ascii="仿宋_GB2312" w:hAnsi="仿宋_GB2312" w:eastAsia="仿宋_GB2312" w:cs="仿宋_GB2312"/>
          <w:color w:val="000000"/>
          <w:kern w:val="2"/>
          <w:sz w:val="32"/>
          <w:szCs w:val="32"/>
          <w:highlight w:val="none"/>
          <w:lang w:val="en-US" w:eastAsia="zh-CN" w:bidi="ar-SA"/>
        </w:rPr>
        <w:t>指以新型集团化办学为载体，集团内学生在完成初三年级第一学期学业后，经选拔直升集团内高中，已确定集团直升的学生继续参加初中学业水平考试，成绩正常公布，不再参加中招志愿填报和其他招生录取。</w:t>
      </w:r>
    </w:p>
    <w:p w14:paraId="66AA8782">
      <w:pPr>
        <w:pStyle w:val="10"/>
        <w:keepNext w:val="0"/>
        <w:keepLines w:val="0"/>
        <w:pageBreakBefore w:val="0"/>
        <w:widowControl w:val="0"/>
        <w:kinsoku/>
        <w:wordWrap/>
        <w:overflowPunct/>
        <w:topLinePunct w:val="0"/>
        <w:autoSpaceDE/>
        <w:autoSpaceDN/>
        <w:bidi w:val="0"/>
        <w:adjustRightInd/>
        <w:spacing w:line="560" w:lineRule="exact"/>
        <w:ind w:left="0" w:leftChars="0" w:firstLine="0" w:firstLineChars="0"/>
        <w:jc w:val="both"/>
        <w:textAlignment w:val="auto"/>
        <w:rPr>
          <w:rFonts w:hint="eastAsia" w:ascii="黑体" w:hAnsi="宋体" w:eastAsia="黑体" w:cs="黑体"/>
          <w:color w:val="000000"/>
          <w:sz w:val="32"/>
          <w:szCs w:val="32"/>
          <w:highlight w:val="none"/>
          <w:lang w:val="en-US" w:eastAsia="zh-CN"/>
        </w:rPr>
      </w:pPr>
      <w:r>
        <w:rPr>
          <w:rFonts w:hint="eastAsia" w:ascii="黑体" w:hAnsi="宋体" w:eastAsia="黑体" w:cs="黑体"/>
          <w:color w:val="000000"/>
          <w:sz w:val="32"/>
          <w:szCs w:val="32"/>
          <w:highlight w:val="none"/>
          <w:lang w:val="en-US" w:eastAsia="zh-CN"/>
        </w:rPr>
        <w:t>【“兴师计划”】【“四级递进式培养体系”】【“四大培养计划”】</w:t>
      </w:r>
    </w:p>
    <w:p w14:paraId="1C9530F8">
      <w:pPr>
        <w:pStyle w:val="2"/>
        <w:ind w:left="0" w:leftChars="0" w:firstLine="0" w:firstLineChars="0"/>
        <w:rPr>
          <w:rFonts w:hint="eastAsia"/>
          <w:color w:val="000000" w:themeColor="text1"/>
          <w:highlight w:val="none"/>
          <w:lang w:eastAsia="zh-CN"/>
          <w14:textFill>
            <w14:solidFill>
              <w14:schemeClr w14:val="tx1"/>
            </w14:solidFill>
          </w14:textFill>
        </w:rPr>
      </w:pPr>
      <w:bookmarkStart w:id="231" w:name="_Toc778688329"/>
      <w:r>
        <w:rPr>
          <w:rFonts w:hint="eastAsia" w:ascii="仿宋_GB2312" w:hAnsi="仿宋_GB2312" w:eastAsia="仿宋_GB2312" w:cs="仿宋_GB2312"/>
          <w:color w:val="000000"/>
          <w:kern w:val="2"/>
          <w:sz w:val="32"/>
          <w:szCs w:val="32"/>
          <w:highlight w:val="none"/>
          <w:lang w:val="en-US" w:eastAsia="zh-CN" w:bidi="ar-SA"/>
        </w:rPr>
        <w:t>“兴师计划”旨在打造更加专业、更高质量的教师队伍，包括实施四大培养计划（即：行稳筑基计划、进阶攀登计划、名师领航计划、教育家孵化计划）、构建四级递进式培养体系（即：新教师、成熟教师、骨干教师、领军教师的四级递进式培养体系），建设可持续发展梯队，实现教师职业生涯全周期支持。</w:t>
      </w:r>
      <w:bookmarkEnd w:id="231"/>
    </w:p>
    <w:p w14:paraId="5EA6A5B4">
      <w:pPr>
        <w:pStyle w:val="2"/>
        <w:ind w:left="0" w:leftChars="0" w:firstLine="0" w:firstLineChars="0"/>
        <w:rPr>
          <w:rFonts w:hint="default" w:ascii="仿宋_GB2312" w:hAnsi="仿宋_GB2312" w:eastAsia="仿宋_GB2312" w:cs="仿宋_GB2312"/>
          <w:color w:val="000000"/>
          <w:kern w:val="2"/>
          <w:sz w:val="32"/>
          <w:szCs w:val="32"/>
          <w:highlight w:val="none"/>
          <w:lang w:val="en-US" w:eastAsia="zh-CN" w:bidi="ar-SA"/>
        </w:rPr>
      </w:pPr>
      <w:bookmarkStart w:id="232" w:name="_Toc649400685"/>
      <w:r>
        <w:rPr>
          <w:rFonts w:hint="eastAsia"/>
          <w:color w:val="000000" w:themeColor="text1"/>
          <w:highlight w:val="none"/>
          <w:lang w:eastAsia="zh-CN"/>
          <w14:textFill>
            <w14:solidFill>
              <w14:schemeClr w14:val="tx1"/>
            </w14:solidFill>
          </w14:textFill>
        </w:rPr>
        <w:t>【“三大模块”人才招聘】</w:t>
      </w:r>
      <w:r>
        <w:rPr>
          <w:rFonts w:hint="eastAsia" w:ascii="仿宋_GB2312" w:hAnsi="仿宋_GB2312" w:eastAsia="仿宋_GB2312" w:cs="仿宋_GB2312"/>
          <w:color w:val="000000"/>
          <w:kern w:val="2"/>
          <w:sz w:val="32"/>
          <w:szCs w:val="32"/>
          <w:highlight w:val="none"/>
          <w:lang w:val="en-US" w:eastAsia="zh-CN" w:bidi="ar-SA"/>
        </w:rPr>
        <w:t>应届毕业生公开招聘、优秀社会人员引进、聘任制教师储备。</w:t>
      </w:r>
      <w:bookmarkEnd w:id="232"/>
    </w:p>
    <w:p w14:paraId="0F80C773">
      <w:pPr>
        <w:pStyle w:val="2"/>
        <w:outlineLvl w:val="9"/>
        <w:rPr>
          <w:rFonts w:hint="eastAsia"/>
          <w:highlight w:val="none"/>
          <w:lang w:val="en-US" w:eastAsia="zh-CN"/>
        </w:rPr>
      </w:pPr>
    </w:p>
    <w:p w14:paraId="1A14B288">
      <w:pPr>
        <w:pStyle w:val="2"/>
        <w:outlineLvl w:val="9"/>
        <w:rPr>
          <w:rFonts w:hint="eastAsia"/>
          <w:highlight w:val="none"/>
          <w:lang w:val="en-US" w:eastAsia="zh-CN"/>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仿宋_GB2312"/>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仿宋_GB2312">
    <w:panose1 w:val="02010609030101010101"/>
    <w:charset w:val="86"/>
    <w:family w:val="auto"/>
    <w:pitch w:val="default"/>
    <w:sig w:usb0="00000001" w:usb1="080E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Kaiti SC">
    <w:panose1 w:val="02010600040101010101"/>
    <w:charset w:val="86"/>
    <w:family w:val="auto"/>
    <w:pitch w:val="default"/>
    <w:sig w:usb0="80000287" w:usb1="280F3C52" w:usb2="00000016" w:usb3="00000000" w:csb0="0004001F" w:csb1="00000000"/>
  </w:font>
  <w:font w:name="KaiTi_GB2312">
    <w:panose1 w:val="02010609030101010101"/>
    <w:charset w:val="86"/>
    <w:family w:val="auto"/>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FangSong_GB2312">
    <w:panose1 w:val="02010609030101010101"/>
    <w:charset w:val="86"/>
    <w:family w:val="auto"/>
    <w:pitch w:val="default"/>
    <w:sig w:usb0="00000001" w:usb1="080E0000" w:usb2="00000000" w:usb3="00000000" w:csb0="00040000" w:csb1="00000000"/>
  </w:font>
  <w:font w:name="FZXiaoBiaoSong-B05S">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2000000000000000000"/>
    <w:charset w:val="86"/>
    <w:family w:val="auto"/>
    <w:pitch w:val="default"/>
    <w:sig w:usb0="00000001" w:usb1="08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方正公文小标宋">
    <w:panose1 w:val="02000500000000000000"/>
    <w:charset w:val="86"/>
    <w:family w:val="auto"/>
    <w:pitch w:val="default"/>
    <w:sig w:usb0="A00002BF" w:usb1="38CF7CFA" w:usb2="00000016" w:usb3="00000000" w:csb0="00040001" w:csb1="00000000"/>
  </w:font>
  <w:font w:name="仿宋">
    <w:altName w:val="仿宋_GB2312"/>
    <w:panose1 w:val="0201060906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399894"/>
    </w:sdtPr>
    <w:sdtContent>
      <w:p w14:paraId="463D554C">
        <w:pPr>
          <w:pStyle w:val="8"/>
          <w:spacing w:line="240" w:lineRule="auto"/>
          <w:ind w:firstLine="0" w:firstLineChars="0"/>
          <w:jc w:val="cente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17</w:t>
        </w:r>
        <w:r>
          <w:rPr>
            <w:sz w:val="24"/>
            <w:szCs w:val="24"/>
          </w:rPr>
          <w:fldChar w:fldCharType="end"/>
        </w:r>
      </w:p>
    </w:sdtContent>
  </w:sdt>
  <w:p w14:paraId="446BDC62">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85577">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1"/>
      <w:showingPlcHdr/>
    </w:sdtPr>
    <w:sdtEndPr>
      <w:rPr>
        <w:sz w:val="24"/>
      </w:rPr>
    </w:sdtEndPr>
    <w:sdtContent>
      <w:p w14:paraId="7F146BD2">
        <w:pPr>
          <w:pStyle w:val="8"/>
          <w:spacing w:line="240" w:lineRule="auto"/>
          <w:ind w:firstLine="0" w:firstLineChars="0"/>
          <w:jc w:val="center"/>
          <w:rPr>
            <w:sz w:val="24"/>
          </w:rPr>
        </w:pPr>
        <w:r>
          <w:rPr>
            <w:sz w:val="24"/>
          </w:rPr>
          <w:t xml:space="preserve">     </w:t>
        </w:r>
      </w:p>
    </w:sdtContent>
  </w:sdt>
  <w:p w14:paraId="6F244095">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FFAAE">
    <w:pPr>
      <w:pStyle w:val="8"/>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89C55">
                          <w:pPr>
                            <w:pStyle w:val="8"/>
                            <w:rPr>
                              <w:rFonts w:hint="eastAsia" w:eastAsia="仿宋_GB2312"/>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8E89C55">
                    <w:pPr>
                      <w:pStyle w:val="8"/>
                      <w:rPr>
                        <w:rFonts w:hint="eastAsia" w:eastAsia="仿宋_GB2312"/>
                        <w:sz w:val="28"/>
                        <w:szCs w:val="2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224A4">
    <w:pPr>
      <w:ind w:left="64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039B5">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6CB52">
    <w:pPr>
      <w:ind w:left="64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FFECEE"/>
    <w:multiLevelType w:val="singleLevel"/>
    <w:tmpl w:val="EAFFECEE"/>
    <w:lvl w:ilvl="0" w:tentative="0">
      <w:start w:val="10"/>
      <w:numFmt w:val="chineseCounting"/>
      <w:suff w:val="nothing"/>
      <w:lvlText w:val="（%1）"/>
      <w:lvlJc w:val="left"/>
      <w:pPr>
        <w:ind w:left="4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782729"/>
    <w:rsid w:val="02CE533D"/>
    <w:rsid w:val="072456DB"/>
    <w:rsid w:val="07970852"/>
    <w:rsid w:val="08CC433F"/>
    <w:rsid w:val="0C4B668B"/>
    <w:rsid w:val="13D8192B"/>
    <w:rsid w:val="16EE18A2"/>
    <w:rsid w:val="17983463"/>
    <w:rsid w:val="1E1871E2"/>
    <w:rsid w:val="1EB40137"/>
    <w:rsid w:val="21F72ED6"/>
    <w:rsid w:val="22F2648A"/>
    <w:rsid w:val="24BE4B5E"/>
    <w:rsid w:val="265E158A"/>
    <w:rsid w:val="26675DBF"/>
    <w:rsid w:val="2FFF74C8"/>
    <w:rsid w:val="38EE5FEA"/>
    <w:rsid w:val="3C9B5570"/>
    <w:rsid w:val="3ECF14B0"/>
    <w:rsid w:val="3F6FDA0F"/>
    <w:rsid w:val="3FBD6C93"/>
    <w:rsid w:val="408E0051"/>
    <w:rsid w:val="439230FA"/>
    <w:rsid w:val="45FC499D"/>
    <w:rsid w:val="45FD02F7"/>
    <w:rsid w:val="46B260BC"/>
    <w:rsid w:val="49DF11B1"/>
    <w:rsid w:val="4D146CBC"/>
    <w:rsid w:val="4E782729"/>
    <w:rsid w:val="4F9333C2"/>
    <w:rsid w:val="4FDB3DE6"/>
    <w:rsid w:val="547B2FDA"/>
    <w:rsid w:val="55024D39"/>
    <w:rsid w:val="561D713D"/>
    <w:rsid w:val="56F375DA"/>
    <w:rsid w:val="57142324"/>
    <w:rsid w:val="5E7E4ED0"/>
    <w:rsid w:val="5FE10505"/>
    <w:rsid w:val="6565388F"/>
    <w:rsid w:val="667BCEDC"/>
    <w:rsid w:val="6A5F46FC"/>
    <w:rsid w:val="6BDA5DD5"/>
    <w:rsid w:val="6DAF6293"/>
    <w:rsid w:val="6F37E6B1"/>
    <w:rsid w:val="76CF3BBB"/>
    <w:rsid w:val="77472631"/>
    <w:rsid w:val="776E7BDD"/>
    <w:rsid w:val="7940097C"/>
    <w:rsid w:val="7BBE78FE"/>
    <w:rsid w:val="7D165215"/>
    <w:rsid w:val="7DBBB42D"/>
    <w:rsid w:val="7DBDBF53"/>
    <w:rsid w:val="7DE9364A"/>
    <w:rsid w:val="7E9508E8"/>
    <w:rsid w:val="7EA9493B"/>
    <w:rsid w:val="7EFE61A0"/>
    <w:rsid w:val="7F5FD9CA"/>
    <w:rsid w:val="7FFB3DB0"/>
    <w:rsid w:val="9666549B"/>
    <w:rsid w:val="AF5D7EC4"/>
    <w:rsid w:val="B7B94369"/>
    <w:rsid w:val="B8FC783F"/>
    <w:rsid w:val="BA5F1B80"/>
    <w:rsid w:val="CEFB6BA7"/>
    <w:rsid w:val="D32E73FC"/>
    <w:rsid w:val="D6EE223F"/>
    <w:rsid w:val="DAF97060"/>
    <w:rsid w:val="DFAE14A2"/>
    <w:rsid w:val="E777CC6F"/>
    <w:rsid w:val="F7FE96C3"/>
    <w:rsid w:val="F9FFBA0D"/>
    <w:rsid w:val="FDBF2A2F"/>
    <w:rsid w:val="FDEE4BAE"/>
    <w:rsid w:val="FDFFC7ED"/>
    <w:rsid w:val="FEB7E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仿宋_GB2312" w:cs="Times New Roman"/>
      <w:kern w:val="2"/>
      <w:sz w:val="32"/>
      <w:szCs w:val="22"/>
      <w:lang w:val="en-US" w:eastAsia="zh-CN" w:bidi="ar-SA"/>
    </w:rPr>
  </w:style>
  <w:style w:type="paragraph" w:styleId="3">
    <w:name w:val="heading 1"/>
    <w:basedOn w:val="1"/>
    <w:next w:val="1"/>
    <w:qFormat/>
    <w:uiPriority w:val="9"/>
    <w:pPr>
      <w:outlineLvl w:val="0"/>
    </w:pPr>
    <w:rPr>
      <w:rFonts w:eastAsia="黑体"/>
    </w:rPr>
  </w:style>
  <w:style w:type="paragraph" w:styleId="4">
    <w:name w:val="heading 2"/>
    <w:basedOn w:val="5"/>
    <w:next w:val="1"/>
    <w:unhideWhenUsed/>
    <w:qFormat/>
    <w:uiPriority w:val="9"/>
    <w:pPr>
      <w:outlineLvl w:val="1"/>
    </w:pPr>
    <w:rPr>
      <w:rFonts w:eastAsia="楷体_GB2312"/>
    </w:rPr>
  </w:style>
  <w:style w:type="paragraph" w:styleId="5">
    <w:name w:val="heading 3"/>
    <w:basedOn w:val="1"/>
    <w:next w:val="1"/>
    <w:unhideWhenUsed/>
    <w:qFormat/>
    <w:uiPriority w:val="9"/>
    <w:pPr>
      <w:ind w:firstLine="643"/>
      <w:outlineLvl w:val="2"/>
    </w:pPr>
    <w:rPr>
      <w:b/>
      <w:bCs/>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3"/>
    <w:qFormat/>
    <w:uiPriority w:val="0"/>
  </w:style>
  <w:style w:type="paragraph" w:styleId="6">
    <w:name w:val="annotation text"/>
    <w:basedOn w:val="1"/>
    <w:qFormat/>
    <w:uiPriority w:val="0"/>
    <w:pPr>
      <w:jc w:val="left"/>
    </w:pPr>
  </w:style>
  <w:style w:type="paragraph" w:styleId="7">
    <w:name w:val="Body Text"/>
    <w:basedOn w:val="1"/>
    <w:next w:val="1"/>
    <w:unhideWhenUsed/>
    <w:qFormat/>
    <w:uiPriority w:val="99"/>
    <w:pPr>
      <w:spacing w:line="240" w:lineRule="auto"/>
      <w:ind w:firstLine="640"/>
    </w:p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semiHidden/>
    <w:unhideWhenUsed/>
    <w:qFormat/>
    <w:uiPriority w:val="99"/>
    <w:pPr>
      <w:snapToGrid w:val="0"/>
      <w:jc w:val="left"/>
    </w:pPr>
    <w:rPr>
      <w:sz w:val="18"/>
      <w:szCs w:val="18"/>
    </w:rPr>
  </w:style>
  <w:style w:type="paragraph" w:styleId="11">
    <w:name w:val="Title"/>
    <w:basedOn w:val="1"/>
    <w:next w:val="1"/>
    <w:qFormat/>
    <w:uiPriority w:val="10"/>
    <w:pPr>
      <w:ind w:firstLine="0" w:firstLineChars="0"/>
      <w:jc w:val="center"/>
      <w:outlineLvl w:val="0"/>
    </w:pPr>
    <w:rPr>
      <w:rFonts w:eastAsia="Arial Unicode MS"/>
      <w:bCs/>
      <w:sz w:val="44"/>
      <w:szCs w:val="32"/>
    </w:r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WPSOffice手动目录 2"/>
    <w:qFormat/>
    <w:uiPriority w:val="0"/>
    <w:pPr>
      <w:ind w:leftChars="200"/>
    </w:pPr>
    <w:rPr>
      <w:rFonts w:ascii="Times New Roman" w:hAnsi="Times New Roman" w:eastAsia="宋体" w:cs="Times New Roman"/>
      <w:sz w:val="20"/>
      <w:szCs w:val="20"/>
    </w:rPr>
  </w:style>
  <w:style w:type="paragraph" w:styleId="1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18">
    <w:name w:val="List Paragraph"/>
    <w:basedOn w:val="1"/>
    <w:qFormat/>
    <w:uiPriority w:val="34"/>
    <w:pPr>
      <w:spacing w:line="240" w:lineRule="auto"/>
      <w:ind w:firstLine="420"/>
    </w:pPr>
    <w:rPr>
      <w:rFonts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12391</Words>
  <Characters>12671</Characters>
  <Lines>0</Lines>
  <Paragraphs>0</Paragraphs>
  <TotalTime>29</TotalTime>
  <ScaleCrop>false</ScaleCrop>
  <LinksUpToDate>false</LinksUpToDate>
  <CharactersWithSpaces>13254</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2026-10-31T10:36:00Z</dcterms:created>
  <dc:creator>崔宁</dc:creator>
  <cp:lastModifiedBy>吴俊霖</cp:lastModifiedBy>
  <cp:lastPrinted>2026-11-01T19:38:00Z</cp:lastPrinted>
  <dcterms:modified xsi:type="dcterms:W3CDTF">2026-11-05T16:45:03Z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B68AFA4FB527AA28C66EE16AA0291DBE_42</vt:lpwstr>
  </property>
</Properties>
</file>