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color w:val="333333"/>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color w:val="333333"/>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第一章 把握新形势，引领新发展</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当今世界正经历百年未有之大变局，新冠肺炎疫情大流行使这个变局加速变化。面对错综复杂的国内外形势，大兴区要正确认识中华民族伟大复兴的战略全局和世界百年未有之大变局这两个大局，科学把握以国内大循环为主体、国内国际双循环相互促进的新发展格局，紧抓发展机遇，积极应对各项风险挑战，乘势而上开启率先基本实现社会主义现代化的新征程。</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一、站在全新的历史起点</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十三五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时期是北京大兴国际机场（以下简称大兴机场）实现凤凰展翅的五年，是为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新国门﹒新大兴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建设积聚澎湃力量的五年。在市委、市政府和区委的坚强领导下，在区人大、区政协的监督支持下，全区上下坚持稳中求进工作总基调，坚持新发展理念，统筹推进疏功能、稳增长、促改革、调结构、惠民生、防风险、保稳定，特别是新冠肺炎疫情</w:t>
      </w:r>
      <w:r>
        <w:rPr>
          <w:rFonts w:hint="eastAsia" w:ascii="仿宋_GB2312" w:hAnsi="仿宋_GB2312" w:eastAsia="仿宋_GB2312" w:cs="仿宋_GB2312"/>
          <w:color w:val="333333"/>
          <w:sz w:val="32"/>
          <w:szCs w:val="32"/>
          <w:lang w:val="en-US" w:eastAsia="zh-CN"/>
        </w:rPr>
        <w:t>暴发</w:t>
      </w:r>
      <w:bookmarkStart w:id="0" w:name="_GoBack"/>
      <w:bookmarkEnd w:id="0"/>
      <w:r>
        <w:rPr>
          <w:rFonts w:hint="eastAsia" w:ascii="仿宋_GB2312" w:hAnsi="仿宋_GB2312" w:eastAsia="仿宋_GB2312" w:cs="仿宋_GB2312"/>
          <w:color w:val="333333"/>
          <w:sz w:val="32"/>
          <w:szCs w:val="32"/>
        </w:rPr>
        <w:t>后，统筹抓好疫情防控和复工复产，扎实做好</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六稳</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工作，全面落实</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六保</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任务，凝心聚力稳住经济发展基本盘，社会保持和谐稳定，大兴区综合实力和发展后劲明显增强，为率先基本实现社会主义现代化奠定了坚实基础。</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举全区之力做好大兴机场和临空经济区服务保障。始终把大兴机场建设作为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一号工程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，全力以赴保通航，圆满完成</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6.30</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建成和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9.25</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投运任务，彰显了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大兴效率</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在大兴区发展史上具有重要标志性意义。实质性启动临空经济区、自由贸易试验区（以下简称自贸区）、综合保税区（以下简称综保区）建设，临空经济区控规获批，河北自贸区大兴机场片区、北京自贸区高端产业片区正式挂牌，发布120条自贸区制度创新清单。成立临空经济区管委会，服务保障24家航企及关联企业落地。</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经济发展不断向高质量演进。累计完成固定资产投资4200亿元左右，一般公共预算收入年均增长超过9%，经济发展质量和效益不断提高。生物医药基地保持快速增长势头,扩区控规获批，引进费森尤斯卡比、民海生物等一批重大项目，科兴中维成功研制新冠疫苗；新媒体基地加快转型升级，获批国家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四星级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产业基地，国家广电总局首个视听产业基地、文化产业交易分中心在大兴落户；北京中日创新合作示范区、大兴国际氢能示范区落地。建成中关村药谷生物产业研究院、新型疫苗研制技术国家地方联合工程实验室，新增国家级高新技术企业405家，建设4个院士专家工作站、23个博士后工作站，输出技术合同成交额年均增速49%。</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城市发展方式深刻转型。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疏解整治促提升</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专项行动（以下简称疏整促专项行动）取得阶段性胜利，累计疏解退出一般制造业企业151家、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散乱污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企业1514家、各类市场38家、物流中心126个，工业大院、物流大院实现清零，拆除违法建设全市领先，建设用地提前实现减量目标，发展空间大幅拓展。交通、产业、生态三大重点领域协同发展迈出新步伐，建成京雄城际铁路、大兴机场高速、首都地区环线高速等一批重大交通干线，大兴机场线、地铁8号线等轨道交通建成投运；与天津西青开发区、河北渤海新区医药园建立产业协同机制；与廊坊建立河流跨界断面污染源台账式管理机制，联合开展交界地区森林防火和林业有害生物协同防控。</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城乡建设全面提质增效。大兴分区规划、亦庄新城规划、临空经济区规划发布实施，魏善庄镇获评全国特色小镇，涌现出李家场蘑菇童话村、大谷店国学文化村等一批特色村庄，城乡功能体系日益完善。青吴路、庞魏路、团桂路等建成通车，马西路南延、京良路二期等加快推进，城乡交通体系进一步健全。黄村第三水厂一期、西红门和天堂河再生水厂等投入运行，建成变电站13座，新增及在建燃气管线65.5公里，实现镇镇通天然气，全区供热面积达到3.09亿平方米，资源能源保障能力显著增强。</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民生福祉持续增进。打赢大气污染治理翻身仗，PM2.5浓度由2015年的96微克/立方米降至37微克/立方米，2020年首次实现低于全市平均水平。全面消除黑臭水体，狼垡城市森林公园、南海子公园二期等22个高品质公园建成开园，新增造林面积10.58万亩，城市绿化覆盖率达到46.89%。公共服务水平不断提高，新增义务教育学位2.4万个，引进清华附中、育才学校等优质教育资源，获得</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北京市建设学习型城市示范区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称号；医疗卫生机构、养老服务机构分别增至823家、178家；设立全市首家24小时城市书房，建成新城北区体育中心、冰壶馆等体育设施。</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一刻钟社区服务圈</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实现全覆盖。建成保障性住房7万套。新冠肺炎疫情防控取得重大战略成果，新时代爱国卫生运动全面铺开。2个低收入村、1679个低收入户实现脱低，察右前旗、新疆和田县等5个受援地如期脱贫摘帽。</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城市精细化治理水平大幅提升。城乡结合部整治向纵深推进，出租房管理长效机制初步建立。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接诉即办</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走在全市前列，推行街巷长、小巷管家等共治机制，创新建立智慧平安小区应用体系。基层治理不断加强，形成</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拉家常</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红色物业</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社区自治+职业经理人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等一批创新举措，撤村建居试点稳步开展。智慧城市建设迈出坚实步伐，4G信号和光纤网络实现全覆盖，建成5G基站1800余个，</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一云两平台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上线运行，实施智慧交通、智慧医疗等工程，城市管理更加高效智能。</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重点领域改革成效显著。农村集体经营性建设用地改革试点圆满收官，累计入市155公顷，为《土地管理法》修订贡献了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大兴方案</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。营商环境持续改善，建成大兴营商服务中心，群众办事实现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一网预约</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一网申报</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，企业开办实现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一天领照、当天领票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，推出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中午不断档、周末不打烊</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等创新服务举措，在全市率先设立出口退税资金池。国有企业改革逐步深入，整合优化成立大兴发展、兴投公司、物业集团等，建立三级国有资本监管运营体系。医药分开综合改革取得成效，公立医院医药费用增幅明显下降。</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333333"/>
          <w:sz w:val="32"/>
          <w:szCs w:val="32"/>
        </w:rPr>
        <w:t>二、抢抓新机遇应对新挑战</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中华民族伟大复兴正处于关键时期，我国进入新发展阶段，重要战略机遇期的机遇和挑战都有新的发展变化。首都北京与党和国家的历史使命联系更加紧密，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四个中心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四个服务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能量进一步释放。作为首都发展的新空间，大兴区担负着越来越重的职责和任务。大兴机场是国家发展一个新的动力源，北京打造世界级航空双枢纽，建设国家服务业扩大开放综合示范区，临空经济区、自贸区、综保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叠加，大兴区联通</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一核两翼</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的区位优势凸显，牵引开放发展、高质量发展的</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发动机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动能强劲。全市深入推进城南行动计划，支持生物医药产业在生物医药基地、临空经济区集中布局，产业转型升级率先突破、蓄势待发。以疏解非首都城市功能为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牛鼻子</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推动京津冀协同发展，大兴区疏解与承接并行，产业发展空间广阔，平原新城建设提速，实现跨越式发展的条件已经具备。全区干部群众苦干实干、干事创业热情高涨，建设</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新国门·新大兴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信心倍增。</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同时，大兴区发展的基础较为薄弱，经济体量不大，二产三产不发达，主导产业不强，产业链、价值链、供应链低端，创新创业生态不健全；基础设施建设欠账较多，城镇化水平不够高，综合承载能力不强；农村农业发展动力不足，</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涉地乱象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整治、城乡结合部治理任重道远，持续改善生态环境压力较大；民生保障存在短板弱项，基层治理能力和体系与发展要求不相适应。</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综合分析判断，大兴区进入新发展阶段，仍然处于重要战略机遇期。全区要胸怀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两个大局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深刻认识国家和首都发展带来的新机遇、赋予的新职责，深刻认识大兴发展必须克服的困难、战胜的挑战，准确识变、科学求变、主动应变，善于在危机中育先机、于变局中开新局，保持战略定力，发扬斗争精神，奋力开创</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风生水起在大兴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的新局面。</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三、二〇三五年远景目标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到二〇三五年，北京市将率先基本实现社会主义现代化，大兴区要走在前列、争创一流，努力为全市发展多作贡献，建设好现代化平原新城、首都发展新的增长极、繁荣开放美丽新国门。展望二〇三五年，大兴区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三区一门户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功能显著增强，更加适应国家和首都发展需要，成为北京国际交往中心的重要窗口和国际科技创新中心的重要支撑；开放型经济高水平发展，建成具有全球影响力的临空经济区，中国药谷引领生物医药产业发展，新产业新业态新模式蓬勃发展，创新生态、创新能力达到领先水平，经济总量和人均收入跨越式增长，地区综合竞争力跃居全市前列；建成国际一流的宜居宜业和谐新城，成为京津冀世界级城市群的重要战略支点；乡村全面振兴，城乡区域发展差距显著缩小；人民平等参与、平等发展权利得到充分保障，智慧大兴、法治大兴、平安大兴建设持续巩固拓展，韧性城市建设取得更大进展，基层治理体系和治理能力现代化基本实现；优秀传统文化焕发时代风采，市民素质和社会文明程度达到新高度，文化软实力显著增强；生态环境根本好转，绿色生产生活方式成为社会广泛自觉，森林环抱、水系连通的绿海田园成为靓丽名片；基本公共服务实现均等化，健康大兴建设取得长足进展，群众获得感、幸福感、安全感达到更高水平，人的全面发展和共同富裕取得更为明显的实质性进展。</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333333"/>
          <w:sz w:val="32"/>
          <w:szCs w:val="32"/>
        </w:rPr>
        <w:t>四、</w:t>
      </w:r>
      <w:r>
        <w:rPr>
          <w:rFonts w:hint="eastAsia" w:ascii="黑体" w:hAnsi="黑体" w:eastAsia="黑体" w:cs="黑体"/>
          <w:color w:val="333333"/>
          <w:sz w:val="32"/>
          <w:szCs w:val="32"/>
          <w:lang w:eastAsia="zh-CN"/>
        </w:rPr>
        <w:t>“</w:t>
      </w:r>
      <w:r>
        <w:rPr>
          <w:rFonts w:hint="eastAsia" w:ascii="黑体" w:hAnsi="黑体" w:eastAsia="黑体" w:cs="黑体"/>
          <w:color w:val="333333"/>
          <w:sz w:val="32"/>
          <w:szCs w:val="32"/>
        </w:rPr>
        <w:t>十四五</w:t>
      </w:r>
      <w:r>
        <w:rPr>
          <w:rFonts w:hint="eastAsia" w:ascii="黑体" w:hAnsi="黑体" w:eastAsia="黑体" w:cs="黑体"/>
          <w:color w:val="333333"/>
          <w:sz w:val="32"/>
          <w:szCs w:val="32"/>
          <w:lang w:eastAsia="zh-CN"/>
        </w:rPr>
        <w:t>“</w:t>
      </w:r>
      <w:r>
        <w:rPr>
          <w:rFonts w:hint="eastAsia" w:ascii="黑体" w:hAnsi="黑体" w:eastAsia="黑体" w:cs="黑体"/>
          <w:color w:val="333333"/>
          <w:sz w:val="32"/>
          <w:szCs w:val="32"/>
        </w:rPr>
        <w:t>时期的指导思想、原则要求和主要目标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（一）指导思想</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高举中国特色社会主义伟大旗帜，深入贯彻党的十九大和十九届二中、三中、四中、五中全会精神，坚持以马克思列宁主义、毛泽东思想、邓小平理论、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三个代表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重要思想、科学发展观、习近平新时代中国特色社会主义思想为指导，全面贯彻党的基本理论、基本路线、基本方略，深入贯彻习近平总书记对北京重要讲话精神，统筹推进</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五位一体</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总体布局，协调推进</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四个全面</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战略布局，坚定不移贯彻创新、协调、绿色、开放、共享的新发展理念，坚持稳中求进工作总基调，牢记习近平总书记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要把大兴建设好</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嘱托，立足首都城市战略定位，深入实施人文北京、科技北京、绿色北京战略，以首都发展为统领，以推动高质量发展为主题，以深化供给侧结构性改革为主线，以改革创新为根本动力，以满足人民日益增长的美好生活需要为根本目的，以</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两区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政策为牵引，狠抓园区建设和重大项目落地，深入推进非首都功能疏解，强化区域协同，以高水平对外开放打造竞争新优势，统筹发展和安全，加快探索构建新发展格局的有效路径，推进基层治理体系和治理能力现代化，实现经济行稳致远、社会安定和谐，为率先基本实现社会主义现代化开好局、起好步。</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（二）原则要求</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推动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十四五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时期经济社会发展，要严格遵循坚持党的全面领导、坚持以人民为中心、坚持新发展理念、坚持深化改革开放、坚持系统观念等重大原则，始终坚持以首都发展为统领、更加突出创新发展、更加突出京津冀协同发展、更加突出开放发展、更加突出绿色发展、更加突出以人民为中心的发展、更加突出安全发展等基本要求。立足当前、着眼长远，改革创新、脚踏实地，不断提高对外开放水平，不断提高发展质量，为构建新发展格局、实现首都新发展作出大兴贡献。</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（三）主要目标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锚定二〇三五年远景目标，综合考虑未来发展趋势和条件，坚持目标导向和问题导向相结合，今后五年经济社会发展努力实现以下目标。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--开放发展取得新突破。</w:t>
      </w:r>
      <w:r>
        <w:rPr>
          <w:rFonts w:hint="eastAsia" w:ascii="仿宋_GB2312" w:hAnsi="仿宋_GB2312" w:eastAsia="仿宋_GB2312" w:cs="仿宋_GB2312"/>
          <w:color w:val="333333"/>
          <w:sz w:val="32"/>
          <w:szCs w:val="32"/>
        </w:rPr>
        <w:t>以大兴机场为依托，国际交往功能显现，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两区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建设成果显著，北京中日创新合作示范区承担国家级战略对话合作功能，营商环境水平达到全市领先地位，国际要素进一步集聚，在更高水平更高层次上对外开放。深度融入京津冀协同发展，</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一核两翼</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桥梁纽带和战略腹地作用充分彰显。</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--产业发展迈上大台阶。</w:t>
      </w:r>
      <w:r>
        <w:rPr>
          <w:rFonts w:hint="eastAsia" w:ascii="仿宋_GB2312" w:hAnsi="仿宋_GB2312" w:eastAsia="仿宋_GB2312" w:cs="仿宋_GB2312"/>
          <w:color w:val="333333"/>
          <w:sz w:val="32"/>
          <w:szCs w:val="32"/>
        </w:rPr>
        <w:t>科技成果转化承接能力明显增强，以医药健康为核心的高精尖产业体系加快发展，数字产业集群具备国际竞争力，科技创新动力更加强劲。建成临空经济区起步区和综保区，生物医药基地和新媒体基地跨入千亿级园区行列，北京中日创新合作示范区建设取得明显成效，成为国际消费中心城市重要节点，农业现代化示范区有效推进，经济体量实现大幅跃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--综合承载力显著提升。</w:t>
      </w:r>
      <w:r>
        <w:rPr>
          <w:rFonts w:hint="eastAsia" w:ascii="仿宋_GB2312" w:hAnsi="仿宋_GB2312" w:eastAsia="仿宋_GB2312" w:cs="仿宋_GB2312"/>
          <w:color w:val="333333"/>
          <w:sz w:val="32"/>
          <w:szCs w:val="32"/>
        </w:rPr>
        <w:t>城南行动计划实施取得新成效，建成一批水电气热、交通等基础设施，新型基础设施建设加快布局，建设海绵城市、智慧城市。大兴新城西片区建设初具规模，海子角片区和团河片区功能有序更新，老旧小区改造全面完成，小城镇特色化发展水平显著提升，乡村振兴取得阶段性进展，城市建设管理水平和运行保障能力显著提高。</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--文明城区建设取得重大进展。</w:t>
      </w:r>
      <w:r>
        <w:rPr>
          <w:rFonts w:hint="eastAsia" w:ascii="仿宋_GB2312" w:hAnsi="仿宋_GB2312" w:eastAsia="仿宋_GB2312" w:cs="仿宋_GB2312"/>
          <w:color w:val="333333"/>
          <w:sz w:val="32"/>
          <w:szCs w:val="32"/>
        </w:rPr>
        <w:t>全国文明城区创建扎实有效，公共文化服务和文化产业体系更加健全，建设具有强大生命力和创造力的社会主义精神文明，市民素质和社会文明程度明显提高，大兴文化内涵得到充分挖掘，文化软实力不断增强，形成与</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新国门﹒新大兴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相适应的文化窗口和文化影响力。</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--生态文明实现新跨越。</w:t>
      </w:r>
      <w:r>
        <w:rPr>
          <w:rFonts w:hint="eastAsia" w:ascii="仿宋_GB2312" w:hAnsi="仿宋_GB2312" w:eastAsia="仿宋_GB2312" w:cs="仿宋_GB2312"/>
          <w:color w:val="333333"/>
          <w:sz w:val="32"/>
          <w:szCs w:val="32"/>
        </w:rPr>
        <w:t>创建国家森林城市，永定河生态功能逐步修复，森林覆盖率进一步提高，绿色生产生活方式普遍推广，垃圾分类成为全区人民自觉行动，污染治理成效巩固提升，重污染天气基本消除，环境质量进一步改善，天蓝水净地绿的人居环境基本构建。</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--民生福祉达到新水平。</w:t>
      </w:r>
      <w:r>
        <w:rPr>
          <w:rFonts w:hint="eastAsia" w:ascii="仿宋_GB2312" w:hAnsi="仿宋_GB2312" w:eastAsia="仿宋_GB2312" w:cs="仿宋_GB2312"/>
          <w:color w:val="333333"/>
          <w:sz w:val="32"/>
          <w:szCs w:val="32"/>
        </w:rPr>
        <w:t>城乡居民</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七有</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五性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需求得到有效满足，教育、医疗等公共服务更加优质，实现更加充分更高质量就业，居民收入增长和经济增长基本同步；创建国家卫生区，健康大兴建设全面推进，公共卫生应急管理体系更加完善，大卫生、大健康理念深入人心；社会更加和谐稳定，城市更有温度、生活更有温情、居民更有温暖，人民群众的幸福指数大幅提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--基层治理开创新局面。</w:t>
      </w:r>
      <w:r>
        <w:rPr>
          <w:rFonts w:hint="eastAsia" w:ascii="仿宋_GB2312" w:hAnsi="仿宋_GB2312" w:eastAsia="仿宋_GB2312" w:cs="仿宋_GB2312"/>
          <w:color w:val="333333"/>
          <w:sz w:val="32"/>
          <w:szCs w:val="32"/>
        </w:rPr>
        <w:t>城乡发展深化改革先行区建设有序推进，党建引领基层治理体系逐步成型，城市治理更加精细，城乡结合部治理取得决定性进展，探索推广一批城乡治理微改革微创新，基层治理走在全市前列，平安大兴、法治大兴建设迈出新步伐，自然灾害防御水平显著提高，乡风文明达到新高度，持续向治理体系和治理能力现代化演进，保持社会和谐稳定。</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“十四五”时期经济社会发展主要指标</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1"/>
        <w:gridCol w:w="1442"/>
        <w:gridCol w:w="3726"/>
        <w:gridCol w:w="2089"/>
        <w:gridCol w:w="9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b/>
                <w:color w:val="333333"/>
                <w:sz w:val="28"/>
                <w:szCs w:val="28"/>
              </w:rPr>
              <w:t>序号</w:t>
            </w:r>
          </w:p>
        </w:tc>
        <w:tc>
          <w:tcPr>
            <w:tcW w:w="5168" w:type="dxa"/>
            <w:gridSpan w:val="2"/>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562" w:firstLineChars="200"/>
              <w:jc w:val="center"/>
              <w:textAlignment w:val="auto"/>
              <w:rPr>
                <w:rFonts w:hint="eastAsia" w:ascii="黑体" w:hAnsi="黑体" w:eastAsia="黑体" w:cs="黑体"/>
                <w:sz w:val="28"/>
                <w:szCs w:val="28"/>
              </w:rPr>
            </w:pPr>
            <w:r>
              <w:rPr>
                <w:rFonts w:hint="eastAsia" w:ascii="黑体" w:hAnsi="黑体" w:eastAsia="黑体" w:cs="黑体"/>
                <w:b/>
                <w:color w:val="333333"/>
                <w:sz w:val="28"/>
                <w:szCs w:val="28"/>
              </w:rPr>
              <w:t>指</w:t>
            </w:r>
            <w:r>
              <w:rPr>
                <w:rFonts w:hint="eastAsia" w:ascii="黑体" w:hAnsi="黑体" w:eastAsia="黑体" w:cs="黑体"/>
                <w:b/>
                <w:color w:val="333333"/>
                <w:sz w:val="28"/>
                <w:szCs w:val="28"/>
                <w:lang w:val="en-US" w:eastAsia="zh-CN"/>
              </w:rPr>
              <w:t xml:space="preserve"> </w:t>
            </w:r>
            <w:r>
              <w:rPr>
                <w:rFonts w:hint="eastAsia" w:ascii="黑体" w:hAnsi="黑体" w:eastAsia="黑体" w:cs="黑体"/>
                <w:b/>
                <w:color w:val="333333"/>
                <w:sz w:val="28"/>
                <w:szCs w:val="28"/>
              </w:rPr>
              <w:t>标</w:t>
            </w:r>
          </w:p>
        </w:tc>
        <w:tc>
          <w:tcPr>
            <w:tcW w:w="2089" w:type="dxa"/>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b/>
                <w:color w:val="333333"/>
                <w:sz w:val="28"/>
                <w:szCs w:val="28"/>
              </w:rPr>
              <w:t>2025年目标</w:t>
            </w:r>
          </w:p>
        </w:tc>
        <w:tc>
          <w:tcPr>
            <w:tcW w:w="947" w:type="dxa"/>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b/>
                <w:color w:val="333333"/>
                <w:sz w:val="28"/>
                <w:szCs w:val="28"/>
              </w:rPr>
              <w:t>属性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常住人口规模（万人）</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199.8</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城乡建设用地规模（平方公里）</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319</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3</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生产生活用水总量（亿立方米）</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达到市级要求</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4</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单位地区生产总值能耗降幅（%）</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达到市级要求</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5</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单位地区生产总值二氧化碳排放降幅（%）</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达到市级要求</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6</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实际利用外资规模（亿美元）</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[12]</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7</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地区生产总值年均增速（%）</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&gt;6</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8</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建安投资（亿元）</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[1500]</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9</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固定资产投资（亿元）</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[3500]</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10</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社会消费品零售额年均增速（%）</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&gt;5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11</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高新技术企业数（家）</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1500</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12</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每万人拥有高价值发明专利数（件）</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20</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13</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技术合同成交额年均增速（%）</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14</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规模以上工业总产值年均增速（%）</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12</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15</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全区污水处理率（%）</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达到市级要求</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16</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生活垃圾回收利用率（%）</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37.5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17</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细颗粒物年均浓度（微克/立方米）</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达到市级要求</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18</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森林覆盖率（%）</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34.11</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19</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新增中小学学位数（万个）</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[0.945]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20</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人均公共文化服务设施建筑面积（平方米）</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0.39</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21</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千人养老机构床位数（张）</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22</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登记失业率（%）</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23</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居民人均可支配收入年均增速（%）</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与经济增长</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基本同步</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24</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单位地区生产总值生产安全事故死亡率（人/百亿元）</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&lt;0.8</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25</w:t>
            </w:r>
          </w:p>
        </w:tc>
        <w:tc>
          <w:tcPr>
            <w:tcW w:w="1442" w:type="dxa"/>
            <w:vMerge w:val="restart"/>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食品药品</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安全</w:t>
            </w:r>
          </w:p>
        </w:tc>
        <w:tc>
          <w:tcPr>
            <w:tcW w:w="3726"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食品安全抽检合格率（%）</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&gt;98.5</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26</w:t>
            </w:r>
          </w:p>
        </w:tc>
        <w:tc>
          <w:tcPr>
            <w:tcW w:w="1442" w:type="dxa"/>
            <w:vMerge w:val="continue"/>
            <w:tcBorders>
              <w:top w:val="nil"/>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560" w:firstLineChars="200"/>
              <w:jc w:val="center"/>
              <w:textAlignment w:val="auto"/>
              <w:rPr>
                <w:rFonts w:hint="eastAsia" w:ascii="仿宋_GB2312" w:hAnsi="仿宋_GB2312" w:eastAsia="仿宋_GB2312" w:cs="仿宋_GB2312"/>
                <w:color w:val="333333"/>
                <w:sz w:val="28"/>
                <w:szCs w:val="28"/>
              </w:rPr>
            </w:pPr>
          </w:p>
        </w:tc>
        <w:tc>
          <w:tcPr>
            <w:tcW w:w="3726"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药品抽验合格率（%）</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&gt;99</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631" w:type="dxa"/>
            <w:tcBorders>
              <w:top w:val="nil"/>
              <w:left w:val="single" w:color="auto" w:sz="6" w:space="0"/>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27</w:t>
            </w:r>
          </w:p>
        </w:tc>
        <w:tc>
          <w:tcPr>
            <w:tcW w:w="5168" w:type="dxa"/>
            <w:gridSpan w:val="2"/>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每万名常住人口疾控力量配比（人）</w:t>
            </w:r>
          </w:p>
        </w:tc>
        <w:tc>
          <w:tcPr>
            <w:tcW w:w="2089"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p>
        </w:tc>
        <w:tc>
          <w:tcPr>
            <w:tcW w:w="947" w:type="dxa"/>
            <w:tcBorders>
              <w:top w:val="nil"/>
              <w:left w:val="nil"/>
              <w:bottom w:val="single" w:color="auto" w:sz="6" w:space="0"/>
              <w:right w:val="single" w:color="auto" w:sz="6"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约束性</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注：[ ]为累计数。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66444"/>
    <w:rsid w:val="666C2A67"/>
    <w:rsid w:val="73F6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2021-11-12T12:48:00Z</dcterms:created>
  <dc:creator>wyn</dc:creator>
  <cp:lastModifiedBy>米露露</cp:lastModifiedBy>
  <dcterms:modified xsi:type="dcterms:W3CDTF">2022-03-10T10:30:33Z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D74C39EA76B74AA6AE6E20D9888BEC4B</vt:lpwstr>
  </property>
</Properties>
</file>