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198" w:firstLineChars="55"/>
        <w:rPr>
          <w:rFonts w:ascii="Times New Roman" w:hAnsi="Times New Roman"/>
        </w:rPr>
      </w:pPr>
      <w:bookmarkStart w:id="0" w:name="_Toc427522071"/>
      <w:bookmarkStart w:id="1" w:name="_Toc427228931"/>
      <w:bookmarkStart w:id="2" w:name="_Toc427522989"/>
      <w:bookmarkStart w:id="3" w:name="_Toc85459441"/>
      <w:bookmarkStart w:id="4" w:name="_Toc427228803"/>
      <w:bookmarkStart w:id="5" w:name="_Toc427229110"/>
      <w:bookmarkStart w:id="6" w:name="_Toc77843967"/>
      <w:bookmarkStart w:id="7" w:name="_Toc87546126"/>
      <w:r>
        <w:rPr>
          <w:rFonts w:ascii="Times New Roman" w:hAnsi="Times New Roman"/>
        </w:rPr>
        <w:t>第</w:t>
      </w:r>
      <w:r>
        <w:rPr>
          <w:rFonts w:hint="eastAsia" w:ascii="Times New Roman" w:hAnsi="Times New Roman"/>
        </w:rPr>
        <w:t>八</w:t>
      </w:r>
      <w:r>
        <w:rPr>
          <w:rFonts w:ascii="Times New Roman" w:hAnsi="Times New Roman"/>
        </w:rPr>
        <w:t>章 保障措施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ind w:firstLine="640"/>
        <w:rPr>
          <w:rFonts w:hint="eastAsia"/>
        </w:rPr>
      </w:pPr>
    </w:p>
    <w:p>
      <w:pPr>
        <w:pStyle w:val="3"/>
        <w:ind w:firstLine="640"/>
      </w:pPr>
      <w:bookmarkStart w:id="8" w:name="_Toc87546127"/>
      <w:bookmarkStart w:id="9" w:name="_Toc427228932"/>
      <w:bookmarkStart w:id="10" w:name="_Toc427522072"/>
      <w:bookmarkStart w:id="11" w:name="_Toc427522990"/>
      <w:bookmarkStart w:id="12" w:name="_Toc377319623"/>
      <w:bookmarkStart w:id="13" w:name="_Toc400889010"/>
      <w:bookmarkStart w:id="14" w:name="_Toc77843968"/>
      <w:bookmarkStart w:id="15" w:name="_Toc427228804"/>
      <w:bookmarkStart w:id="16" w:name="_Toc85459442"/>
      <w:bookmarkStart w:id="17" w:name="_Toc427229111"/>
      <w:r>
        <w:t>一、加强组织领导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>
      <w:pPr>
        <w:ind w:firstLine="640"/>
      </w:pPr>
      <w:r>
        <w:rPr>
          <w:rFonts w:hint="eastAsia"/>
          <w:color w:val="000000"/>
        </w:rPr>
        <w:t>按照生态环境保护“党政同责、一岗双责”要求，</w:t>
      </w:r>
      <w:r>
        <w:t>明确各有关部门的工作职责和主管领导。在规划实施过程中，分年度制定规划任务实施计划和工作目标，确保规划任务落到实处。同时要求各部门、各单位逐级分解并推进实施规划相关任务，对年度工作方案分解的各项任务要限期完成，定期</w:t>
      </w:r>
      <w:r>
        <w:rPr>
          <w:rFonts w:hint="eastAsia"/>
        </w:rPr>
        <w:t>评估</w:t>
      </w:r>
      <w:r>
        <w:t>，</w:t>
      </w:r>
      <w:r>
        <w:rPr>
          <w:rFonts w:hint="eastAsia" w:ascii="仿宋_GB2312"/>
        </w:rPr>
        <w:t>评估结果作为考核依据并向社会及时公布。发挥各部门及社会各界对规划实施情况的监督作用，</w:t>
      </w:r>
      <w:r>
        <w:t>确保工作稳定扎实推进。</w:t>
      </w:r>
    </w:p>
    <w:p>
      <w:pPr>
        <w:pStyle w:val="3"/>
        <w:ind w:firstLine="640"/>
      </w:pPr>
      <w:bookmarkStart w:id="18" w:name="_Toc87268366"/>
      <w:bookmarkStart w:id="19" w:name="_Toc77843972"/>
      <w:bookmarkStart w:id="20" w:name="_Toc87546128"/>
      <w:bookmarkStart w:id="21" w:name="_Toc85459446"/>
      <w:r>
        <w:rPr>
          <w:rFonts w:hint="eastAsia"/>
        </w:rPr>
        <w:t>二</w:t>
      </w:r>
      <w:r>
        <w:t>、</w:t>
      </w:r>
      <w:r>
        <w:rPr>
          <w:rFonts w:hint="eastAsia"/>
        </w:rPr>
        <w:t>强化</w:t>
      </w:r>
      <w:r>
        <w:t>科技支撑</w:t>
      </w:r>
      <w:bookmarkEnd w:id="18"/>
      <w:bookmarkEnd w:id="19"/>
      <w:bookmarkEnd w:id="20"/>
      <w:bookmarkEnd w:id="21"/>
    </w:p>
    <w:p>
      <w:pPr>
        <w:ind w:firstLine="640"/>
        <w:rPr>
          <w:rFonts w:hint="eastAsia"/>
        </w:rPr>
      </w:pPr>
      <w:r>
        <w:rPr>
          <w:rFonts w:hint="eastAsia" w:ascii="仿宋_GB2312"/>
        </w:rPr>
        <w:t>充分发挥科技的引领和支撑作用，继续加强生态环境类科学研究，围绕重大生态环境问题和关键技术等，组织科学研究，发展高效、前沿科学技术；创新生态环境监管手段，充分发挥物联网、大数据、人工智能等信息技术作用，推动“互联网＋监管”，提高生态环境监管信息化、智慧化、精准化水平。</w:t>
      </w:r>
    </w:p>
    <w:p>
      <w:pPr>
        <w:pStyle w:val="3"/>
        <w:ind w:firstLine="640"/>
      </w:pPr>
      <w:bookmarkStart w:id="22" w:name="_Toc427522075"/>
      <w:bookmarkStart w:id="23" w:name="_Toc427522993"/>
      <w:bookmarkStart w:id="24" w:name="_Toc427229114"/>
      <w:bookmarkStart w:id="25" w:name="_Toc427228807"/>
      <w:bookmarkStart w:id="26" w:name="_Toc77843971"/>
      <w:bookmarkStart w:id="27" w:name="_Toc85459445"/>
      <w:bookmarkStart w:id="28" w:name="_Toc427228935"/>
      <w:bookmarkStart w:id="29" w:name="_Toc87546129"/>
      <w:r>
        <w:rPr>
          <w:rFonts w:hint="eastAsia"/>
        </w:rPr>
        <w:t>三</w:t>
      </w:r>
      <w:r>
        <w:t>、保障资金</w:t>
      </w:r>
      <w:bookmarkEnd w:id="22"/>
      <w:bookmarkEnd w:id="23"/>
      <w:bookmarkEnd w:id="24"/>
      <w:bookmarkEnd w:id="25"/>
      <w:bookmarkEnd w:id="26"/>
      <w:bookmarkEnd w:id="27"/>
      <w:bookmarkEnd w:id="28"/>
      <w:r>
        <w:rPr>
          <w:rFonts w:hint="eastAsia"/>
        </w:rPr>
        <w:t>投入</w:t>
      </w:r>
      <w:bookmarkEnd w:id="29"/>
    </w:p>
    <w:p>
      <w:pPr>
        <w:ind w:firstLine="640"/>
      </w:pPr>
      <w:r>
        <w:t>加大财政投入力度，把生态环境保护建设资金纳入年度财政预算，保证逐年有所增长。发挥财政资金的引导放大作用，发挥金融部门、企业、社会等多渠道资金的作用，支持环境保护与生态建设各项工作。运用市场化运作机制，引导社会资金参与环保项目建设，发挥资金合力。</w:t>
      </w:r>
    </w:p>
    <w:p>
      <w:pPr>
        <w:pStyle w:val="3"/>
        <w:ind w:firstLine="640"/>
      </w:pPr>
      <w:bookmarkStart w:id="30" w:name="_Toc427229115"/>
      <w:bookmarkStart w:id="31" w:name="_Toc85459444"/>
      <w:bookmarkStart w:id="32" w:name="_Toc87546130"/>
      <w:bookmarkStart w:id="33" w:name="_Toc427522076"/>
      <w:bookmarkStart w:id="34" w:name="_Toc427522994"/>
      <w:bookmarkStart w:id="35" w:name="_Toc77843970"/>
      <w:bookmarkStart w:id="36" w:name="_Toc427228808"/>
      <w:bookmarkStart w:id="37" w:name="_Toc427228936"/>
      <w:r>
        <w:rPr>
          <w:rFonts w:hint="eastAsia"/>
        </w:rPr>
        <w:t>四</w:t>
      </w:r>
      <w:r>
        <w:t>、</w:t>
      </w:r>
      <w:r>
        <w:rPr>
          <w:rFonts w:hint="eastAsia"/>
        </w:rPr>
        <w:t>深化</w:t>
      </w:r>
      <w:r>
        <w:t>交流合作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pPr>
        <w:ind w:firstLine="800" w:firstLineChars="250"/>
        <w:rPr>
          <w:rFonts w:hint="eastAsia"/>
        </w:rPr>
      </w:pPr>
      <w:r>
        <w:t>加强与通州、房山、丰台以及河北廊坊、霸州等相邻地区生态环境保护合作，进行联合执法、污染治理、生态建设等。加强大兴区与国内先进地区以及国际环保组织、国际金融机构在生态环境领域的合作交流，积极引进先进地区生态环境保护先进技术和管理理念，推进污染治理、生态建设、设施共享、环境管理、科技发展等全方位的交流与合作</w:t>
      </w:r>
      <w:r>
        <w:rPr>
          <w:rFonts w:hint="eastAsia"/>
        </w:rPr>
        <w:t>。</w:t>
      </w:r>
    </w:p>
    <w:p>
      <w:bookmarkStart w:id="38" w:name="_GoBack"/>
      <w:bookmarkEnd w:id="38"/>
    </w:p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63F32"/>
    <w:rsid w:val="6B96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Title"/>
    <w:basedOn w:val="1"/>
    <w:next w:val="1"/>
    <w:qFormat/>
    <w:uiPriority w:val="0"/>
    <w:pPr>
      <w:ind w:firstLine="0" w:firstLineChars="0"/>
      <w:jc w:val="center"/>
      <w:outlineLvl w:val="0"/>
    </w:pPr>
    <w:rPr>
      <w:rFonts w:ascii="等线 Light" w:hAnsi="等线 Light" w:eastAsia="黑体"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2021-12-02T07:07:00Z</dcterms:created>
  <dc:creator>อยู่ชายเล็ก</dc:creator>
  <cp:lastModifiedBy>อยู่ชายเล็ก</cp:lastModifiedBy>
  <dcterms:modified xsi:type="dcterms:W3CDTF">2021-12-02T07:07:25Z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E5C081E4B0704025B4C5824FCA89EB1A</vt:lpwstr>
  </property>
</Properties>
</file>