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3850"/>
          <w:tab w:val="center" w:pos="4422"/>
        </w:tabs>
        <w:spacing w:before="0"/>
      </w:pPr>
      <w:r>
        <w:rPr>
          <w:rFonts w:ascii="Times New Roman" w:hAnsi="Times New Roman" w:eastAsia="宋体" w:cs="宋体"/>
          <w:color w:val="auto"/>
          <w:kern w:val="44"/>
          <w:sz w:val="44"/>
          <w:szCs w:val="44"/>
          <w:lang w:val="zh-CN"/>
        </w:rPr>
        <w:tab/>
      </w:r>
      <w:r>
        <w:rPr>
          <w:rFonts w:hint="eastAsia"/>
          <w:color w:val="000000" w:themeColor="text1"/>
          <w:sz w:val="44"/>
          <w:lang w:val="zh-CN"/>
          <w14:textFill>
            <w14:solidFill>
              <w14:schemeClr w14:val="tx1"/>
            </w14:solidFill>
          </w14:textFill>
        </w:rPr>
        <w:t>目录</w:t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"_Toc86521577"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一、发展基础与形势要求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_Toc86521577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"_Toc86521578"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（一）发展基础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_Toc86521578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"_Toc86521579"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（二）形势要求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_Toc86521579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- 9 -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sz w:val="28"/>
          <w:szCs w:val="28"/>
        </w:rPr>
      </w:pPr>
      <w:r>
        <w:fldChar w:fldCharType="begin"/>
      </w:r>
      <w:r>
        <w:instrText xml:space="preserve"> HYPERLINK \l "_Toc86521580"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kern w:val="0"/>
          <w:sz w:val="28"/>
          <w:szCs w:val="28"/>
        </w:rPr>
        <w:t>二、指导思想和主要目标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_Toc86521580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- 12 -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"_Toc86521581"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（一）指导思想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_Toc86521581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- 12 -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"_Toc86521582"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（二）发展目标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_Toc86521582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- 13 -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sz w:val="28"/>
          <w:szCs w:val="28"/>
        </w:rPr>
      </w:pPr>
      <w:r>
        <w:fldChar w:fldCharType="begin"/>
      </w:r>
      <w:r>
        <w:instrText xml:space="preserve"> HYPERLINK \l "_Toc86521583"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kern w:val="0"/>
          <w:sz w:val="28"/>
          <w:szCs w:val="28"/>
        </w:rPr>
        <w:t>三、主要任务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_Toc86521583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- 15 -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"_Toc86521584"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（一）加强党对教育工作的全面领导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_Toc86521584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- 15 -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"_Toc86521585"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（二）落实“五育”并举，促进学生全面发展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_Toc86521585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- 17 -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"_Toc86521586"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（三）围绕“七有”“五性”全面提升基本公共教育水平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_Toc86521586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- 24 -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"_Toc86521587"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（四）围绕“三区一门户”功能定位整体提升区域教育品质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- 30 -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"_Toc86521588"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（五）全面深化新时代干部教师队伍建设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- 33 -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"_Toc86521589"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（六）促进教育与信息技术深度融合发展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_Toc86521589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- 35 -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"_Toc86521590"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（七）积极扩大教育开放合作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_Toc86521590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- 37 -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"_Toc86521591"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（八）持续深化教育领域综合改革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_Toc86521591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- 39 -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sz w:val="28"/>
          <w:szCs w:val="28"/>
        </w:rPr>
      </w:pPr>
      <w:r>
        <w:fldChar w:fldCharType="begin"/>
      </w:r>
      <w:r>
        <w:instrText xml:space="preserve"> HYPERLINK \l "_Toc86521592"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四、保障措施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_Toc86521592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- 40 -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"_Toc86521593"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（一）全面推进依法治教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_Toc86521593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- 40 -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"_Toc86521594"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（二）提升教育经费保障能力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_Toc86521594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- 41 -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"_Toc86521595"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（三）加强教育督导评估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_Toc86521595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- 41 -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"_Toc86521596"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（四）维护校园安全稳定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_Toc86521596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- 42 -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4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"_Toc86521597"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（五）加强教育发展战略研究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- 42 -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ajorEastAsia" w:hAnsiTheme="majorEastAsia" w:eastAsiaTheme="majorEastAsia" w:cstheme="minorBidi"/>
          <w:sz w:val="28"/>
          <w:szCs w:val="28"/>
        </w:rPr>
      </w:pPr>
      <w:r>
        <w:fldChar w:fldCharType="begin"/>
      </w:r>
      <w:r>
        <w:instrText xml:space="preserve"> HYPERLINK \l "_Toc86521598"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五、规划实施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- 43 -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3"/>
        <w:tabs>
          <w:tab w:val="right" w:leader="dot" w:pos="8835"/>
        </w:tabs>
        <w:spacing w:line="560" w:lineRule="exact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"_Toc86521599"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8"/>
          <w:szCs w:val="28"/>
        </w:rPr>
        <w:t>附件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_Toc86521599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- 44 -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07FA"/>
    <w:rsid w:val="131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 w:cs="宋体" w:asciiTheme="minorHAnsi" w:hAnsiTheme="minorHAnsi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2021-12-31T10:52:00Z</dcterms:created>
  <dc:creator>อยู่ชายเล็ก</dc:creator>
  <cp:lastModifiedBy>อยู่ชายเล็ก</cp:lastModifiedBy>
  <dcterms:modified xsi:type="dcterms:W3CDTF">2021-12-31T10:52:55Z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7A3BBDEEAF184DEC916C76A4E40D18C6</vt:lpwstr>
  </property>
</Properties>
</file>