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ind w:firstLine="640" w:firstLineChars="200"/>
        <w:rPr>
          <w:rFonts w:ascii="黑体" w:hAnsi="黑体" w:eastAsia="黑体"/>
          <w:bCs w:val="0"/>
          <w:szCs w:val="32"/>
        </w:rPr>
      </w:pPr>
      <w:bookmarkStart w:id="11" w:name="_GoBack"/>
      <w:bookmarkStart w:id="0" w:name="_Toc47710447"/>
      <w:bookmarkStart w:id="1" w:name="_Toc86521592"/>
      <w:r>
        <w:rPr>
          <w:rFonts w:hint="eastAsia" w:ascii="黑体" w:hAnsi="黑体" w:eastAsia="黑体"/>
          <w:b w:val="0"/>
          <w:sz w:val="32"/>
          <w:szCs w:val="32"/>
        </w:rPr>
        <w:t>四、保障措施</w:t>
      </w:r>
      <w:bookmarkEnd w:id="0"/>
      <w:bookmarkEnd w:id="1"/>
    </w:p>
    <w:bookmarkEnd w:id="11"/>
    <w:p>
      <w:pPr>
        <w:pStyle w:val="3"/>
        <w:spacing w:before="0" w:after="0" w:line="560" w:lineRule="exact"/>
        <w:ind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2" w:name="_Toc86521593"/>
      <w:bookmarkStart w:id="3" w:name="_Toc47710448"/>
      <w:r>
        <w:rPr>
          <w:rFonts w:hint="eastAsia" w:ascii="楷体_GB2312" w:hAnsi="楷体_GB2312" w:eastAsia="楷体_GB2312" w:cs="楷体_GB2312"/>
          <w:b w:val="0"/>
          <w:bCs w:val="0"/>
        </w:rPr>
        <w:t>（一）全面推进依法治教</w:t>
      </w:r>
      <w:bookmarkEnd w:id="2"/>
    </w:p>
    <w:p>
      <w:pPr>
        <w:spacing w:line="560" w:lineRule="exact"/>
        <w:ind w:firstLine="640" w:firstLineChars="200"/>
        <w:rPr>
          <w:rFonts w:hAnsi="仿宋_GB2312" w:cs="仿宋_GB2312"/>
          <w:color w:val="FF0000"/>
        </w:rPr>
      </w:pPr>
      <w:r>
        <w:rPr>
          <w:rFonts w:hint="eastAsia"/>
          <w:kern w:val="0"/>
        </w:rPr>
        <w:t>全面落实依法治教体系，加快构建政府依法行政、学校依法办学、教师依法执教、社会依法支持和参与教育治理的教育发展新格局。构建完善的制度体系，根据法定职权制定出台各类教育标准、规范、程序。健全教育纠纷处理机制，完善教育普法机制。根据《北京市中小学依法治校基本标准》，着力推动区内中小学校对照标准加强制度建设，推进依法治校规范校建设达标工作。</w:t>
      </w:r>
    </w:p>
    <w:p>
      <w:pPr>
        <w:spacing w:line="560" w:lineRule="exact"/>
        <w:ind w:firstLine="640" w:firstLineChars="200"/>
        <w:rPr>
          <w:kern w:val="0"/>
        </w:rPr>
      </w:pPr>
      <w:r>
        <w:rPr>
          <w:rFonts w:hint="eastAsia"/>
          <w:kern w:val="0"/>
        </w:rPr>
        <w:t>把全面加强学生法治教育放在教育工作的突出位置，弘扬社会主义法治精神。积极推动中小学生法治教育实践基地建设，为区域内的中小学校实施法治教育提供支持和服务。健全中小学生法治教育支持体系，着力提升中小学法治教育教师专业素质。</w:t>
      </w:r>
      <w:bookmarkEnd w:id="3"/>
    </w:p>
    <w:p>
      <w:pPr>
        <w:pStyle w:val="3"/>
        <w:spacing w:before="0" w:after="0" w:line="560" w:lineRule="exact"/>
        <w:ind w:firstLine="640" w:firstLineChars="200"/>
        <w:rPr>
          <w:rFonts w:ascii="楷体_GB2312" w:hAnsi="楷体_GB2312" w:eastAsia="楷体_GB2312" w:cs="楷体_GB2312"/>
          <w:b w:val="0"/>
          <w:bCs w:val="0"/>
          <w:color w:val="FF0000"/>
        </w:rPr>
      </w:pPr>
      <w:bookmarkStart w:id="4" w:name="_Toc47710449"/>
      <w:bookmarkStart w:id="5" w:name="_Toc86521594"/>
      <w:r>
        <w:rPr>
          <w:rFonts w:hint="eastAsia" w:ascii="楷体_GB2312" w:hAnsi="楷体_GB2312" w:eastAsia="楷体_GB2312" w:cs="楷体_GB2312"/>
          <w:b w:val="0"/>
          <w:bCs w:val="0"/>
        </w:rPr>
        <w:t>（二）</w:t>
      </w:r>
      <w:bookmarkEnd w:id="4"/>
      <w:bookmarkStart w:id="6" w:name="_Toc47710450"/>
      <w:r>
        <w:rPr>
          <w:rFonts w:hint="eastAsia" w:ascii="楷体_GB2312" w:hAnsi="楷体_GB2312" w:eastAsia="楷体_GB2312" w:cs="楷体_GB2312"/>
          <w:b w:val="0"/>
          <w:bCs w:val="0"/>
        </w:rPr>
        <w:t>提升教育经费保障能力</w:t>
      </w:r>
      <w:bookmarkEnd w:id="5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宋体"/>
          <w:kern w:val="0"/>
          <w:szCs w:val="32"/>
        </w:rPr>
      </w:pPr>
      <w:r>
        <w:rPr>
          <w:rFonts w:hint="eastAsia" w:ascii="仿宋_GB2312" w:hAnsi="仿宋" w:cs="宋体"/>
          <w:kern w:val="0"/>
          <w:szCs w:val="32"/>
        </w:rPr>
        <w:t>继续加大政府对教育经费投入的保障力度，明确事权与支出责任相匹配的经费保障</w:t>
      </w:r>
      <w:r>
        <w:rPr>
          <w:rFonts w:ascii="仿宋_GB2312" w:hAnsi="仿宋" w:cs="宋体"/>
          <w:kern w:val="0"/>
          <w:szCs w:val="32"/>
        </w:rPr>
        <w:t>机制</w:t>
      </w:r>
      <w:r>
        <w:rPr>
          <w:rFonts w:hint="eastAsia" w:ascii="仿宋_GB2312" w:hAnsi="仿宋" w:cs="宋体"/>
          <w:kern w:val="0"/>
          <w:szCs w:val="32"/>
        </w:rPr>
        <w:t>。完善教育经费投入机制，拓宽教育投入渠道，足额保障学校办学经费。加强政策设计、制度设计、标准设计带动投入，确保教育投入总量与全区教育事业发展的实际需求相适应、教育投入结构与全区教育布局结构变化相适应。理顺政府与市场、政府与社会的关系，充分发挥财政资金引导和放大作用，提高经费使用效益，撬动社会资本投入教育事业，有效解决教育资源相对不足的问题。建立以优质教育资源引进、教师素质提升、学校质量整体改进等重大改革项目为牵引的教育发展支持体系，对项目体系进行系统设计，避免碎片化、重复建设和资源浪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宋体"/>
          <w:kern w:val="0"/>
          <w:szCs w:val="32"/>
        </w:rPr>
      </w:pPr>
      <w:r>
        <w:rPr>
          <w:rFonts w:hint="eastAsia" w:ascii="仿宋_GB2312" w:hAnsi="仿宋" w:cs="宋体"/>
          <w:kern w:val="0"/>
          <w:szCs w:val="32"/>
        </w:rPr>
        <w:t>加强财会人员队伍专业化建设，将绩效管理贯穿于财政教育资金投入、使用、监督的全过程，使教育经费的管理向科学化、规范化、精细化迈进。进一步加强对教育重大项目、大额资金和预算执行情况的审计，努力实现审计手段现代化。</w:t>
      </w:r>
    </w:p>
    <w:p>
      <w:pPr>
        <w:pStyle w:val="3"/>
        <w:spacing w:before="0" w:after="0" w:line="560" w:lineRule="exact"/>
        <w:ind w:firstLine="640" w:firstLineChars="200"/>
        <w:rPr>
          <w:rFonts w:ascii="楷体_GB2312" w:hAnsi="楷体_GB2312" w:eastAsia="楷体_GB2312" w:cs="楷体_GB2312"/>
          <w:b w:val="0"/>
          <w:bCs w:val="0"/>
          <w:color w:val="FF0000"/>
        </w:rPr>
      </w:pPr>
      <w:bookmarkStart w:id="7" w:name="_Toc86521595"/>
      <w:r>
        <w:rPr>
          <w:rFonts w:hint="eastAsia" w:ascii="楷体_GB2312" w:hAnsi="楷体_GB2312" w:eastAsia="楷体_GB2312" w:cs="楷体_GB2312"/>
          <w:b w:val="0"/>
          <w:bCs w:val="0"/>
        </w:rPr>
        <w:t>（三）加强教育督导评估</w:t>
      </w:r>
      <w:bookmarkEnd w:id="7"/>
    </w:p>
    <w:p>
      <w:pPr>
        <w:spacing w:line="560" w:lineRule="exact"/>
        <w:ind w:firstLine="640" w:firstLineChars="200"/>
        <w:rPr>
          <w:rFonts w:ascii="仿宋_GB2312" w:hAnsiTheme="minorEastAsia" w:cstheme="minorEastAsia"/>
          <w:kern w:val="0"/>
          <w:szCs w:val="32"/>
        </w:rPr>
      </w:pPr>
      <w:r>
        <w:rPr>
          <w:rFonts w:hint="eastAsia" w:ascii="仿宋_GB2312" w:hAnsiTheme="minorEastAsia" w:cstheme="minorEastAsia"/>
          <w:kern w:val="0"/>
          <w:szCs w:val="32"/>
        </w:rPr>
        <w:t>完善区政府教育督导委员会履职机制，加强教育督导机构建设，保障独立行使职能。健全督政的体制和机制，加强对政府各部门履行教育职责的督导，强化对教育法规、规划、投入、人事、信息等各要素保障程度的督导。强化督学责任区建设和挂牌督导机制，完善学校内部督导运行机制，加强对学校规范办学的督导，促进学校提高办学质量和水平。规范综合督导、强化专项督导、完善经常性督导，提高督导的针对性、实效性。加强教育督导结果的使用，完善督导问责机制，引导整改提质。拓宽督学来源，吸引优秀人才，建立高素质、专业化的督学队伍，提升督导的专业性。健全社会参与教育评价机制，积极开展第三方评价，充分发挥专业评估机构的作用，增强评价的专业性、独立性和客观性。</w:t>
      </w:r>
    </w:p>
    <w:bookmarkEnd w:id="6"/>
    <w:p>
      <w:pPr>
        <w:pStyle w:val="3"/>
        <w:spacing w:before="0" w:after="0" w:line="560" w:lineRule="exact"/>
        <w:ind w:firstLine="640" w:firstLineChars="200"/>
        <w:rPr>
          <w:rFonts w:ascii="楷体_GB2312" w:hAnsi="楷体_GB2312" w:eastAsia="楷体_GB2312" w:cs="楷体_GB2312"/>
          <w:b w:val="0"/>
          <w:bCs w:val="0"/>
          <w:color w:val="FF0000"/>
        </w:rPr>
      </w:pPr>
      <w:bookmarkStart w:id="8" w:name="_Toc86521596"/>
      <w:bookmarkStart w:id="9" w:name="_Toc47710452"/>
      <w:r>
        <w:rPr>
          <w:rFonts w:hint="eastAsia" w:ascii="楷体_GB2312" w:hAnsi="楷体_GB2312" w:eastAsia="楷体_GB2312" w:cs="楷体_GB2312"/>
          <w:b w:val="0"/>
          <w:bCs w:val="0"/>
        </w:rPr>
        <w:t>（四）维护校园安全稳定</w:t>
      </w:r>
      <w:bookmarkEnd w:id="8"/>
    </w:p>
    <w:p>
      <w:pPr>
        <w:spacing w:line="560" w:lineRule="exact"/>
        <w:ind w:firstLine="640" w:firstLineChars="200"/>
      </w:pPr>
      <w:r>
        <w:rPr>
          <w:rFonts w:hint="eastAsia"/>
        </w:rPr>
        <w:t>坚持“安全第一、预防为主、综合治理”方针，完善中小学校安全标准体系建设，实施“平安校园”建设提升工程。完善学校安全事故处理和风险化解机制，构建学校依法处理安全事故的支持体系。建立应急管理处置机制，提高学校安全监管能力。提升学校应对突发事件能力。以国家安全宣传教育为重点，健全学校安全教育机制，推动建设“课堂教育、日常宣传、专题活动、实践体验”四位一体的学生安全教育体系。组织学校定期开展应对自然灾害、安全事故防范处理、突发公共卫生事件等各类安全应急演练活动，切实提高学生的安全意识和应急避险能力。</w:t>
      </w:r>
    </w:p>
    <w:p>
      <w:pPr>
        <w:pStyle w:val="3"/>
        <w:spacing w:before="0" w:after="0" w:line="560" w:lineRule="exact"/>
        <w:ind w:firstLine="640" w:firstLineChars="200"/>
        <w:rPr>
          <w:rFonts w:ascii="楷体_GB2312" w:hAnsi="楷体_GB2312" w:eastAsia="楷体_GB2312" w:cs="楷体_GB2312"/>
          <w:b w:val="0"/>
          <w:bCs w:val="0"/>
          <w:kern w:val="0"/>
        </w:rPr>
      </w:pPr>
      <w:bookmarkStart w:id="10" w:name="_Toc86521597"/>
      <w:r>
        <w:rPr>
          <w:rFonts w:hint="eastAsia" w:ascii="楷体_GB2312" w:hAnsi="楷体_GB2312" w:eastAsia="楷体_GB2312" w:cs="楷体_GB2312"/>
          <w:b w:val="0"/>
          <w:bCs w:val="0"/>
        </w:rPr>
        <w:t>（五）加强教育发展战略研究</w:t>
      </w:r>
      <w:bookmarkEnd w:id="1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Theme="minorEastAsia" w:cstheme="minorEastAsia"/>
          <w:kern w:val="0"/>
          <w:szCs w:val="32"/>
        </w:rPr>
      </w:pPr>
      <w:r>
        <w:rPr>
          <w:rFonts w:hint="eastAsia" w:ascii="仿宋_GB2312" w:hAnsiTheme="minorEastAsia" w:cstheme="minorEastAsia"/>
          <w:kern w:val="0"/>
          <w:szCs w:val="32"/>
        </w:rPr>
        <w:t>完善教育发展战略研究机制，加强与北京或全国的高端智库联系，通过规范化制度化的项目招标、直接委托、课题合作、决策评估等方式，引导智库围绕大兴区教育发展中的突出问题、关键问题、重大问题和战略问题开展研究，提供教育战略、政策、制度、标准、措施等研究成果和建议，充分发挥智库对教育发展战略决策的参与和咨询服务作用。加强教育发展战略相关信息资料的收集分析工作，建立可靠有效的教育信息库，为教育发展战略研究和决策提供基础性资料支撑。完善教育发展战略决策专家咨询机制，建立专家咨询库，形成定期或不定期开展专家咨询的会议制度，提高教育决策的科学化水平。</w:t>
      </w:r>
      <w:bookmarkEnd w:id="9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E4E47"/>
    <w:rsid w:val="3B7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 w:cs="宋体" w:asciiTheme="minorHAnsi" w:hAnsiTheme="minorHAnsi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2021-12-31T10:57:00Z</dcterms:created>
  <dc:creator>อยู่ชายเล็ก</dc:creator>
  <cp:lastModifiedBy>อยู่ชายเล็ก</cp:lastModifiedBy>
  <dcterms:modified xsi:type="dcterms:W3CDTF">2021-12-31T10:57:55Z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047F44C592A04DBEB06E5EEFA98A32EA</vt:lpwstr>
  </property>
</Properties>
</file>