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 w:firstLineChars="200"/>
        <w:rPr>
          <w:b w:val="0"/>
        </w:rPr>
      </w:pPr>
      <w:bookmarkStart w:id="0" w:name="_Toc56457988"/>
      <w:bookmarkStart w:id="4" w:name="_GoBack"/>
      <w:r>
        <w:rPr>
          <w:rFonts w:hint="eastAsia"/>
          <w:b w:val="0"/>
        </w:rPr>
        <w:t>二、</w:t>
      </w:r>
      <w:r>
        <w:rPr>
          <w:b w:val="0"/>
        </w:rPr>
        <w:t>着力构建现代化综合立体交通运输体系</w:t>
      </w:r>
      <w:bookmarkEnd w:id="0"/>
      <w:bookmarkEnd w:id="4"/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1" w:name="_Toc56457989"/>
      <w:r>
        <w:rPr>
          <w:rFonts w:hint="eastAsia" w:ascii="楷体" w:hAnsi="楷体" w:cs="Times New Roman"/>
          <w:b w:val="0"/>
        </w:rPr>
        <w:t>（一）指导思想</w:t>
      </w:r>
      <w:bookmarkEnd w:id="1"/>
    </w:p>
    <w:p>
      <w:pPr>
        <w:snapToGrid w:val="0"/>
        <w:spacing w:line="560" w:lineRule="exact"/>
        <w:ind w:firstLine="640" w:firstLineChars="200"/>
        <w:rPr>
          <w:rFonts w:cs="Times New Roman"/>
          <w:kern w:val="0"/>
          <w:sz w:val="32"/>
          <w:szCs w:val="27"/>
        </w:rPr>
      </w:pPr>
      <w:r>
        <w:rPr>
          <w:rFonts w:hint="eastAsia" w:cs="Times New Roman"/>
          <w:kern w:val="0"/>
          <w:sz w:val="32"/>
          <w:szCs w:val="27"/>
        </w:rPr>
        <w:t>以习近平新时代中国特色社会主义思想为指导，统筹推进“五位一体”总体布局，协调推进“四个全面”战略布局，树立“创新、协调、绿色、开放、共享”的发展理念，把握“三区一门户”的功能定位和建设国际一流的和谐宜居之都的总体目标，紧抓大兴国际机场通航、临空经济区和北京新两翼规划建设的历史机遇，坚持新发展理念，坚持推动高质量发展，以供给侧结构性改革为主线，通过规划引领、设施建设、需求调控、加强管理等多项措施，促进结构调整和交通运输新业态、新模式快速发展，全面推进交通行业治理体系和治理能力现代化，构建安全、便捷、高效、绿色、经济的现代化交通体系，打造一流设施、一流技术、一流管理、一流服务，建设人民满意交通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2" w:name="_Toc56457990"/>
      <w:r>
        <w:rPr>
          <w:rFonts w:hint="eastAsia" w:ascii="楷体" w:hAnsi="楷体" w:cs="Times New Roman"/>
          <w:b w:val="0"/>
        </w:rPr>
        <w:t>（二）基本原则</w:t>
      </w:r>
      <w:bookmarkEnd w:id="2"/>
    </w:p>
    <w:p>
      <w:pPr>
        <w:snapToGrid w:val="0"/>
        <w:spacing w:line="560" w:lineRule="exact"/>
        <w:ind w:firstLine="643" w:firstLineChars="200"/>
        <w:rPr>
          <w:kern w:val="0"/>
          <w:sz w:val="32"/>
          <w:szCs w:val="27"/>
        </w:rPr>
      </w:pPr>
      <w:r>
        <w:rPr>
          <w:rFonts w:hint="eastAsia"/>
          <w:b/>
          <w:kern w:val="0"/>
          <w:sz w:val="32"/>
          <w:szCs w:val="27"/>
        </w:rPr>
        <w:t>目标导向与问题导向。</w:t>
      </w:r>
      <w:r>
        <w:rPr>
          <w:rFonts w:hint="eastAsia"/>
          <w:kern w:val="0"/>
          <w:sz w:val="32"/>
          <w:szCs w:val="27"/>
        </w:rPr>
        <w:t>对标十九大提出的中长期目标要求和北京、大兴区城市发展总体目标，理清“十四五”规划期内大兴交通发展的阶段性目标和重点领域发展的阶段性要求。深刻认识和把握现代城市和交通发展运行规律，引导交通实现科学有序发展。针对公共交通服务水平不高、综合检查站建设滞后等问题，通过规划引领、设施建设、需求调控、加强管理等多项措施，完善大兴交通运输体系。</w:t>
      </w:r>
    </w:p>
    <w:p>
      <w:pPr>
        <w:snapToGrid w:val="0"/>
        <w:spacing w:line="560" w:lineRule="exact"/>
        <w:ind w:firstLine="643" w:firstLineChars="200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安全发展与科技先导。</w:t>
      </w:r>
      <w:r>
        <w:rPr>
          <w:rFonts w:hint="eastAsia"/>
          <w:kern w:val="0"/>
          <w:sz w:val="32"/>
          <w:szCs w:val="27"/>
        </w:rPr>
        <w:t>把安全放在交通运输的突出位置，强化交通运输从业人员安全技能培训教育，提高运输装备的安全技术标准，完善交通基础设施的安全防护和监测能力。加强政府安全监管，加快信息化和智慧交通体系建设，加大交通信息监控平台硬件和软件建设，依托科技和创新的力量提高交通运输效率，提升行业技术和管理服务水平。</w:t>
      </w:r>
    </w:p>
    <w:p>
      <w:pPr>
        <w:snapToGrid w:val="0"/>
        <w:spacing w:line="560" w:lineRule="exact"/>
        <w:ind w:firstLine="643" w:firstLineChars="200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深化改革与创新驱动。</w:t>
      </w:r>
      <w:r>
        <w:rPr>
          <w:rFonts w:hint="eastAsia"/>
          <w:kern w:val="0"/>
          <w:sz w:val="32"/>
          <w:szCs w:val="32"/>
        </w:rPr>
        <w:t>全</w:t>
      </w:r>
      <w:r>
        <w:rPr>
          <w:rFonts w:hint="eastAsia"/>
          <w:kern w:val="0"/>
          <w:sz w:val="32"/>
          <w:szCs w:val="27"/>
        </w:rPr>
        <w:t>面深化交通行业重点领域和关键环节改革，破解影响交通发展的深层次矛盾和问题，充分发挥市场在资源配置中的决定性作用，加快建立有利于构建现代化交通运输体系的体制机制，全面推进交通行业治理体系和治理能力现代化。</w:t>
      </w:r>
    </w:p>
    <w:p>
      <w:pPr>
        <w:snapToGrid w:val="0"/>
        <w:spacing w:line="560" w:lineRule="exact"/>
        <w:ind w:firstLine="643" w:firstLineChars="200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绿色低碳与行业转型。</w:t>
      </w:r>
      <w:r>
        <w:rPr>
          <w:rFonts w:hint="eastAsia"/>
          <w:kern w:val="0"/>
          <w:sz w:val="32"/>
          <w:szCs w:val="32"/>
        </w:rPr>
        <w:t>大力发展低碳、高效的公共交通系统，推进出行服务快速化、便捷化；货运发展多式联运，优化交通能源结构，推进清洁能源车辆的应用，促进货运节能减排。</w:t>
      </w:r>
    </w:p>
    <w:p>
      <w:pPr>
        <w:snapToGrid w:val="0"/>
        <w:spacing w:line="560" w:lineRule="exact"/>
        <w:ind w:firstLine="643" w:firstLineChars="200"/>
        <w:rPr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战略统领与务实可行。</w:t>
      </w:r>
      <w:r>
        <w:rPr>
          <w:rFonts w:hint="eastAsia"/>
          <w:kern w:val="0"/>
          <w:sz w:val="32"/>
          <w:szCs w:val="32"/>
        </w:rPr>
        <w:t>阐明城市交通运输发展的阶段性部署和安排、明确政府工作重点、引导规范市场主体行为；因地制宜设定规划目标和指标、任务和项目、路径和措施，将规划作为编制年度工作计划的重要依据，使规划可操作、能总结、易评估。</w:t>
      </w:r>
    </w:p>
    <w:p>
      <w:pPr>
        <w:pStyle w:val="3"/>
        <w:spacing w:before="156" w:beforeLines="50" w:after="156" w:afterLines="50" w:line="560" w:lineRule="exact"/>
        <w:ind w:firstLine="640" w:firstLineChars="200"/>
        <w:rPr>
          <w:rFonts w:ascii="楷体" w:hAnsi="楷体" w:cs="Times New Roman"/>
          <w:b w:val="0"/>
        </w:rPr>
      </w:pPr>
      <w:bookmarkStart w:id="3" w:name="_Toc56457991"/>
      <w:r>
        <w:rPr>
          <w:rFonts w:hint="eastAsia" w:ascii="楷体" w:hAnsi="楷体" w:cs="Times New Roman"/>
          <w:b w:val="0"/>
        </w:rPr>
        <w:t>（三）发展目标</w:t>
      </w:r>
      <w:bookmarkEnd w:id="3"/>
    </w:p>
    <w:p>
      <w:pPr>
        <w:snapToGrid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“十四五”时期大兴区交通发展总目标为：</w:t>
      </w:r>
      <w:r>
        <w:rPr>
          <w:rFonts w:hint="eastAsia"/>
          <w:b/>
          <w:kern w:val="0"/>
          <w:sz w:val="32"/>
          <w:szCs w:val="32"/>
        </w:rPr>
        <w:t>协调推进“四个全面”战略布局，推动交通发展由追求速度规模向更加注重质量效益转变；运输基础设施建设明显加快，交通运输服务水平和安全水平有效提高，智慧绿色平安交通稳步推进，城市公共交通基础设施智能化水平全面提升；运输结构趋于合理，多式联运高效经济，科技进步和创新的力量推动交通运输效率提高，行业技术和管理服务水平提升，市场监管水平进一步提高；交通运输新业态、新模式快速发展，行业治理体系和治理能力现代化水平不断提升。</w:t>
      </w:r>
      <w:r>
        <w:rPr>
          <w:rFonts w:hint="eastAsia"/>
          <w:b/>
          <w:bCs/>
          <w:sz w:val="32"/>
          <w:szCs w:val="32"/>
        </w:rPr>
        <w:t>初步形成安全、便捷、高效、绿色、经济的现代化综合交通运输体系。</w:t>
      </w:r>
    </w:p>
    <w:p>
      <w:pPr>
        <w:snapToGrid w:val="0"/>
        <w:spacing w:line="560" w:lineRule="exact"/>
        <w:ind w:firstLine="640" w:firstLineChars="200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为实现发展目标共设定客运、货运、汽修、治超、安全应急和信息化六个方面</w:t>
      </w:r>
      <w:r>
        <w:rPr>
          <w:kern w:val="0"/>
          <w:sz w:val="32"/>
          <w:szCs w:val="32"/>
        </w:rPr>
        <w:t>14</w:t>
      </w:r>
      <w:r>
        <w:rPr>
          <w:rFonts w:hint="eastAsia"/>
          <w:kern w:val="0"/>
          <w:sz w:val="32"/>
          <w:szCs w:val="32"/>
        </w:rPr>
        <w:t>项核心规划指标，其中4项为约束性指标，10项为预期性指标。</w:t>
      </w:r>
    </w:p>
    <w:p>
      <w:pPr>
        <w:spacing w:line="360" w:lineRule="auto"/>
        <w:jc w:val="center"/>
        <w:rPr>
          <w:b/>
          <w:szCs w:val="28"/>
        </w:rPr>
      </w:pPr>
      <w:r>
        <w:rPr>
          <w:rFonts w:hint="eastAsia"/>
          <w:b/>
          <w:szCs w:val="28"/>
        </w:rPr>
        <w:t>表1</w:t>
      </w:r>
      <w:r>
        <w:rPr>
          <w:b/>
          <w:szCs w:val="28"/>
        </w:rPr>
        <w:t xml:space="preserve"> </w:t>
      </w:r>
      <w:r>
        <w:rPr>
          <w:rFonts w:hint="eastAsia"/>
          <w:b/>
          <w:szCs w:val="28"/>
        </w:rPr>
        <w:t>“十四五”时期大兴区交通运输发展建设规划核心指标表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965"/>
        <w:gridCol w:w="3421"/>
        <w:gridCol w:w="165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领域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指标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规划值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（2</w:t>
            </w:r>
            <w:r>
              <w:rPr>
                <w:b/>
                <w:bCs/>
                <w:kern w:val="0"/>
                <w:sz w:val="24"/>
                <w:szCs w:val="28"/>
              </w:rPr>
              <w:t>0</w:t>
            </w: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25年）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客运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新能源公交车占比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  <w:r>
              <w:rPr>
                <w:bCs/>
                <w:kern w:val="0"/>
                <w:sz w:val="24"/>
                <w:szCs w:val="28"/>
              </w:rPr>
              <w:t>00</w:t>
            </w:r>
            <w:r>
              <w:rPr>
                <w:rFonts w:hint="eastAsia"/>
                <w:bCs/>
                <w:kern w:val="0"/>
                <w:sz w:val="24"/>
                <w:szCs w:val="28"/>
              </w:rPr>
              <w:t>%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大兴新城公共交通站点500米覆盖率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9</w:t>
            </w:r>
            <w:r>
              <w:rPr>
                <w:bCs/>
                <w:kern w:val="0"/>
                <w:sz w:val="24"/>
                <w:szCs w:val="28"/>
              </w:rPr>
              <w:t>0</w:t>
            </w:r>
            <w:r>
              <w:rPr>
                <w:rFonts w:hint="eastAsia"/>
                <w:bCs/>
                <w:kern w:val="0"/>
                <w:sz w:val="24"/>
                <w:szCs w:val="28"/>
              </w:rPr>
              <w:t>%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3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公交专用道里程</w:t>
            </w:r>
          </w:p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（车道公里）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16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公交场站建设数量（个）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48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5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公交满意度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bCs/>
                <w:kern w:val="0"/>
                <w:sz w:val="24"/>
                <w:szCs w:val="28"/>
              </w:rPr>
              <w:t>9</w:t>
            </w:r>
            <w:r>
              <w:rPr>
                <w:rFonts w:hint="eastAsia"/>
                <w:bCs/>
                <w:kern w:val="0"/>
                <w:sz w:val="24"/>
                <w:szCs w:val="28"/>
              </w:rPr>
              <w:t>5%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货运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6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货运车辆数（辆）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9</w:t>
            </w:r>
            <w:r>
              <w:rPr>
                <w:bCs/>
                <w:kern w:val="0"/>
                <w:sz w:val="24"/>
                <w:szCs w:val="28"/>
              </w:rPr>
              <w:t>890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7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新能源和清洁能源道路货物运输车辆数（辆）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  <w:r>
              <w:rPr>
                <w:bCs/>
                <w:kern w:val="0"/>
                <w:sz w:val="24"/>
                <w:szCs w:val="28"/>
              </w:rPr>
              <w:t>00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8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多式联运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汽修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9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企业总数量（个）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bCs/>
                <w:kern w:val="0"/>
                <w:sz w:val="24"/>
                <w:szCs w:val="28"/>
              </w:rPr>
              <w:t>300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10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一类、二类企业占比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5</w:t>
            </w:r>
            <w:r>
              <w:rPr>
                <w:bCs/>
                <w:kern w:val="0"/>
                <w:sz w:val="24"/>
                <w:szCs w:val="28"/>
              </w:rPr>
              <w:t>5</w:t>
            </w:r>
            <w:r>
              <w:rPr>
                <w:rFonts w:hint="eastAsia"/>
                <w:bCs/>
                <w:kern w:val="0"/>
                <w:sz w:val="24"/>
                <w:szCs w:val="28"/>
              </w:rPr>
              <w:t>%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restar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治超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11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非现场执法设备（个）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3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Merge w:val="continue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12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综合检查站建设（个）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安全</w:t>
            </w:r>
          </w:p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应急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13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应急保障车辆数（辆）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20</w:t>
            </w:r>
            <w:r>
              <w:rPr>
                <w:bCs/>
                <w:kern w:val="0"/>
                <w:sz w:val="24"/>
                <w:szCs w:val="28"/>
              </w:rPr>
              <w:t>8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615" w:type="pct"/>
            <w:vAlign w:val="center"/>
          </w:tcPr>
          <w:p>
            <w:pPr>
              <w:snapToGrid w:val="0"/>
              <w:jc w:val="center"/>
              <w:rPr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8"/>
              </w:rPr>
              <w:t>信息化</w:t>
            </w:r>
          </w:p>
        </w:tc>
        <w:tc>
          <w:tcPr>
            <w:tcW w:w="566" w:type="pct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14</w:t>
            </w:r>
          </w:p>
        </w:tc>
        <w:tc>
          <w:tcPr>
            <w:tcW w:w="2007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交通智能化管理系统</w:t>
            </w:r>
          </w:p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（客运、货运、</w:t>
            </w:r>
          </w:p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汽修、安全应急）</w:t>
            </w:r>
          </w:p>
        </w:tc>
        <w:tc>
          <w:tcPr>
            <w:tcW w:w="973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bCs/>
                <w:kern w:val="0"/>
                <w:sz w:val="24"/>
                <w:szCs w:val="28"/>
              </w:rPr>
            </w:pPr>
            <w:r>
              <w:rPr>
                <w:rFonts w:hint="eastAsia"/>
                <w:bCs/>
                <w:kern w:val="0"/>
                <w:sz w:val="24"/>
                <w:szCs w:val="28"/>
              </w:rPr>
              <w:t>预期性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1245D12"/>
    <w:rsid w:val="012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56" w:beforeLines="50" w:after="156" w:afterLines="50" w:line="48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eastAsia="楷体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2022-07-12T06:25:00Z</dcterms:created>
  <dc:creator>米露露</dc:creator>
  <cp:lastModifiedBy>米露露</cp:lastModifiedBy>
  <dcterms:modified xsi:type="dcterms:W3CDTF">2022-07-12T06:26:06Z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CDF43AC98653458ABEED8A139099A416</vt:lpwstr>
  </property>
</Properties>
</file>