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rPr>
      </w:pPr>
      <w:bookmarkStart w:id="0" w:name="_Toc56457974"/>
      <w:r>
        <w:rPr>
          <w:b w:val="0"/>
        </w:rPr>
        <w:t>序言</w:t>
      </w:r>
      <w:bookmarkEnd w:id="0"/>
    </w:p>
    <w:p>
      <w:pPr>
        <w:snapToGrid w:val="0"/>
        <w:spacing w:line="560" w:lineRule="exact"/>
        <w:ind w:firstLine="640" w:firstLineChars="200"/>
        <w:rPr>
          <w:sz w:val="32"/>
          <w:szCs w:val="32"/>
        </w:rPr>
      </w:pPr>
      <w:r>
        <w:rPr>
          <w:rFonts w:hint="eastAsia"/>
          <w:sz w:val="32"/>
          <w:szCs w:val="32"/>
        </w:rPr>
        <w:t>“十四五”时期是我国全面建成小康社会、实现第一个</w:t>
      </w:r>
    </w:p>
    <w:p>
      <w:pPr>
        <w:snapToGrid w:val="0"/>
        <w:spacing w:line="560" w:lineRule="exact"/>
        <w:rPr>
          <w:sz w:val="32"/>
          <w:szCs w:val="32"/>
        </w:rPr>
      </w:pPr>
      <w:r>
        <w:rPr>
          <w:rFonts w:hint="eastAsia"/>
          <w:sz w:val="32"/>
          <w:szCs w:val="32"/>
        </w:rPr>
        <w:t>百年奋斗目标之后，乘势而上开启全面建设社会主义现代化国家新征程、向第二个百年奋斗目标进军的第一个五年。“十四五”规划也是全面推进交通强国建设的第一个五年规划。对于北京市大兴区综合交通体系而言，“十三五”期间外部环境发生了巨大变化，世界范围内，中美战略博弈、新冠肺炎疫情对全球化进程造成冲击，国际经济秩序深度调整；国内方面，党的十九大、十九届五中全会胜利召开、北京新版城市总体规划发布、交通强国建设纲要发布，适逢大兴国际机场通航、临空经济区和北京新两翼规划建设、雄安新区建设的历史机遇，对北京市大兴区交通发展提出新的更加明确的要求，各项任务需要在“十四五”时期扎实推进、稳步落实。</w:t>
      </w:r>
    </w:p>
    <w:p>
      <w:pPr>
        <w:snapToGrid w:val="0"/>
        <w:spacing w:line="560" w:lineRule="exact"/>
        <w:ind w:firstLine="640" w:firstLineChars="200"/>
        <w:rPr>
          <w:sz w:val="32"/>
          <w:szCs w:val="32"/>
        </w:rPr>
      </w:pPr>
      <w:r>
        <w:rPr>
          <w:rFonts w:hint="eastAsia"/>
          <w:sz w:val="32"/>
          <w:szCs w:val="32"/>
        </w:rPr>
        <w:t>依据《大兴分区规划（国土空间规划）（2017年-2035年）》、《北京市城市总体规划（2016年-2035 年）》、《交通强国建设纲要》和《北京市大兴区国民经济和社会发展第十四个五年规划和二〇三五年远景目标纲要》，大兴区交通局完成了《大兴区“十四五”时期交通发展建设规划》的编制工作。</w:t>
      </w:r>
    </w:p>
    <w:p>
      <w:pPr>
        <w:snapToGrid w:val="0"/>
        <w:spacing w:line="560" w:lineRule="exact"/>
        <w:ind w:firstLine="640" w:firstLineChars="200"/>
        <w:rPr>
          <w:sz w:val="32"/>
          <w:szCs w:val="32"/>
        </w:rPr>
      </w:pPr>
      <w:r>
        <w:rPr>
          <w:rFonts w:hint="eastAsia"/>
          <w:sz w:val="32"/>
          <w:szCs w:val="32"/>
        </w:rPr>
        <w:t>《大兴区“十四五”时期交通发展建设规划》是指导“十四五”时期大兴区交通发展建设的纲领性文件。规划内容分为四个方面，其中第一方面为发展基础与趋势研判，着重梳理大兴区交通发展的基础，总结“十三五”期间交通发展取得的成绩和存在的不足，分析“十四五”时期面临的形势以及阶段性特征；第二方面为规划总体思路及目标，提出“十四五”时期交通发展的指导思想、基本原则以及发展目标、指标；第三方面为主要任务，分别从发挥门户作用，打造合理、高效、便捷的综合交通网络、以绿色交通方式为主导，建立“三城多点”之间便捷的交通系统、构建智慧交通体系，引导新兴交通模式健康发展、严格执法，完善治理体系，提升治理能力四个部分，阐述了“十四五”时期大兴区交通发展的重点任务；第四方面提出了规划实施的保障措施。</w:t>
      </w:r>
    </w:p>
    <w:p>
      <w:pPr>
        <w:snapToGrid w:val="0"/>
        <w:spacing w:line="560" w:lineRule="exact"/>
        <w:ind w:firstLine="640" w:firstLineChars="200"/>
        <w:rPr>
          <w:sz w:val="32"/>
          <w:szCs w:val="32"/>
        </w:rPr>
      </w:pPr>
      <w:r>
        <w:rPr>
          <w:rFonts w:hint="eastAsia"/>
          <w:sz w:val="32"/>
          <w:szCs w:val="32"/>
        </w:rPr>
        <w:t>规划范围与大兴分区规划保持一致，为大兴区行政辖区（含亦庄新城大兴部分），重点规划区域为大兴新城及北京大兴国际机场临空经济区（北京部分）两个区域。总面积约为1</w:t>
      </w:r>
      <w:r>
        <w:rPr>
          <w:sz w:val="32"/>
          <w:szCs w:val="32"/>
        </w:rPr>
        <w:t>036</w:t>
      </w:r>
      <w:r>
        <w:rPr>
          <w:rFonts w:hint="eastAsia"/>
          <w:sz w:val="32"/>
          <w:szCs w:val="32"/>
        </w:rPr>
        <w:t>平方公里。</w:t>
      </w:r>
    </w:p>
    <w:p>
      <w:pPr>
        <w:snapToGrid w:val="0"/>
        <w:spacing w:line="560" w:lineRule="exact"/>
        <w:ind w:firstLine="640" w:firstLineChars="200"/>
        <w:rPr>
          <w:sz w:val="32"/>
          <w:szCs w:val="32"/>
        </w:rPr>
      </w:pPr>
      <w:r>
        <w:rPr>
          <w:sz w:val="32"/>
          <w:szCs w:val="32"/>
        </w:rPr>
        <w:t>规划实施期限：2021－2025年</w:t>
      </w:r>
      <w:r>
        <w:rPr>
          <w:rFonts w:hint="eastAsia"/>
          <w:sz w:val="32"/>
          <w:szCs w:val="32"/>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23BF4FAD"/>
    <w:rsid w:val="23BF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8"/>
      <w:szCs w:val="22"/>
      <w:lang w:val="en-US" w:eastAsia="zh-CN" w:bidi="ar-SA"/>
    </w:rPr>
  </w:style>
  <w:style w:type="paragraph" w:styleId="2">
    <w:name w:val="heading 1"/>
    <w:basedOn w:val="1"/>
    <w:next w:val="1"/>
    <w:qFormat/>
    <w:uiPriority w:val="9"/>
    <w:pPr>
      <w:keepNext/>
      <w:keepLines/>
      <w:spacing w:before="156" w:beforeLines="50" w:after="156" w:afterLines="50" w:line="480" w:lineRule="auto"/>
      <w:outlineLvl w:val="0"/>
    </w:pPr>
    <w:rPr>
      <w:rFonts w:eastAsia="黑体"/>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2022-07-12T06:36:00Z</dcterms:created>
  <dc:creator>米露露</dc:creator>
  <cp:lastModifiedBy>米露露</cp:lastModifiedBy>
  <dcterms:modified xsi:type="dcterms:W3CDTF">2022-07-12T06:37:02Z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2D752F58FB6B4660B28386951F3E6094</vt:lpwstr>
  </property>
</Properties>
</file>