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topLinePunct w:val="0"/>
        <w:autoSpaceDE/>
        <w:autoSpaceDN/>
        <w:bidi w:val="0"/>
        <w:spacing w:before="0" w:after="0" w:line="560" w:lineRule="exact"/>
        <w:jc w:val="center"/>
        <w:rPr>
          <w:rFonts w:hint="default" w:ascii="方正小标宋简体" w:hAnsi="方正小标宋简体" w:eastAsia="方正小标宋简体" w:cs="方正小标宋简体"/>
          <w:b w:val="0"/>
          <w:color w:val="000000" w:themeColor="text1"/>
          <w:highlight w:val="none"/>
          <w:lang w:val="en-US" w:eastAsia="zh-CN"/>
          <w14:textFill>
            <w14:solidFill>
              <w14:schemeClr w14:val="tx1"/>
            </w14:solidFill>
          </w14:textFill>
        </w:rPr>
      </w:pPr>
      <w:bookmarkStart w:id="0" w:name="_Toc90318409"/>
      <w:bookmarkStart w:id="1" w:name="_Toc31531"/>
      <w:bookmarkStart w:id="2" w:name="_Toc16440"/>
      <w:bookmarkStart w:id="3" w:name="_Toc28177"/>
      <w:bookmarkStart w:id="4" w:name="_Toc18833"/>
      <w:bookmarkStart w:id="5" w:name="_Toc31195"/>
      <w:bookmarkStart w:id="6" w:name="_Toc18431"/>
      <w:bookmarkStart w:id="52" w:name="_GoBack"/>
      <w:r>
        <w:rPr>
          <w:rFonts w:hint="eastAsia" w:ascii="方正小标宋简体" w:hAnsi="方正小标宋简体" w:eastAsia="方正小标宋简体" w:cs="方正小标宋简体"/>
          <w:b w:val="0"/>
          <w:color w:val="000000" w:themeColor="text1"/>
          <w:highlight w:val="none"/>
          <w14:textFill>
            <w14:solidFill>
              <w14:schemeClr w14:val="tx1"/>
            </w14:solidFill>
          </w14:textFill>
        </w:rPr>
        <w:t>第二章  “健康大兴”发展</w:t>
      </w:r>
      <w:bookmarkEnd w:id="0"/>
      <w:bookmarkEnd w:id="1"/>
      <w:bookmarkEnd w:id="2"/>
      <w:bookmarkEnd w:id="3"/>
      <w:bookmarkEnd w:id="4"/>
      <w:r>
        <w:rPr>
          <w:rFonts w:hint="eastAsia" w:ascii="方正小标宋简体" w:hAnsi="方正小标宋简体" w:eastAsia="方正小标宋简体" w:cs="方正小标宋简体"/>
          <w:b w:val="0"/>
          <w:color w:val="000000" w:themeColor="text1"/>
          <w:highlight w:val="none"/>
          <w:lang w:val="en-US" w:eastAsia="zh-CN"/>
          <w14:textFill>
            <w14:solidFill>
              <w14:schemeClr w14:val="tx1"/>
            </w14:solidFill>
          </w14:textFill>
        </w:rPr>
        <w:t>指导思想和目标</w:t>
      </w:r>
      <w:bookmarkEnd w:id="5"/>
      <w:bookmarkEnd w:id="6"/>
    </w:p>
    <w:bookmarkEnd w:id="52"/>
    <w:p>
      <w:pPr>
        <w:pageBreakBefore w:val="0"/>
        <w:kinsoku/>
        <w:wordWrap/>
        <w:overflowPunct w:val="0"/>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p>
    <w:p>
      <w:pPr>
        <w:pStyle w:val="4"/>
        <w:keepNext w:val="0"/>
        <w:keepLines w:val="0"/>
        <w:pageBreakBefore w:val="0"/>
        <w:kinsoku/>
        <w:wordWrap/>
        <w:topLinePunct w:val="0"/>
        <w:autoSpaceDE/>
        <w:autoSpaceDN/>
        <w:bidi w:val="0"/>
        <w:spacing w:before="0" w:after="0" w:line="560" w:lineRule="exact"/>
        <w:ind w:firstLine="640" w:firstLineChars="200"/>
        <w:rPr>
          <w:b w:val="0"/>
          <w:color w:val="000000" w:themeColor="text1"/>
          <w:highlight w:val="none"/>
          <w14:textFill>
            <w14:solidFill>
              <w14:schemeClr w14:val="tx1"/>
            </w14:solidFill>
          </w14:textFill>
        </w:rPr>
      </w:pPr>
      <w:bookmarkStart w:id="7" w:name="_Toc14672"/>
      <w:bookmarkStart w:id="8" w:name="_Toc11500"/>
      <w:bookmarkStart w:id="9" w:name="_Toc30921"/>
      <w:bookmarkStart w:id="10" w:name="_Toc12306"/>
      <w:bookmarkStart w:id="11" w:name="_Toc27969"/>
      <w:bookmarkStart w:id="12" w:name="_Toc22689"/>
      <w:bookmarkStart w:id="13" w:name="_Toc90318410"/>
      <w:r>
        <w:rPr>
          <w:rFonts w:hint="eastAsia"/>
          <w:b w:val="0"/>
          <w:color w:val="000000" w:themeColor="text1"/>
          <w:highlight w:val="none"/>
          <w14:textFill>
            <w14:solidFill>
              <w14:schemeClr w14:val="tx1"/>
            </w14:solidFill>
          </w14:textFill>
        </w:rPr>
        <w:t>一、指导思想</w:t>
      </w:r>
      <w:bookmarkEnd w:id="7"/>
      <w:bookmarkEnd w:id="8"/>
      <w:bookmarkEnd w:id="9"/>
      <w:bookmarkEnd w:id="10"/>
      <w:bookmarkEnd w:id="11"/>
      <w:bookmarkEnd w:id="12"/>
      <w:bookmarkEnd w:id="13"/>
    </w:p>
    <w:p>
      <w:pPr>
        <w:pageBreakBefore w:val="0"/>
        <w:kinsoku/>
        <w:wordWrap/>
        <w:topLinePunct w:val="0"/>
        <w:autoSpaceDE/>
        <w:autoSpaceDN/>
        <w:bidi w:val="0"/>
        <w:spacing w:line="560" w:lineRule="exact"/>
        <w:ind w:firstLine="640" w:firstLineChars="200"/>
        <w:rPr>
          <w:rFonts w:ascii="楷体_GB2312" w:hAnsi="Times New Roman" w:eastAsia="楷体_GB2312" w:cs="Times New Roman"/>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w:t>
      </w:r>
      <w:r>
        <w:rPr>
          <w:rFonts w:ascii="仿宋_GB2312" w:hAnsi="仿宋_GB2312" w:eastAsia="仿宋_GB2312" w:cs="仿宋_GB2312"/>
          <w:color w:val="000000" w:themeColor="text1"/>
          <w:sz w:val="32"/>
          <w:szCs w:val="32"/>
          <w:highlight w:val="none"/>
          <w14:textFill>
            <w14:solidFill>
              <w14:schemeClr w14:val="tx1"/>
            </w14:solidFill>
          </w14:textFill>
        </w:rPr>
        <w:t>以习近平新时代中国特色社会主义思想为指导，</w:t>
      </w:r>
      <w:r>
        <w:rPr>
          <w:rStyle w:val="7"/>
          <w:rFonts w:hint="eastAsia" w:ascii="仿宋_GB2312" w:hAnsi="仿宋_GB2312" w:eastAsia="仿宋_GB2312" w:cs="仿宋_GB2312"/>
          <w:i w:val="0"/>
          <w:caps w:val="0"/>
          <w:color w:val="000000" w:themeColor="text1"/>
          <w:spacing w:val="0"/>
          <w:sz w:val="32"/>
          <w:szCs w:val="32"/>
          <w:highlight w:val="none"/>
          <w:shd w:val="clear" w:fill="FFFFFF"/>
          <w14:textFill>
            <w14:solidFill>
              <w14:schemeClr w14:val="tx1"/>
            </w14:solidFill>
          </w14:textFill>
        </w:rPr>
        <w:t>全面贯彻落实党的十九大和十九届历次全会精神</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围</w:t>
      </w:r>
      <w:r>
        <w:rPr>
          <w:rFonts w:hint="eastAsia" w:ascii="仿宋_GB2312" w:hAnsi="宋体" w:eastAsia="仿宋_GB2312"/>
          <w:color w:val="000000" w:themeColor="text1"/>
          <w:sz w:val="32"/>
          <w:szCs w:val="32"/>
          <w:highlight w:val="none"/>
          <w14:textFill>
            <w14:solidFill>
              <w14:schemeClr w14:val="tx1"/>
            </w14:solidFill>
          </w14:textFill>
        </w:rPr>
        <w:t>绕首都“四个中心”战略定位，立足首都卫生健康事业发展定位和大兴区区域功能定位，以“健康大兴”为目标，以保障大兴发展、促进居民健康、服务新国门建设为目的，中西医并重，医防融合，重点加强公共卫生服务体系建设，完善健康服务体系，推动重点医疗机构建设，夯实基层卫生服务网底，提升老年健康服务能力，推进医养结合发展，改善和营造良好的人居环境和自然环境，全面为群众提供公平可及的医疗卫生服务,稳步提高居民健康水平。</w:t>
      </w:r>
    </w:p>
    <w:p>
      <w:pPr>
        <w:pStyle w:val="4"/>
        <w:keepNext w:val="0"/>
        <w:keepLines w:val="0"/>
        <w:pageBreakBefore w:val="0"/>
        <w:kinsoku/>
        <w:wordWrap/>
        <w:topLinePunct w:val="0"/>
        <w:autoSpaceDE/>
        <w:autoSpaceDN/>
        <w:bidi w:val="0"/>
        <w:spacing w:before="0" w:after="0" w:line="560" w:lineRule="exact"/>
        <w:ind w:firstLine="640" w:firstLineChars="200"/>
        <w:rPr>
          <w:rFonts w:hint="default" w:eastAsia="黑体"/>
          <w:b w:val="0"/>
          <w:color w:val="000000" w:themeColor="text1"/>
          <w:highlight w:val="none"/>
          <w:lang w:val="en-US" w:eastAsia="zh-CN"/>
          <w14:textFill>
            <w14:solidFill>
              <w14:schemeClr w14:val="tx1"/>
            </w14:solidFill>
          </w14:textFill>
        </w:rPr>
      </w:pPr>
      <w:bookmarkStart w:id="14" w:name="_Toc1488"/>
      <w:bookmarkStart w:id="15" w:name="_Toc14520"/>
      <w:bookmarkStart w:id="16" w:name="_Toc90318411"/>
      <w:bookmarkStart w:id="17" w:name="_Toc6449"/>
      <w:bookmarkStart w:id="18" w:name="_Toc3961"/>
      <w:bookmarkStart w:id="19" w:name="_Toc15884"/>
      <w:bookmarkStart w:id="20" w:name="_Toc14383"/>
      <w:r>
        <w:rPr>
          <w:rFonts w:hint="eastAsia"/>
          <w:b w:val="0"/>
          <w:color w:val="000000" w:themeColor="text1"/>
          <w:highlight w:val="none"/>
          <w14:textFill>
            <w14:solidFill>
              <w14:schemeClr w14:val="tx1"/>
            </w14:solidFill>
          </w14:textFill>
        </w:rPr>
        <w:t>二、</w:t>
      </w:r>
      <w:bookmarkEnd w:id="14"/>
      <w:bookmarkEnd w:id="15"/>
      <w:bookmarkEnd w:id="16"/>
      <w:bookmarkEnd w:id="17"/>
      <w:bookmarkEnd w:id="18"/>
      <w:r>
        <w:rPr>
          <w:rFonts w:hint="eastAsia"/>
          <w:b w:val="0"/>
          <w:color w:val="000000" w:themeColor="text1"/>
          <w:highlight w:val="none"/>
          <w:lang w:val="en-US" w:eastAsia="zh-CN"/>
          <w14:textFill>
            <w14:solidFill>
              <w14:schemeClr w14:val="tx1"/>
            </w14:solidFill>
          </w14:textFill>
        </w:rPr>
        <w:t>基本原则</w:t>
      </w:r>
      <w:bookmarkEnd w:id="19"/>
      <w:bookmarkEnd w:id="20"/>
    </w:p>
    <w:p>
      <w:pPr>
        <w:pageBreakBefore w:val="0"/>
        <w:kinsoku/>
        <w:wordWrap/>
        <w:topLinePunct w:val="0"/>
        <w:autoSpaceDE/>
        <w:autoSpaceDN/>
        <w:bidi w:val="0"/>
        <w:spacing w:line="560" w:lineRule="exact"/>
        <w:ind w:firstLine="643" w:firstLineChars="200"/>
        <w:rPr>
          <w:rFonts w:hint="eastAsia" w:ascii="仿宋_GB2312" w:hAnsi="宋体" w:eastAsia="仿宋_GB2312"/>
          <w:color w:val="000000" w:themeColor="text1"/>
          <w:sz w:val="32"/>
          <w:szCs w:val="32"/>
          <w:highlight w:val="none"/>
          <w14:textFill>
            <w14:solidFill>
              <w14:schemeClr w14:val="tx1"/>
            </w14:solidFill>
          </w14:textFill>
        </w:rPr>
      </w:pPr>
      <w:bookmarkStart w:id="21" w:name="_Toc14659"/>
      <w:bookmarkStart w:id="22" w:name="_Toc6921"/>
      <w:bookmarkStart w:id="23" w:name="_Toc29206"/>
      <w:bookmarkStart w:id="24" w:name="_Toc12921"/>
      <w:bookmarkStart w:id="25" w:name="_Toc90318412"/>
      <w:r>
        <w:rPr>
          <w:rFonts w:hint="eastAsia" w:ascii="仿宋_GB2312" w:hAnsi="仿宋_GB2312" w:eastAsia="仿宋_GB2312" w:cs="仿宋_GB2312"/>
          <w:b/>
          <w:bCs/>
          <w:color w:val="000000" w:themeColor="text1"/>
          <w:sz w:val="32"/>
          <w:szCs w:val="32"/>
          <w:highlight w:val="none"/>
          <w14:textFill>
            <w14:solidFill>
              <w14:schemeClr w14:val="tx1"/>
            </w14:solidFill>
          </w14:textFill>
        </w:rPr>
        <w:t>服务首都、服务新国门</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原则</w:t>
      </w:r>
      <w:bookmarkEnd w:id="21"/>
      <w:bookmarkEnd w:id="22"/>
      <w:bookmarkEnd w:id="23"/>
      <w:bookmarkEnd w:id="24"/>
      <w:bookmarkEnd w:id="25"/>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根据大兴区</w:t>
      </w:r>
      <w:r>
        <w:rPr>
          <w:rFonts w:hint="eastAsia" w:ascii="仿宋_GB2312" w:hAnsi="宋体" w:eastAsia="仿宋_GB2312"/>
          <w:color w:val="000000" w:themeColor="text1"/>
          <w:sz w:val="32"/>
          <w:szCs w:val="32"/>
          <w:highlight w:val="none"/>
          <w14:textFill>
            <w14:solidFill>
              <w14:schemeClr w14:val="tx1"/>
            </w14:solidFill>
          </w14:textFill>
        </w:rPr>
        <w:t>“三区一门户”的战略功能定位，既承接非首都功能的疏解，同时承接</w:t>
      </w:r>
      <w:r>
        <w:rPr>
          <w:rFonts w:ascii="仿宋_GB2312" w:hAnsi="宋体" w:eastAsia="仿宋_GB2312"/>
          <w:color w:val="000000" w:themeColor="text1"/>
          <w:sz w:val="32"/>
          <w:szCs w:val="32"/>
          <w:highlight w:val="none"/>
          <w14:textFill>
            <w14:solidFill>
              <w14:schemeClr w14:val="tx1"/>
            </w14:solidFill>
          </w14:textFill>
        </w:rPr>
        <w:t>首都功能梯度转移的</w:t>
      </w:r>
      <w:r>
        <w:rPr>
          <w:rFonts w:hint="eastAsia" w:ascii="仿宋_GB2312" w:hAnsi="宋体" w:eastAsia="仿宋_GB2312"/>
          <w:color w:val="000000" w:themeColor="text1"/>
          <w:sz w:val="32"/>
          <w:szCs w:val="32"/>
          <w:highlight w:val="none"/>
          <w14:textFill>
            <w14:solidFill>
              <w14:schemeClr w14:val="tx1"/>
            </w14:solidFill>
          </w14:textFill>
        </w:rPr>
        <w:t>功能，配合完成相关研究院所新址规划工作。同步保障临空经济区公共卫生安全和所辖居民享有方便可及的基本医疗卫生服务。</w:t>
      </w:r>
    </w:p>
    <w:p>
      <w:pPr>
        <w:pageBreakBefore w:val="0"/>
        <w:kinsoku/>
        <w:wordWrap/>
        <w:topLinePunct w:val="0"/>
        <w:autoSpaceDE/>
        <w:autoSpaceDN/>
        <w:bidi w:val="0"/>
        <w:spacing w:line="560" w:lineRule="exact"/>
        <w:ind w:firstLine="643" w:firstLineChars="200"/>
        <w:rPr>
          <w:rFonts w:hint="default" w:ascii="仿宋_GB2312" w:hAnsi="宋体" w:eastAsia="仿宋_GB2312"/>
          <w:color w:val="000000" w:themeColor="text1"/>
          <w:sz w:val="32"/>
          <w:szCs w:val="32"/>
          <w:highlight w:val="none"/>
          <w14:textFill>
            <w14:solidFill>
              <w14:schemeClr w14:val="tx1"/>
            </w14:solidFill>
          </w14:textFill>
        </w:rPr>
      </w:pPr>
      <w:bookmarkStart w:id="26" w:name="_Toc17438"/>
      <w:bookmarkStart w:id="27" w:name="_Toc12340"/>
      <w:bookmarkStart w:id="28" w:name="_Toc4930"/>
      <w:bookmarkStart w:id="29" w:name="_Toc289"/>
      <w:bookmarkStart w:id="30" w:name="_Toc90318413"/>
      <w:r>
        <w:rPr>
          <w:rFonts w:hint="eastAsia" w:ascii="仿宋_GB2312" w:hAnsi="仿宋_GB2312" w:eastAsia="仿宋_GB2312" w:cs="仿宋_GB2312"/>
          <w:b/>
          <w:bCs/>
          <w:color w:val="000000" w:themeColor="text1"/>
          <w:sz w:val="32"/>
          <w:szCs w:val="32"/>
          <w:highlight w:val="none"/>
          <w14:textFill>
            <w14:solidFill>
              <w14:schemeClr w14:val="tx1"/>
            </w14:solidFill>
          </w14:textFill>
        </w:rPr>
        <w:t>京津冀协同发展</w:t>
      </w:r>
      <w:bookmarkEnd w:id="26"/>
      <w:bookmarkEnd w:id="27"/>
      <w:bookmarkEnd w:id="28"/>
      <w:bookmarkEnd w:id="29"/>
      <w:bookmarkEnd w:id="30"/>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原则</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default" w:ascii="仿宋_GB2312" w:hAnsi="宋体" w:eastAsia="仿宋_GB2312"/>
          <w:color w:val="000000" w:themeColor="text1"/>
          <w:sz w:val="32"/>
          <w:szCs w:val="32"/>
          <w:highlight w:val="none"/>
          <w14:textFill>
            <w14:solidFill>
              <w14:schemeClr w14:val="tx1"/>
            </w14:solidFill>
          </w14:textFill>
        </w:rPr>
        <w:t>大兴区作为京津冀协同的门户，作为北京通往雄安新区的重要纽带，需抓好本地重点地区疫情防控，完善京津冀联防联控机制，确保京津冀抗疫“一张网”，保持京津冀协同发展互利互赢新局面。</w:t>
      </w:r>
    </w:p>
    <w:p>
      <w:pPr>
        <w:pageBreakBefore w:val="0"/>
        <w:kinsoku/>
        <w:wordWrap/>
        <w:topLinePunct w:val="0"/>
        <w:autoSpaceDE/>
        <w:autoSpaceDN/>
        <w:bidi w:val="0"/>
        <w:spacing w:line="560" w:lineRule="exact"/>
        <w:ind w:firstLine="643" w:firstLineChars="200"/>
        <w:rPr>
          <w:rFonts w:hint="eastAsia" w:ascii="楷体_GB2312"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健康服务公平可及</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原则</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根据区域发展需求，以基层、资源薄弱地区、公共卫生领域为重点，加快补齐短板和弱项，持续改善基本医疗卫生服务的公平性、可及性，</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推进体育场地设施建设均衡布局，</w:t>
      </w:r>
      <w:r>
        <w:rPr>
          <w:rFonts w:ascii="Times New Roman" w:hAnsi="Times New Roman" w:eastAsia="仿宋_GB2312" w:cs="Times New Roman"/>
          <w:color w:val="000000" w:themeColor="text1"/>
          <w:sz w:val="32"/>
          <w:szCs w:val="32"/>
          <w:highlight w:val="none"/>
          <w14:textFill>
            <w14:solidFill>
              <w14:schemeClr w14:val="tx1"/>
            </w14:solidFill>
          </w14:textFill>
        </w:rPr>
        <w:t>促进区域、人群之间的健康公平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ageBreakBefore w:val="0"/>
        <w:kinsoku/>
        <w:wordWrap/>
        <w:topLinePunct w:val="0"/>
        <w:autoSpaceDE/>
        <w:autoSpaceDN/>
        <w:bidi w:val="0"/>
        <w:spacing w:line="560" w:lineRule="exact"/>
        <w:ind w:firstLine="643"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全面规划与重点突出相结合原则。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着眼于全区健康事业发展全局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结合大兴区功能定位和人口分布</w:t>
      </w:r>
      <w:r>
        <w:rPr>
          <w:rFonts w:hint="default" w:ascii="仿宋_GB2312" w:hAnsi="宋体" w:eastAsia="仿宋_GB2312" w:cstheme="minorBidi"/>
          <w:color w:val="000000" w:themeColor="text1"/>
          <w:sz w:val="32"/>
          <w:szCs w:val="32"/>
          <w:highlight w:val="none"/>
          <w14:textFill>
            <w14:solidFill>
              <w14:schemeClr w14:val="tx1"/>
            </w14:solidFill>
          </w14:textFill>
        </w:rPr>
        <w:t>，推进医疗卫生服务资源均衡布局、优化结构、提质增效，更好服务群众健康需求。</w:t>
      </w:r>
      <w:r>
        <w:rPr>
          <w:rFonts w:hint="eastAsia" w:ascii="仿宋_GB2312" w:hAnsi="宋体" w:eastAsia="仿宋_GB2312" w:cstheme="minorBidi"/>
          <w:color w:val="000000" w:themeColor="text1"/>
          <w:sz w:val="32"/>
          <w:szCs w:val="32"/>
          <w:highlight w:val="none"/>
          <w:lang w:val="en-US" w:eastAsia="zh-CN"/>
          <w14:textFill>
            <w14:solidFill>
              <w14:schemeClr w14:val="tx1"/>
            </w14:solidFill>
          </w14:textFill>
        </w:rPr>
        <w:t>重点</w:t>
      </w:r>
      <w:r>
        <w:rPr>
          <w:rFonts w:hint="eastAsia" w:ascii="仿宋_GB2312" w:hAnsi="宋体" w:eastAsia="仿宋_GB2312" w:cstheme="minorBidi"/>
          <w:b w:val="0"/>
          <w:bCs w:val="0"/>
          <w:color w:val="000000" w:themeColor="text1"/>
          <w:sz w:val="32"/>
          <w:szCs w:val="32"/>
          <w:highlight w:val="none"/>
          <w14:textFill>
            <w14:solidFill>
              <w14:schemeClr w14:val="tx1"/>
            </w14:solidFill>
          </w14:textFill>
        </w:rPr>
        <w:t>改善疾病预防控制基础条件，优化完善疾病预防控制机构职能设置，建立上下联动的分工协作机制。</w:t>
      </w:r>
      <w:r>
        <w:rPr>
          <w:rFonts w:hint="eastAsia" w:ascii="仿宋_GB2312" w:hAnsi="宋体" w:eastAsia="仿宋_GB2312" w:cstheme="minorBidi"/>
          <w:color w:val="000000" w:themeColor="text1"/>
          <w:sz w:val="32"/>
          <w:szCs w:val="32"/>
          <w:highlight w:val="none"/>
          <w:lang w:val="en-US" w:eastAsia="zh-CN"/>
          <w14:textFill>
            <w14:solidFill>
              <w14:schemeClr w14:val="tx1"/>
            </w14:solidFill>
          </w14:textFill>
        </w:rPr>
        <w:t>重点</w:t>
      </w:r>
      <w:r>
        <w:rPr>
          <w:rFonts w:hint="default" w:ascii="仿宋_GB2312" w:hAnsi="宋体" w:eastAsia="仿宋_GB2312" w:cstheme="minorBidi"/>
          <w:color w:val="000000" w:themeColor="text1"/>
          <w:sz w:val="32"/>
          <w:szCs w:val="32"/>
          <w:highlight w:val="none"/>
          <w14:textFill>
            <w14:solidFill>
              <w14:schemeClr w14:val="tx1"/>
            </w14:solidFill>
          </w14:textFill>
        </w:rPr>
        <w:t>推进区属医院提质改建，补齐社区卫生服务中心配置，加强村级医疗机构建设，优化调整服务结构，加快分级诊疗体系建设。</w:t>
      </w:r>
    </w:p>
    <w:p>
      <w:pPr>
        <w:pStyle w:val="4"/>
        <w:keepNext w:val="0"/>
        <w:keepLines w:val="0"/>
        <w:pageBreakBefore w:val="0"/>
        <w:kinsoku/>
        <w:wordWrap/>
        <w:topLinePunct w:val="0"/>
        <w:autoSpaceDE/>
        <w:autoSpaceDN/>
        <w:bidi w:val="0"/>
        <w:spacing w:before="0" w:after="0" w:line="560" w:lineRule="exact"/>
        <w:ind w:firstLine="640" w:firstLineChars="200"/>
        <w:rPr>
          <w:b w:val="0"/>
          <w:color w:val="000000" w:themeColor="text1"/>
          <w:highlight w:val="none"/>
          <w14:textFill>
            <w14:solidFill>
              <w14:schemeClr w14:val="tx1"/>
            </w14:solidFill>
          </w14:textFill>
        </w:rPr>
      </w:pPr>
      <w:bookmarkStart w:id="31" w:name="_Toc24297"/>
      <w:bookmarkStart w:id="32" w:name="_Toc15476"/>
      <w:bookmarkStart w:id="33" w:name="_Toc25379"/>
      <w:bookmarkStart w:id="34" w:name="_Toc90318417"/>
      <w:bookmarkStart w:id="35" w:name="_Toc4671"/>
      <w:bookmarkStart w:id="36" w:name="_Toc3171"/>
      <w:bookmarkStart w:id="37" w:name="_Toc28500"/>
      <w:r>
        <w:rPr>
          <w:rFonts w:hint="eastAsia"/>
          <w:b w:val="0"/>
          <w:color w:val="000000" w:themeColor="text1"/>
          <w:highlight w:val="none"/>
          <w14:textFill>
            <w14:solidFill>
              <w14:schemeClr w14:val="tx1"/>
            </w14:solidFill>
          </w14:textFill>
        </w:rPr>
        <w:t>三、发展目标</w:t>
      </w:r>
      <w:bookmarkEnd w:id="31"/>
      <w:bookmarkEnd w:id="32"/>
      <w:bookmarkEnd w:id="33"/>
      <w:bookmarkEnd w:id="34"/>
      <w:bookmarkEnd w:id="35"/>
      <w:bookmarkEnd w:id="36"/>
      <w:bookmarkEnd w:id="37"/>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b w:val="0"/>
          <w:bCs w:val="0"/>
          <w:color w:val="000000" w:themeColor="text1"/>
          <w:highlight w:val="none"/>
          <w14:textFill>
            <w14:solidFill>
              <w14:schemeClr w14:val="tx1"/>
            </w14:solidFill>
          </w14:textFill>
        </w:rPr>
      </w:pPr>
      <w:bookmarkStart w:id="38" w:name="_Toc23735"/>
      <w:bookmarkStart w:id="39" w:name="_Toc14234"/>
      <w:bookmarkStart w:id="40" w:name="_Toc25065"/>
      <w:bookmarkStart w:id="41" w:name="_Toc16525"/>
      <w:bookmarkStart w:id="42" w:name="_Toc24812"/>
      <w:bookmarkStart w:id="43" w:name="_Toc90318418"/>
      <w:bookmarkStart w:id="44" w:name="_Toc1683"/>
      <w:r>
        <w:rPr>
          <w:rFonts w:hint="eastAsia" w:ascii="楷体_GB2312" w:eastAsia="楷体_GB2312"/>
          <w:b w:val="0"/>
          <w:bCs w:val="0"/>
          <w:color w:val="000000" w:themeColor="text1"/>
          <w:highlight w:val="none"/>
          <w14:textFill>
            <w14:solidFill>
              <w14:schemeClr w14:val="tx1"/>
            </w14:solidFill>
          </w14:textFill>
        </w:rPr>
        <w:t>（一）总体目标</w:t>
      </w:r>
      <w:bookmarkEnd w:id="38"/>
      <w:bookmarkEnd w:id="39"/>
      <w:bookmarkEnd w:id="40"/>
      <w:bookmarkEnd w:id="41"/>
      <w:bookmarkEnd w:id="42"/>
      <w:bookmarkEnd w:id="43"/>
      <w:bookmarkEnd w:id="44"/>
    </w:p>
    <w:p>
      <w:pPr>
        <w:pageBreakBefore w:val="0"/>
        <w:kinsoku/>
        <w:wordWrap/>
        <w:overflowPunct w:val="0"/>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到2025年，大兴区初步形成医疗资源均衡分布，医疗卫生服务公平可及，公共卫生服务体系、医疗卫生服务体系不断完善，城乡健康环境持续改善，影响健康的危险因素得到积极治理，全民共同参与健康行动，健康素养水平稳步提高的新局面。公共卫生体制机制改革出现新的突破，卫生资源效能不断提升，卫生健康事业系统性、协调性进一步提高，“健康大兴”初见成效。</w:t>
      </w:r>
    </w:p>
    <w:p>
      <w:pPr>
        <w:pStyle w:val="5"/>
        <w:keepNext w:val="0"/>
        <w:keepLines w:val="0"/>
        <w:pageBreakBefore w:val="0"/>
        <w:kinsoku/>
        <w:wordWrap/>
        <w:topLinePunct w:val="0"/>
        <w:autoSpaceDE/>
        <w:autoSpaceDN/>
        <w:bidi w:val="0"/>
        <w:spacing w:before="0" w:after="0" w:line="560" w:lineRule="exact"/>
        <w:ind w:firstLine="640" w:firstLineChars="200"/>
        <w:rPr>
          <w:rFonts w:ascii="楷体_GB2312" w:eastAsia="楷体_GB2312"/>
          <w:color w:val="000000" w:themeColor="text1"/>
          <w:highlight w:val="none"/>
          <w14:textFill>
            <w14:solidFill>
              <w14:schemeClr w14:val="tx1"/>
            </w14:solidFill>
          </w14:textFill>
        </w:rPr>
      </w:pPr>
      <w:bookmarkStart w:id="45" w:name="_Toc90318419"/>
      <w:bookmarkStart w:id="46" w:name="_Toc9915"/>
      <w:bookmarkStart w:id="47" w:name="_Toc14599"/>
      <w:bookmarkStart w:id="48" w:name="_Toc21877"/>
      <w:bookmarkStart w:id="49" w:name="_Toc29097"/>
      <w:bookmarkStart w:id="50" w:name="_Toc27747"/>
      <w:bookmarkStart w:id="51" w:name="_Toc29990"/>
      <w:r>
        <w:rPr>
          <w:rFonts w:hint="eastAsia" w:ascii="楷体_GB2312" w:eastAsia="楷体_GB2312"/>
          <w:b w:val="0"/>
          <w:bCs w:val="0"/>
          <w:color w:val="000000" w:themeColor="text1"/>
          <w:highlight w:val="none"/>
          <w14:textFill>
            <w14:solidFill>
              <w14:schemeClr w14:val="tx1"/>
            </w14:solidFill>
          </w14:textFill>
        </w:rPr>
        <w:t>（二）主要指标</w:t>
      </w:r>
      <w:bookmarkEnd w:id="45"/>
      <w:bookmarkEnd w:id="46"/>
      <w:bookmarkEnd w:id="47"/>
      <w:bookmarkEnd w:id="48"/>
      <w:bookmarkEnd w:id="49"/>
      <w:bookmarkEnd w:id="50"/>
      <w:bookmarkEnd w:id="51"/>
    </w:p>
    <w:p>
      <w:pPr>
        <w:pageBreakBefore w:val="0"/>
        <w:kinsoku/>
        <w:wordWrap/>
        <w:topLinePunct w:val="0"/>
        <w:autoSpaceDE/>
        <w:autoSpaceDN/>
        <w:bidi w:val="0"/>
        <w:spacing w:line="56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结合大兴区“十四五”规划的</w:t>
      </w:r>
      <w:r>
        <w:rPr>
          <w:rFonts w:hint="eastAsia" w:ascii="仿宋_GB2312" w:hAnsi="宋体" w:eastAsia="仿宋_GB2312"/>
          <w:color w:val="000000" w:themeColor="text1"/>
          <w:sz w:val="32"/>
          <w:szCs w:val="32"/>
          <w:highlight w:val="none"/>
          <w:lang w:eastAsia="zh-CN"/>
          <w14:textFill>
            <w14:solidFill>
              <w14:schemeClr w14:val="tx1"/>
            </w14:solidFill>
          </w14:textFill>
        </w:rPr>
        <w:t>基本原则</w:t>
      </w:r>
      <w:r>
        <w:rPr>
          <w:rFonts w:hint="eastAsia" w:ascii="仿宋_GB2312" w:hAnsi="宋体" w:eastAsia="仿宋_GB2312"/>
          <w:color w:val="000000" w:themeColor="text1"/>
          <w:sz w:val="32"/>
          <w:szCs w:val="32"/>
          <w:highlight w:val="none"/>
          <w14:textFill>
            <w14:solidFill>
              <w14:schemeClr w14:val="tx1"/>
            </w14:solidFill>
          </w14:textFill>
        </w:rPr>
        <w:t>与总体目标，以及大兴区对健康事业的较高要求，提出适应新时代的健康大兴建设规划指标体系，明确未来</w:t>
      </w:r>
      <w:r>
        <w:rPr>
          <w:rFonts w:hint="eastAsia" w:ascii="仿宋_GB2312" w:hAnsi="宋体" w:eastAsia="仿宋_GB2312"/>
          <w:color w:val="000000" w:themeColor="text1"/>
          <w:sz w:val="32"/>
          <w:szCs w:val="32"/>
          <w:highlight w:val="none"/>
          <w:lang w:eastAsia="zh-CN"/>
          <w14:textFill>
            <w14:solidFill>
              <w14:schemeClr w14:val="tx1"/>
            </w14:solidFill>
          </w14:textFill>
        </w:rPr>
        <w:t>五</w:t>
      </w:r>
      <w:r>
        <w:rPr>
          <w:rFonts w:hint="eastAsia" w:ascii="仿宋_GB2312" w:hAnsi="宋体" w:eastAsia="仿宋_GB2312"/>
          <w:color w:val="000000" w:themeColor="text1"/>
          <w:sz w:val="32"/>
          <w:szCs w:val="32"/>
          <w:highlight w:val="none"/>
          <w14:textFill>
            <w14:solidFill>
              <w14:schemeClr w14:val="tx1"/>
            </w14:solidFill>
          </w14:textFill>
        </w:rPr>
        <w:t>年的发展目标。主要指标包括：</w:t>
      </w:r>
    </w:p>
    <w:p>
      <w:pPr>
        <w:overflowPunct w:val="0"/>
        <w:spacing w:line="500" w:lineRule="exact"/>
        <w:jc w:val="center"/>
        <w:rPr>
          <w:rFonts w:ascii="方正小标宋简体" w:hAnsi="宋体" w:eastAsia="方正小标宋简体" w:cs="Times New Roman"/>
          <w:color w:val="000000" w:themeColor="text1"/>
          <w:sz w:val="32"/>
          <w:szCs w:val="32"/>
          <w:highlight w:val="none"/>
          <w14:textFill>
            <w14:solidFill>
              <w14:schemeClr w14:val="tx1"/>
            </w14:solidFill>
          </w14:textFill>
        </w:rPr>
      </w:pPr>
      <w:r>
        <w:rPr>
          <w:rFonts w:hint="eastAsia" w:ascii="方正小标宋简体" w:hAnsi="宋体" w:eastAsia="方正小标宋简体" w:cs="Times New Roman"/>
          <w:color w:val="000000" w:themeColor="text1"/>
          <w:sz w:val="32"/>
          <w:szCs w:val="32"/>
          <w:highlight w:val="none"/>
          <w:lang w:eastAsia="zh-CN"/>
          <w14:textFill>
            <w14:solidFill>
              <w14:schemeClr w14:val="tx1"/>
            </w14:solidFill>
          </w14:textFill>
        </w:rPr>
        <w:t>健康大兴建设</w:t>
      </w:r>
      <w:r>
        <w:rPr>
          <w:rFonts w:hint="eastAsia" w:ascii="方正小标宋简体" w:hAnsi="宋体" w:eastAsia="方正小标宋简体" w:cs="Times New Roman"/>
          <w:color w:val="000000" w:themeColor="text1"/>
          <w:sz w:val="32"/>
          <w:szCs w:val="32"/>
          <w:highlight w:val="none"/>
          <w14:textFill>
            <w14:solidFill>
              <w14:schemeClr w14:val="tx1"/>
            </w14:solidFill>
          </w14:textFill>
        </w:rPr>
        <w:t>主要指标</w:t>
      </w:r>
    </w:p>
    <w:tbl>
      <w:tblPr>
        <w:tblStyle w:val="6"/>
        <w:tblW w:w="83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8"/>
        <w:gridCol w:w="495"/>
        <w:gridCol w:w="3630"/>
        <w:gridCol w:w="1125"/>
        <w:gridCol w:w="1320"/>
        <w:gridCol w:w="1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8" w:type="dxa"/>
            <w:tcBorders>
              <w:left w:val="single" w:color="auto" w:sz="12" w:space="0"/>
              <w:bottom w:val="single" w:color="auto" w:sz="12" w:space="0"/>
              <w:right w:val="single" w:color="auto" w:sz="12" w:space="0"/>
            </w:tcBorders>
            <w:shd w:val="clear" w:color="000000" w:fill="E6E6E6"/>
            <w:vAlign w:val="center"/>
          </w:tcPr>
          <w:p>
            <w:pPr>
              <w:widowControl/>
              <w:jc w:val="center"/>
              <w:rPr>
                <w:rFonts w:hint="eastAsia" w:ascii="仿宋_GB2312" w:hAnsi="仿宋_GB2312" w:eastAsia="仿宋_GB2312" w:cs="仿宋_GB2312"/>
                <w:b/>
                <w:bCs/>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eastAsia="zh-CN"/>
                <w14:textFill>
                  <w14:solidFill>
                    <w14:schemeClr w14:val="tx1"/>
                  </w14:solidFill>
                </w14:textFill>
              </w:rPr>
              <w:t>类别</w:t>
            </w:r>
          </w:p>
        </w:tc>
        <w:tc>
          <w:tcPr>
            <w:tcW w:w="495" w:type="dxa"/>
            <w:tcBorders>
              <w:left w:val="single" w:color="auto" w:sz="12" w:space="0"/>
              <w:bottom w:val="single" w:color="auto" w:sz="12" w:space="0"/>
              <w:right w:val="single" w:color="auto" w:sz="12" w:space="0"/>
            </w:tcBorders>
            <w:shd w:val="clear" w:color="000000" w:fill="E6E6E6"/>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序号</w:t>
            </w:r>
          </w:p>
        </w:tc>
        <w:tc>
          <w:tcPr>
            <w:tcW w:w="3630" w:type="dxa"/>
            <w:tcBorders>
              <w:left w:val="single" w:color="auto" w:sz="12" w:space="0"/>
              <w:bottom w:val="single" w:color="auto" w:sz="12" w:space="0"/>
              <w:right w:val="single" w:color="auto" w:sz="12" w:space="0"/>
            </w:tcBorders>
            <w:shd w:val="clear" w:color="000000" w:fill="E6E6E6"/>
            <w:vAlign w:val="center"/>
          </w:tcPr>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指  标</w:t>
            </w:r>
          </w:p>
        </w:tc>
        <w:tc>
          <w:tcPr>
            <w:tcW w:w="1125" w:type="dxa"/>
            <w:tcBorders>
              <w:left w:val="single" w:color="auto" w:sz="12" w:space="0"/>
              <w:bottom w:val="single" w:color="auto" w:sz="12" w:space="0"/>
              <w:right w:val="single" w:color="auto" w:sz="12" w:space="0"/>
            </w:tcBorders>
            <w:shd w:val="clear" w:color="000000" w:fill="E6E6E6"/>
            <w:vAlign w:val="center"/>
          </w:tcPr>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2020年</w:t>
            </w:r>
          </w:p>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指标值</w:t>
            </w:r>
          </w:p>
        </w:tc>
        <w:tc>
          <w:tcPr>
            <w:tcW w:w="1320" w:type="dxa"/>
            <w:tcBorders>
              <w:left w:val="single" w:color="auto" w:sz="12" w:space="0"/>
              <w:bottom w:val="single" w:color="auto" w:sz="12" w:space="0"/>
              <w:right w:val="single" w:color="auto" w:sz="12" w:space="0"/>
            </w:tcBorders>
            <w:shd w:val="clear" w:color="000000" w:fill="E6E6E6"/>
            <w:vAlign w:val="center"/>
          </w:tcPr>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“十四五”</w:t>
            </w:r>
          </w:p>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目标值</w:t>
            </w:r>
          </w:p>
        </w:tc>
        <w:tc>
          <w:tcPr>
            <w:tcW w:w="1181" w:type="dxa"/>
            <w:tcBorders>
              <w:left w:val="single" w:color="auto" w:sz="12" w:space="0"/>
              <w:bottom w:val="single" w:color="auto" w:sz="12" w:space="0"/>
              <w:right w:val="single" w:color="auto" w:sz="12" w:space="0"/>
            </w:tcBorders>
            <w:shd w:val="clear" w:color="000000" w:fill="E6E6E6"/>
            <w:vAlign w:val="center"/>
          </w:tcPr>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指标</w:t>
            </w:r>
          </w:p>
          <w:p>
            <w:pPr>
              <w:widowControl/>
              <w:jc w:val="center"/>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健康结果</w:t>
            </w: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人均</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预期</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寿命（岁）</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81.49</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81.8</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人均健康预期寿命</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（岁）</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提高</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Style w:val="8"/>
                <w:rFonts w:hint="default" w:ascii="仿宋_GB2312" w:hAnsi="仿宋_GB2312" w:eastAsia="仿宋_GB2312" w:cs="仿宋_GB2312"/>
                <w:color w:val="000000" w:themeColor="text1"/>
                <w:sz w:val="24"/>
                <w:szCs w:val="24"/>
                <w:highlight w:val="none"/>
                <w14:textFill>
                  <w14:solidFill>
                    <w14:schemeClr w14:val="tx1"/>
                  </w14:solidFill>
                </w14:textFill>
              </w:rPr>
              <w:t>居民健康素养水平</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36.6</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40</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孕产妇死亡率（1/10万）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达到市级要求</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婴儿死亡率（‰）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1.43</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达到市级要求</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6</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儿童青少年总体近视率（</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55.29</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逐年稳步下降</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重大慢性病（心脑血管疾病、癌症、慢性呼吸系统疾病、糖尿病）过早死亡率（%）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平稳下降</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Style w:val="8"/>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甲乙类</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法定报告</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传染病发病率（1/10万）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71.69</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保持平稳</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健康行为</w:t>
            </w: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9</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15岁以上人群吸烟率（%）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19</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中小学生每天参加校内体育锻炼时长（小时）</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1小时</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1小时以上</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11</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全</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区</w:t>
            </w:r>
            <w:r>
              <w:rPr>
                <w:rFonts w:hint="eastAsia" w:ascii="仿宋_GB2312" w:hAnsi="仿宋_GB2312" w:eastAsia="仿宋_GB2312" w:cs="仿宋_GB2312"/>
                <w:color w:val="000000" w:themeColor="text1"/>
                <w:sz w:val="24"/>
                <w:szCs w:val="24"/>
                <w:highlight w:val="none"/>
                <w14:textFill>
                  <w14:solidFill>
                    <w14:schemeClr w14:val="tx1"/>
                  </w14:solidFill>
                </w14:textFill>
              </w:rPr>
              <w:t>经常参加体育锻炼人数比例（%）</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46.5</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＞50</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bottom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12</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全区参与冰雪运动人数（</w:t>
            </w:r>
            <w:r>
              <w:rPr>
                <w:rFonts w:hint="eastAsia" w:ascii="仿宋_GB2312" w:hAnsi="仿宋_GB2312" w:eastAsia="仿宋_GB2312" w:cs="仿宋_GB2312"/>
                <w:color w:val="000000" w:themeColor="text1"/>
                <w:sz w:val="24"/>
                <w:szCs w:val="24"/>
                <w:highlight w:val="none"/>
                <w14:textFill>
                  <w14:solidFill>
                    <w14:schemeClr w14:val="tx1"/>
                  </w14:solidFill>
                </w14:textFill>
              </w:rPr>
              <w:t>人</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30万</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35万</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健康服务</w:t>
            </w: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13</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每千常住人口医疗卫生机构床位数（张）</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3.81</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左右</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14</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每千常住人口执业（助理）医师数（人）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2.59</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左右</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15</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每千常住人口注册护士数（人）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2.77</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左右</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16</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每万常住人口疾控力量配比（人）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0.76</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≥1.0</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17</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每万常住人口全科医生（含中医类别全科医</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生</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）数（人）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pacing w:line="240" w:lineRule="exact"/>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2.44</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每千常住人口专业公共卫生机构卫生人员数（人）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p>
          <w:p>
            <w:pPr>
              <w:adjustRightInd w:val="0"/>
              <w:snapToGrid w:val="0"/>
              <w:spacing w:line="340" w:lineRule="exact"/>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0.32</w:t>
            </w:r>
          </w:p>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line="3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9</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每千</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常住人口</w:t>
            </w:r>
            <w:r>
              <w:rPr>
                <w:rFonts w:hint="eastAsia" w:ascii="仿宋_GB2312" w:hAnsi="仿宋_GB2312" w:eastAsia="仿宋_GB2312" w:cs="仿宋_GB2312"/>
                <w:color w:val="000000" w:themeColor="text1"/>
                <w:sz w:val="24"/>
                <w:szCs w:val="24"/>
                <w:highlight w:val="none"/>
                <w14:textFill>
                  <w14:solidFill>
                    <w14:schemeClr w14:val="tx1"/>
                  </w14:solidFill>
                </w14:textFill>
              </w:rPr>
              <w:t>拥有公益社会体育指导员数（人）</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pacing w:line="240" w:lineRule="exac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3.27</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20</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每千常住人口拥有</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3岁以下婴幼儿托位数（个）</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pacing w:line="240" w:lineRule="exact"/>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4.5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21</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65岁及以上老年人城乡社区规范</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化</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健康管理服务率（%）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59.96</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22</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家庭医生全人群签约覆盖率（%）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31.83</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≥45</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23</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高血压患者规范</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管理</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68.62</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≥80</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24</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2型糖尿病患者规范管理率（%）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67.58</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≥80</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bottom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25</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院前医疗急救服务平均反应时间（分钟）</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22.31</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&lt;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12</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restart"/>
            <w:tcBorders>
              <w:top w:val="single" w:color="auto" w:sz="12" w:space="0"/>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健康环境</w:t>
            </w: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26</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人均体育场地面积（平方米）</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2.73</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≥2.8</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27</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每万人拥有足球场地数量（</w:t>
            </w:r>
            <w:r>
              <w:rPr>
                <w:rFonts w:hint="eastAsia" w:ascii="仿宋_GB2312" w:hAnsi="仿宋_GB2312" w:eastAsia="仿宋_GB2312" w:cs="仿宋_GB2312"/>
                <w:color w:val="000000" w:themeColor="text1"/>
                <w:sz w:val="24"/>
                <w:szCs w:val="24"/>
                <w:highlight w:val="none"/>
                <w14:textFill>
                  <w14:solidFill>
                    <w14:schemeClr w14:val="tx1"/>
                  </w14:solidFill>
                </w14:textFill>
              </w:rPr>
              <w:t>块</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pacing w:line="24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0.66</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0.7</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default"/>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28</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绿道总长度（公里）</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spacing w:line="240" w:lineRule="exact"/>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53</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持续提高</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88" w:type="dxa"/>
            <w:vMerge w:val="continue"/>
            <w:tcBorders>
              <w:left w:val="single" w:color="auto" w:sz="12" w:space="0"/>
              <w:bottom w:val="single" w:color="auto" w:sz="12" w:space="0"/>
              <w:right w:val="single" w:color="auto" w:sz="12" w:space="0"/>
            </w:tcBorders>
            <w:shd w:val="clear" w:color="auto" w:fill="auto"/>
            <w:vAlign w:val="center"/>
          </w:tcPr>
          <w:p>
            <w:pPr>
              <w:widowControl/>
              <w:jc w:val="center"/>
              <w:rPr>
                <w:rFonts w:hint="default"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tc>
        <w:tc>
          <w:tcPr>
            <w:tcW w:w="49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default"/>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29</w:t>
            </w:r>
          </w:p>
        </w:tc>
        <w:tc>
          <w:tcPr>
            <w:tcW w:w="3630"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napToGrid w:val="0"/>
              <w:spacing w:after="31" w:afterLines="10"/>
              <w:jc w:val="left"/>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大兴区公园绿地</w:t>
            </w:r>
            <w:r>
              <w:rPr>
                <w:rFonts w:ascii="仿宋_GB2312" w:hAnsi="仿宋_GB2312" w:eastAsia="仿宋_GB2312" w:cs="仿宋_GB2312"/>
                <w:color w:val="000000" w:themeColor="text1"/>
                <w:sz w:val="24"/>
                <w:szCs w:val="24"/>
                <w:highlight w:val="none"/>
                <w14:textFill>
                  <w14:solidFill>
                    <w14:schemeClr w14:val="tx1"/>
                  </w14:solidFill>
                </w14:textFill>
              </w:rPr>
              <w:t>500米服务半径覆盖率（%）</w:t>
            </w:r>
          </w:p>
        </w:tc>
        <w:tc>
          <w:tcPr>
            <w:tcW w:w="1125"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92.27</w:t>
            </w:r>
          </w:p>
        </w:tc>
        <w:tc>
          <w:tcPr>
            <w:tcW w:w="1320"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94.36</w:t>
            </w:r>
          </w:p>
        </w:tc>
        <w:tc>
          <w:tcPr>
            <w:tcW w:w="1181"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cente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预期性</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CD3A0A-5923-409E-9B84-05D8AB735B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23A73FC-6D62-4CAC-A48F-3D4854384BF1}"/>
  </w:font>
  <w:font w:name="方正小标宋简体">
    <w:panose1 w:val="02000000000000000000"/>
    <w:charset w:val="86"/>
    <w:family w:val="auto"/>
    <w:pitch w:val="default"/>
    <w:sig w:usb0="00000001" w:usb1="08000000" w:usb2="00000000" w:usb3="00000000" w:csb0="00040000" w:csb1="00000000"/>
    <w:embedRegular r:id="rId3" w:fontKey="{08424547-2A35-48AE-96EE-548CE39746D1}"/>
  </w:font>
  <w:font w:name="仿宋_GB2312">
    <w:altName w:val="仿宋"/>
    <w:panose1 w:val="02010609030101010101"/>
    <w:charset w:val="86"/>
    <w:family w:val="modern"/>
    <w:pitch w:val="default"/>
    <w:sig w:usb0="00000000" w:usb1="00000000" w:usb2="00000000" w:usb3="00000000" w:csb0="00040000" w:csb1="00000000"/>
    <w:embedRegular r:id="rId4" w:fontKey="{46DCF561-34A8-4435-95A2-26B19E435B35}"/>
  </w:font>
  <w:font w:name="楷体_GB2312">
    <w:altName w:val="楷体"/>
    <w:panose1 w:val="02010609030101010101"/>
    <w:charset w:val="86"/>
    <w:family w:val="modern"/>
    <w:pitch w:val="default"/>
    <w:sig w:usb0="00000000" w:usb1="00000000" w:usb2="00000000" w:usb3="00000000" w:csb0="00040000" w:csb1="00000000"/>
    <w:embedRegular r:id="rId5" w:fontKey="{0CD45C4D-43D8-4C94-AB9B-F806C7AD26B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D5E1145"/>
    <w:rsid w:val="0D5E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character" w:customStyle="1" w:styleId="8">
    <w:name w:val="font4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2022-07-18T07:18:00Z</dcterms:created>
  <dc:creator>米露露</dc:creator>
  <cp:lastModifiedBy>米露露</cp:lastModifiedBy>
  <dcterms:modified xsi:type="dcterms:W3CDTF">2022-07-18T07:19:11Z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D63CF96A6546428884221999D49C289F</vt:lpwstr>
  </property>
</Properties>
</file>