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目 录</w:t>
      </w:r>
    </w:p>
    <w:p>
      <w:pPr>
        <w:pStyle w:val="5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TOC \o "1-3" \h \z \u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_Toc13640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第一章  “健康大兴”发展形势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_Toc13640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- 7 -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_Toc20926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一、“十三五”时期“健康大兴”发展成就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_Toc20926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- 7 -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_Toc17425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（一）公共卫生保障能力不断增强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_Toc17425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- 7 -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_Toc17444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（二）居民健康水平稳步提高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_Toc17444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_Toc29744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（三）医疗卫生服务体系不断完善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_Toc29744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- 9 -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_Toc29426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（四）全民健身行动成效明显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_Toc29426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- 12 -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_Toc10992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（五）健康环境有效改善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_Toc10992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- 14 -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_Toc852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（六）人才支撑进一步增强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_Toc852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- 14 -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_Toc24954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（七）信息化助力医疗服务水平显著提高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_Toc24954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- 15 -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_Toc6082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二、“健康大兴”建设中的问题与困难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_Toc6082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- 16 -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_Toc11948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（一）卫生资源总量不足，机构配置仍需持续优化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_Toc11948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- 16 -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_Toc30940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（二）公共卫生体系建设需持续加强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_Toc30940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- 16 -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_Toc30966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（三）公共体育场馆建设仍然不足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_Toc30966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- 17 -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_Toc31317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（四）健康环境仍有提升空间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_Toc31317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_Toc22562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（五）居民健康素养整体水平仍有待提高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_Toc22562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_Toc9262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（六）卫生人才不足制约事业发展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_Toc9262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_Toc11805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（七）各机构信息化建设发展不平衡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_Toc11805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- 19 -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_Toc10957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三、“十四五”时期的机遇与挑战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_Toc10957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- 19 -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_Toc30521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（一）“健康中国、健康北京”战略为全力推进“健康大兴”建设提供新机遇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_Toc30521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- 19 -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_Toc21677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（二）城市总体规划、首都城市战略功能定位、京津冀协同发展对“健康大兴”建设提出新要求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_Toc21677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- 20 -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_Toc5526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（三）大兴区社会经济与医疗服务高质量发展对“健康大兴”建设提出新期望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_Toc5526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- 21 -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_Toc8896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（四）深入理解新冠肺炎疫情对卫生健康领域产生的新风险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_Toc8896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- 21 -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_Toc14462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（五）人口老龄化与慢性疾病防控对大兴区医疗卫生事业发展提出新挑战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_Toc14462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- 22 -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_Toc30911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（六）深化医药卫生体制改革为区域卫生发展提出新愿景</w:t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_Toc30911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- 22 -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_Toc18431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第二章  “健康大兴”发展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指导思想和目标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_Toc18431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- 24 -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_Toc11500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一、指导思想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_Toc11500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- 24 -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_Toc15884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基本原则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_Toc15884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- 24 -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_Toc25379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三、发展目标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_Toc25379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- 25 -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_Toc25065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（一）总体目标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_Toc25065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- 25 -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_Toc29990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（二）主要指标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_Toc29990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- 25 -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_Toc16303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第三章  重点任务与重大</w:t>
      </w:r>
      <w:r>
        <w:rPr>
          <w:rFonts w:hint="eastAsia" w:ascii="方正小标宋简体" w:eastAsia="方正小标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工程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_Toc16303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_Toc31365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一、构建现代化公共卫生体系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_Toc31365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_Toc17700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完善传染性疾病预防控制体系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_Toc17700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- 28 -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_Toc21652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（二）加强公共卫生应急管理体系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_Toc21652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- 30 -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_Toc30281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（三）强化慢性病预防与控制体系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_Toc30281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- 31 -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_Toc1871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（四）完善精神卫生健康服务体系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_Toc1871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- 32 -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_Toc32574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提升卫生监督执法水平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_Toc32574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- 32 -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_Toc11804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建设优质的医疗卫生服务体系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_Toc11804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- 33 -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_Toc22132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以承接优质医疗资源疏解为契机均衡医疗资源布局</w:t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_Toc22132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- 33 -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_Toc5059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以学科为引领提升医疗机构服务质量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_Toc5059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- 35 -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_Toc31046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（三）以方便群众就医为重点优化服务结构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_Toc31046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- 36 -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_Toc28444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（四）以中医传承为核心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推动中医药健康服务发展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_Toc28444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- 38 -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_Toc24168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（五）以创新服务模式为目标发展“智慧医疗”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_Toc24168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- 39 -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_Toc4679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营造宜居的健康环境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_Toc4679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- 40 -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_Toc21717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营造健康人居环境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_Toc21717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- 40 -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_Toc2140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持续改善自然生态环境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_Toc2140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- 41 -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_Toc31520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维护交通安全环境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_Toc31520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- 42 -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_Toc15871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（四）优化学校健康环境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_Toc15871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- 42 -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_Toc6736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优化全民健身环境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_Toc6736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- 43 -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_Toc29505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全面开展健康行动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_Toc29505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- 43 -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_Toc18616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构建更高水平的全民健身公共服务体系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_Toc18616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- 43 -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_Toc27041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（二）推动全民健身赛事活动广泛开展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_Toc27041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- 45 -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_Toc7271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（三）打造多层次体育赛事品牌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_Toc7271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- 46 -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_Toc5955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提升青少年竞技体育竞争力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_Toc5955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- 47 -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_Toc12826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落实全民健康行动计划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_Toc12826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_Toc12421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五、加强健康服务与人口社会服务融合发展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_Toc12421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_Toc13537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构建全生命周期健康服务体系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_Toc13537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- 49 -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_Toc9120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完善妇幼健康服务管理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_Toc9120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- 49 -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_Toc13273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推进校园健康行动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_Toc13273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- 50 -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_Toc15868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落实职业健康政策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_Toc15868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- 50 -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_Toc16028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提升老龄健康服务能力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_Toc16028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- 50 -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_Toc12626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优化残疾人健康服务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_Toc12626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- 51 -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_Toc18013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推进健康产业发展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_Toc18013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- 52 -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_Toc7907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医药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健康产业发展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_Toc7907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- 52 -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_Toc28879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（二）推动区域中医药产业发展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_Toc28879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- 52 -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_Toc13121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全面优化体育产业整体结构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_Toc13121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- 53 -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_Toc20856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促进体育产业集聚发展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_Toc20856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- 53 -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_Toc32659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发展体卫融合服务产业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_Toc32659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- 54 -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_Toc27313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七、加强健康人才支撑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_Toc27313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- 54 -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_Toc23033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加大人才引进力度，拓宽人才引进渠道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_Toc23033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- 55 -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_Toc1900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创新干部人才培养机制，拓宽事业发展平台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_Toc1900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- 55 -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_Toc9634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强化人才保障机制，激励人才发挥作用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_Toc9634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- 56 -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_Toc19973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Cs w:val="0"/>
          <w:color w:val="000000" w:themeColor="text1"/>
          <w:sz w:val="32"/>
          <w:szCs w:val="32"/>
          <w:highlight w:val="none"/>
          <w:lang w:val="zh-TW" w:bidi="bo-CN"/>
          <w14:textFill>
            <w14:solidFill>
              <w14:schemeClr w14:val="tx1"/>
            </w14:solidFill>
          </w14:textFill>
        </w:rPr>
        <w:t>提高医疗保障水平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_Toc19973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- 57 -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_Toc10168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（一）坚持公平适度，完善医疗保障制度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_Toc10168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- 57 -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_Toc20025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（二）创新监管机制，维护医保基金安全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_Toc20025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- 57 -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_Toc31582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（三）强化技术支撑，提升医保管理服务效能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_Toc31582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_Toc8103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九、深化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zh-TW"/>
          <w14:textFill>
            <w14:solidFill>
              <w14:schemeClr w14:val="tx1"/>
            </w14:solidFill>
          </w14:textFill>
        </w:rPr>
        <w:t>健康体系改革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_Toc8103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_Toc18064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提高医疗卫生教学科研水平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_Toc18064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_Toc4533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深化医药卫生体制改革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_Toc4533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- 58 -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845"/>
          <w:tab w:val="clear" w:pos="8834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_Toc16149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（三）推动公立医院高质量发展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_Toc16149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- 59 -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_Toc24382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第四章  规划落实保障措施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_Toc24382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- 60 -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_Toc18396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一、加强组织领导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_Toc18396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- 60 -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_Toc11495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二、加强投入保障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_Toc11495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- 60 -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right" w:leader="dot" w:pos="8845"/>
        </w:tabs>
        <w:spacing w:line="56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\l _Toc29315 </w:instrText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三、加强宣传教育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PAGEREF _Toc29315 \h </w:instrTex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- 60 -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r>
        <w:rPr>
          <w:rFonts w:ascii="方正小标宋简体" w:eastAsia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C5912D-172F-4696-9C2D-0822FBE4E6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A7331D-0645-46AA-81DF-6940C25FB49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B47EFE-4211-4618-B216-F2E26E659A7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1712FA3-1749-4103-B35C-688A77D3FD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6A434F62"/>
    <w:rsid w:val="57442248"/>
    <w:rsid w:val="6A43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3">
    <w:name w:val="toc 3"/>
    <w:basedOn w:val="1"/>
    <w:next w:val="1"/>
    <w:unhideWhenUsed/>
    <w:qFormat/>
    <w:uiPriority w:val="39"/>
    <w:pPr>
      <w:tabs>
        <w:tab w:val="right" w:leader="dot" w:pos="8834"/>
      </w:tabs>
      <w:spacing w:line="360" w:lineRule="auto"/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rPr>
      <w:rFonts w:ascii="Times New Roman" w:hAnsi="Times New Roman" w:eastAsia="宋体" w:cs="Times New Roman"/>
      <w:szCs w:val="24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1575</Words>
  <Characters>1655</Characters>
  <Lines>0</Lines>
  <Paragraphs>0</Paragraphs>
  <TotalTime>9</TotalTime>
  <ScaleCrop>false</ScaleCrop>
  <LinksUpToDate>false</LinksUpToDate>
  <CharactersWithSpaces>1919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2022-07-18T07:17:00Z</dcterms:created>
  <dc:creator>米露露</dc:creator>
  <cp:lastModifiedBy>米露露</cp:lastModifiedBy>
  <dcterms:modified xsi:type="dcterms:W3CDTF">2022-07-18T07:41:53Z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3FA8B37BA3A94F3288492ED0ABBB29F1</vt:lpwstr>
  </property>
</Properties>
</file>