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topLinePunct w:val="0"/>
        <w:autoSpaceDE/>
        <w:autoSpaceDN/>
        <w:bidi w:val="0"/>
        <w:spacing w:before="0" w:after="0" w:line="560" w:lineRule="exact"/>
        <w:jc w:val="center"/>
        <w:rPr>
          <w:rFonts w:ascii="方正小标宋简体" w:eastAsia="方正小标宋简体"/>
          <w:b w:val="0"/>
          <w:color w:val="000000" w:themeColor="text1"/>
          <w:sz w:val="36"/>
          <w:szCs w:val="36"/>
          <w:highlight w:val="none"/>
          <w14:textFill>
            <w14:solidFill>
              <w14:schemeClr w14:val="tx1"/>
            </w14:solidFill>
          </w14:textFill>
        </w:rPr>
      </w:pPr>
      <w:bookmarkStart w:id="158" w:name="_GoBack"/>
      <w:bookmarkStart w:id="0" w:name="_Toc23431"/>
      <w:bookmarkStart w:id="1" w:name="_Toc90318385"/>
      <w:bookmarkStart w:id="2" w:name="_Toc5087"/>
      <w:bookmarkStart w:id="3" w:name="_Toc13640"/>
      <w:bookmarkStart w:id="4" w:name="_Toc23993"/>
      <w:bookmarkStart w:id="5" w:name="_Toc9767"/>
      <w:bookmarkStart w:id="6" w:name="_Toc9180"/>
      <w:r>
        <w:rPr>
          <w:rFonts w:hint="eastAsia" w:ascii="方正小标宋简体" w:eastAsia="方正小标宋简体"/>
          <w:b w:val="0"/>
          <w:color w:val="000000" w:themeColor="text1"/>
          <w:highlight w:val="none"/>
          <w14:textFill>
            <w14:solidFill>
              <w14:schemeClr w14:val="tx1"/>
            </w14:solidFill>
          </w14:textFill>
        </w:rPr>
        <w:t>第一章  “健康大兴”发展形势</w:t>
      </w:r>
      <w:bookmarkEnd w:id="0"/>
      <w:bookmarkEnd w:id="1"/>
      <w:bookmarkEnd w:id="2"/>
      <w:bookmarkEnd w:id="3"/>
      <w:bookmarkEnd w:id="4"/>
      <w:bookmarkEnd w:id="5"/>
      <w:bookmarkEnd w:id="6"/>
    </w:p>
    <w:bookmarkEnd w:id="158"/>
    <w:p>
      <w:pPr>
        <w:pageBreakBefore w:val="0"/>
        <w:kinsoku/>
        <w:wordWrap/>
        <w:overflowPunct w:val="0"/>
        <w:topLinePunct w:val="0"/>
        <w:autoSpaceDE/>
        <w:autoSpaceDN/>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p>
    <w:p>
      <w:pPr>
        <w:pStyle w:val="4"/>
        <w:keepNext w:val="0"/>
        <w:keepLines w:val="0"/>
        <w:pageBreakBefore w:val="0"/>
        <w:kinsoku/>
        <w:wordWrap/>
        <w:topLinePunct w:val="0"/>
        <w:autoSpaceDE/>
        <w:autoSpaceDN/>
        <w:bidi w:val="0"/>
        <w:spacing w:before="0" w:after="0" w:line="560" w:lineRule="exact"/>
        <w:ind w:firstLine="640" w:firstLineChars="200"/>
        <w:rPr>
          <w:rFonts w:ascii="黑体" w:hAnsi="黑体" w:cs="黑体"/>
          <w:b w:val="0"/>
          <w:color w:val="000000" w:themeColor="text1"/>
          <w:highlight w:val="none"/>
          <w14:textFill>
            <w14:solidFill>
              <w14:schemeClr w14:val="tx1"/>
            </w14:solidFill>
          </w14:textFill>
        </w:rPr>
      </w:pPr>
      <w:bookmarkStart w:id="7" w:name="_Toc90318386"/>
      <w:bookmarkStart w:id="8" w:name="_Toc20926"/>
      <w:bookmarkStart w:id="9" w:name="_Toc352"/>
      <w:bookmarkStart w:id="10" w:name="_Toc25921"/>
      <w:bookmarkStart w:id="11" w:name="_Toc11303"/>
      <w:bookmarkStart w:id="12" w:name="_Toc13344"/>
      <w:bookmarkStart w:id="13" w:name="_Toc27042"/>
      <w:r>
        <w:rPr>
          <w:rFonts w:hint="eastAsia" w:ascii="黑体" w:hAnsi="黑体" w:cs="黑体"/>
          <w:b w:val="0"/>
          <w:color w:val="000000" w:themeColor="text1"/>
          <w:highlight w:val="none"/>
          <w14:textFill>
            <w14:solidFill>
              <w14:schemeClr w14:val="tx1"/>
            </w14:solidFill>
          </w14:textFill>
        </w:rPr>
        <w:t>一、“十三五”时期“健康大兴”发展成就</w:t>
      </w:r>
      <w:r>
        <w:rPr>
          <w:rFonts w:hint="eastAsia" w:ascii="黑体" w:hAnsi="黑体" w:cs="黑体"/>
          <w:b w:val="0"/>
          <w:bCs w:val="0"/>
          <w:color w:val="000000" w:themeColor="text1"/>
          <w:highlight w:val="none"/>
          <w:vertAlign w:val="superscript"/>
          <w14:textFill>
            <w14:solidFill>
              <w14:schemeClr w14:val="tx1"/>
            </w14:solidFill>
          </w14:textFill>
        </w:rPr>
        <w:footnoteReference w:id="0"/>
      </w:r>
      <w:bookmarkEnd w:id="7"/>
      <w:bookmarkEnd w:id="8"/>
      <w:bookmarkEnd w:id="9"/>
      <w:bookmarkEnd w:id="10"/>
      <w:bookmarkEnd w:id="11"/>
      <w:bookmarkEnd w:id="12"/>
      <w:bookmarkEnd w:id="13"/>
    </w:p>
    <w:p>
      <w:pPr>
        <w:pageBreakBefore w:val="0"/>
        <w:kinsoku/>
        <w:wordWrap/>
        <w:overflowPunct w:val="0"/>
        <w:topLinePunct w:val="0"/>
        <w:autoSpaceDE/>
        <w:autoSpaceDN/>
        <w:bidi w:val="0"/>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“十三五”期间，大兴区落实深化医药卫生体制改革和调整完善计生服务有关要求，初步完成了一系列重大改革举措与重点工程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陆续完善计生、老龄、医改等工作协调管理机制；逐步完善公共卫生应急联动机制；取得新冠肺炎防控战役初步胜利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卫生健康服务供给与保障能力持续优化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实现居民健康水平有效提升，患者满意度水平进一步提高。</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color w:val="000000" w:themeColor="text1"/>
          <w:highlight w:val="none"/>
          <w14:textFill>
            <w14:solidFill>
              <w14:schemeClr w14:val="tx1"/>
            </w14:solidFill>
          </w14:textFill>
        </w:rPr>
      </w:pPr>
      <w:bookmarkStart w:id="14" w:name="_Toc17425"/>
      <w:bookmarkStart w:id="15" w:name="_Toc21022"/>
      <w:bookmarkStart w:id="16" w:name="_Toc90318387"/>
      <w:r>
        <w:rPr>
          <w:rFonts w:hint="eastAsia" w:ascii="楷体_GB2312" w:eastAsia="楷体_GB2312"/>
          <w:b w:val="0"/>
          <w:bCs w:val="0"/>
          <w:color w:val="000000" w:themeColor="text1"/>
          <w:highlight w:val="none"/>
          <w14:textFill>
            <w14:solidFill>
              <w14:schemeClr w14:val="tx1"/>
            </w14:solidFill>
          </w14:textFill>
        </w:rPr>
        <w:t>（一）公共卫生保障能力不断增强</w:t>
      </w:r>
      <w:bookmarkEnd w:id="14"/>
      <w:bookmarkEnd w:id="15"/>
      <w:bookmarkEnd w:id="16"/>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“十三五”期间，大兴区公共卫生服务经费不断增长，切实保障了公共卫生各项工作开展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传染病监测预警体系更加完善，卫生应急处置能力不断增强，联防联控工作机制更加健全，指导建立村（居）公共卫生委员会，实现村（居）100%全覆盖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为新冠肺炎疫情防控的阶段性胜利奠定了坚实的基础，在北京大</w:t>
      </w:r>
      <w:r>
        <w:rPr>
          <w:rFonts w:hint="eastAsia" w:ascii="仿宋_GB2312" w:hAnsi="仿宋_GB2312" w:eastAsia="仿宋_GB2312" w:cs="仿宋_GB2312"/>
          <w:color w:val="000000" w:themeColor="text1"/>
          <w:sz w:val="32"/>
          <w:szCs w:val="32"/>
          <w:highlight w:val="none"/>
          <w14:textFill>
            <w14:solidFill>
              <w14:schemeClr w14:val="tx1"/>
            </w14:solidFill>
          </w14:textFill>
        </w:rPr>
        <w:t>兴国际机场建设与运行保障中发挥了重要作用。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大兴区</w:t>
      </w:r>
      <w:r>
        <w:rPr>
          <w:rFonts w:hint="eastAsia" w:ascii="仿宋_GB2312" w:hAnsi="仿宋_GB2312" w:eastAsia="仿宋_GB2312" w:cs="仿宋_GB2312"/>
          <w:color w:val="000000" w:themeColor="text1"/>
          <w:sz w:val="32"/>
          <w:szCs w:val="32"/>
          <w:highlight w:val="none"/>
          <w14:textFill>
            <w14:solidFill>
              <w14:schemeClr w14:val="tx1"/>
            </w14:solidFill>
          </w14:textFill>
        </w:rPr>
        <w:t>成功创建北京市慢性病综合防控示范区，初步形成政府主导、部门合作、全社会参与的慢性病防控格局。</w:t>
      </w:r>
      <w:r>
        <w:rPr>
          <w:rFonts w:hint="eastAsia" w:ascii="仿宋_GB2312" w:hAnsi="仿宋_GB2312" w:eastAsia="仿宋_GB2312" w:cs="仿宋_GB2312"/>
          <w:color w:val="000000" w:themeColor="text1"/>
          <w:sz w:val="32"/>
          <w:highlight w:val="none"/>
          <w14:textFill>
            <w14:solidFill>
              <w14:schemeClr w14:val="tx1"/>
            </w14:solidFill>
          </w14:textFill>
        </w:rPr>
        <w:t>累计创建</w:t>
      </w:r>
      <w:r>
        <w:rPr>
          <w:rFonts w:hint="eastAsia" w:ascii="仿宋_GB2312" w:hAnsi="仿宋_GB2312" w:eastAsia="仿宋_GB2312" w:cs="仿宋_GB2312"/>
          <w:color w:val="000000" w:themeColor="text1"/>
          <w:sz w:val="32"/>
          <w:szCs w:val="32"/>
          <w:highlight w:val="none"/>
          <w14:textFill>
            <w14:solidFill>
              <w14:schemeClr w14:val="tx1"/>
            </w14:solidFill>
          </w14:textFill>
        </w:rPr>
        <w:t>健康社区、健康食堂等示范机构553家。</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全区管理高血压患者10.71万人，高血压患者规范管理率由2015年的57.8%提高到2020年的68.62%；管理糖尿病患者4.78万人，糖尿病患者规范管理率由2015年的62.37%提高到2020年的67.58%。</w:t>
      </w:r>
      <w:r>
        <w:rPr>
          <w:rFonts w:hint="eastAsia" w:ascii="仿宋_GB2312" w:hAnsi="仿宋_GB2312" w:eastAsia="仿宋_GB2312" w:cs="仿宋_GB2312"/>
          <w:color w:val="000000" w:themeColor="text1"/>
          <w:sz w:val="32"/>
          <w:szCs w:val="32"/>
          <w:highlight w:val="none"/>
          <w14:textFill>
            <w14:solidFill>
              <w14:schemeClr w14:val="tx1"/>
            </w14:solidFill>
          </w14:textFill>
        </w:rPr>
        <w:t>严重精神障碍患者管理能力不断增强，患者排查和管理力度不断加大，登记在册严重精神障碍患者6124人,比“十二五”末增长88.84%，报告患病率3.41‰。规范落实监护补贴申领工作和免费服药政策,在册患者规范管理率97.66%、规律服药率84.41%、患者面访率91.12%、免费服药政策惠及率68.40%，均超过北京市级要求。卫生监督力度持续加强，监督覆盖率保持在99%以上，超过大兴区“十三五”时期规划要求；建立控烟社会共治模式；加大执法力度，实现“双随机”抽查全覆盖；成功查处北京首例第三方在电商平台违法销售涉水产品案件；2020年处罚761户次、罚没款242.44万元，全年监督检查、立案处罚量位居全市前列。</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17" w:name="_Toc20757"/>
      <w:bookmarkStart w:id="18" w:name="_Toc90318388"/>
      <w:bookmarkStart w:id="19" w:name="_Toc20280"/>
      <w:bookmarkStart w:id="20" w:name="_Toc16053"/>
      <w:bookmarkStart w:id="21" w:name="_Toc4916"/>
      <w:bookmarkStart w:id="22" w:name="_Toc17444"/>
      <w:bookmarkStart w:id="23" w:name="_Toc30270"/>
      <w:r>
        <w:rPr>
          <w:rFonts w:hint="eastAsia" w:ascii="楷体_GB2312" w:eastAsia="楷体_GB2312"/>
          <w:b w:val="0"/>
          <w:bCs w:val="0"/>
          <w:color w:val="000000" w:themeColor="text1"/>
          <w:highlight w:val="none"/>
          <w14:textFill>
            <w14:solidFill>
              <w14:schemeClr w14:val="tx1"/>
            </w14:solidFill>
          </w14:textFill>
        </w:rPr>
        <w:t>（二）居民健康水平稳步提高</w:t>
      </w:r>
      <w:bookmarkEnd w:id="17"/>
      <w:bookmarkEnd w:id="18"/>
      <w:bookmarkEnd w:id="19"/>
      <w:bookmarkEnd w:id="20"/>
      <w:bookmarkEnd w:id="21"/>
      <w:bookmarkEnd w:id="22"/>
      <w:bookmarkEnd w:id="23"/>
    </w:p>
    <w:p>
      <w:pPr>
        <w:pageBreakBefore w:val="0"/>
        <w:kinsoku/>
        <w:wordWrap/>
        <w:topLinePunct w:val="0"/>
        <w:autoSpaceDE/>
        <w:autoSpaceDN/>
        <w:bidi w:val="0"/>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与“十二五”末期相比，大兴区人均期望寿命由80.</w:t>
      </w:r>
      <w:r>
        <w:rPr>
          <w:rFonts w:ascii="仿宋_GB2312" w:eastAsia="仿宋_GB2312"/>
          <w:color w:val="000000" w:themeColor="text1"/>
          <w:sz w:val="32"/>
          <w:szCs w:val="32"/>
          <w:highlight w:val="none"/>
          <w14:textFill>
            <w14:solidFill>
              <w14:schemeClr w14:val="tx1"/>
            </w14:solidFill>
          </w14:textFill>
        </w:rPr>
        <w:t>76</w:t>
      </w:r>
      <w:r>
        <w:rPr>
          <w:rFonts w:hint="eastAsia" w:ascii="仿宋_GB2312" w:eastAsia="仿宋_GB2312"/>
          <w:color w:val="000000" w:themeColor="text1"/>
          <w:sz w:val="32"/>
          <w:szCs w:val="32"/>
          <w:highlight w:val="none"/>
          <w14:textFill>
            <w14:solidFill>
              <w14:schemeClr w14:val="tx1"/>
            </w14:solidFill>
          </w14:textFill>
        </w:rPr>
        <w:t>岁增至</w:t>
      </w:r>
      <w:r>
        <w:rPr>
          <w:rFonts w:ascii="仿宋_GB2312" w:eastAsia="仿宋_GB2312"/>
          <w:color w:val="000000" w:themeColor="text1"/>
          <w:sz w:val="32"/>
          <w:szCs w:val="32"/>
          <w:highlight w:val="none"/>
          <w14:textFill>
            <w14:solidFill>
              <w14:schemeClr w14:val="tx1"/>
            </w14:solidFill>
          </w14:textFill>
        </w:rPr>
        <w:t>81.49</w:t>
      </w:r>
      <w:r>
        <w:rPr>
          <w:rFonts w:hint="eastAsia" w:ascii="仿宋_GB2312" w:eastAsia="仿宋_GB2312"/>
          <w:color w:val="000000" w:themeColor="text1"/>
          <w:sz w:val="32"/>
          <w:szCs w:val="32"/>
          <w:highlight w:val="none"/>
          <w14:textFill>
            <w14:solidFill>
              <w14:schemeClr w14:val="tx1"/>
            </w14:solidFill>
          </w14:textFill>
        </w:rPr>
        <w:t>岁；婴儿死亡率由</w:t>
      </w:r>
      <w:r>
        <w:rPr>
          <w:rFonts w:ascii="仿宋_GB2312" w:eastAsia="仿宋_GB2312"/>
          <w:color w:val="000000" w:themeColor="text1"/>
          <w:sz w:val="32"/>
          <w:szCs w:val="32"/>
          <w:highlight w:val="none"/>
          <w14:textFill>
            <w14:solidFill>
              <w14:schemeClr w14:val="tx1"/>
            </w14:solidFill>
          </w14:textFill>
        </w:rPr>
        <w:t>1.97</w:t>
      </w:r>
      <w:r>
        <w:rPr>
          <w:rFonts w:hint="eastAsia" w:ascii="仿宋_GB2312" w:eastAsia="仿宋_GB2312"/>
          <w:color w:val="000000" w:themeColor="text1"/>
          <w:sz w:val="32"/>
          <w:szCs w:val="32"/>
          <w:highlight w:val="none"/>
          <w14:textFill>
            <w14:solidFill>
              <w14:schemeClr w14:val="tx1"/>
            </w14:solidFill>
          </w14:textFill>
        </w:rPr>
        <w:t>‰下降至</w:t>
      </w:r>
      <w:r>
        <w:rPr>
          <w:rFonts w:ascii="仿宋_GB2312" w:eastAsia="仿宋_GB2312"/>
          <w:color w:val="000000" w:themeColor="text1"/>
          <w:sz w:val="32"/>
          <w:szCs w:val="32"/>
          <w:highlight w:val="none"/>
          <w14:textFill>
            <w14:solidFill>
              <w14:schemeClr w14:val="tx1"/>
            </w14:solidFill>
          </w14:textFill>
        </w:rPr>
        <w:t>1.43</w:t>
      </w:r>
      <w:r>
        <w:rPr>
          <w:rFonts w:hint="eastAsia" w:ascii="仿宋_GB2312" w:eastAsia="仿宋_GB2312"/>
          <w:color w:val="000000" w:themeColor="text1"/>
          <w:sz w:val="32"/>
          <w:szCs w:val="32"/>
          <w:highlight w:val="none"/>
          <w14:textFill>
            <w14:solidFill>
              <w14:schemeClr w14:val="tx1"/>
            </w14:solidFill>
          </w14:textFill>
        </w:rPr>
        <w:t>‰；5岁以下儿童死亡率由</w:t>
      </w:r>
      <w:r>
        <w:rPr>
          <w:rFonts w:ascii="仿宋_GB2312" w:eastAsia="仿宋_GB2312"/>
          <w:color w:val="000000" w:themeColor="text1"/>
          <w:sz w:val="32"/>
          <w:szCs w:val="32"/>
          <w:highlight w:val="none"/>
          <w14:textFill>
            <w14:solidFill>
              <w14:schemeClr w14:val="tx1"/>
            </w14:solidFill>
          </w14:textFill>
        </w:rPr>
        <w:t>3.02</w:t>
      </w:r>
      <w:r>
        <w:rPr>
          <w:rFonts w:hint="eastAsia" w:ascii="仿宋_GB2312" w:eastAsia="仿宋_GB2312"/>
          <w:color w:val="000000" w:themeColor="text1"/>
          <w:sz w:val="32"/>
          <w:szCs w:val="32"/>
          <w:highlight w:val="none"/>
          <w14:textFill>
            <w14:solidFill>
              <w14:schemeClr w14:val="tx1"/>
            </w14:solidFill>
          </w14:textFill>
        </w:rPr>
        <w:t>‰下降至</w:t>
      </w:r>
      <w:r>
        <w:rPr>
          <w:rFonts w:ascii="仿宋_GB2312" w:eastAsia="仿宋_GB2312"/>
          <w:color w:val="000000" w:themeColor="text1"/>
          <w:sz w:val="32"/>
          <w:szCs w:val="32"/>
          <w:highlight w:val="none"/>
          <w14:textFill>
            <w14:solidFill>
              <w14:schemeClr w14:val="tx1"/>
            </w14:solidFill>
          </w14:textFill>
        </w:rPr>
        <w:t>1.96</w:t>
      </w:r>
      <w:r>
        <w:rPr>
          <w:rFonts w:hint="eastAsia" w:ascii="仿宋_GB2312" w:eastAsia="仿宋_GB2312"/>
          <w:color w:val="000000" w:themeColor="text1"/>
          <w:sz w:val="32"/>
          <w:szCs w:val="32"/>
          <w:highlight w:val="none"/>
          <w14:textFill>
            <w14:solidFill>
              <w14:schemeClr w14:val="tx1"/>
            </w14:solidFill>
          </w14:textFill>
        </w:rPr>
        <w:t>‰；五年内平均孕产妇死亡率控制在10/10万以下；甲乙类传染病报告发病率由</w:t>
      </w:r>
      <w:r>
        <w:rPr>
          <w:rFonts w:ascii="仿宋_GB2312" w:eastAsia="仿宋_GB2312"/>
          <w:color w:val="000000" w:themeColor="text1"/>
          <w:sz w:val="32"/>
          <w:szCs w:val="32"/>
          <w:highlight w:val="none"/>
          <w14:textFill>
            <w14:solidFill>
              <w14:schemeClr w14:val="tx1"/>
            </w14:solidFill>
          </w14:textFill>
        </w:rPr>
        <w:t>148.04</w:t>
      </w:r>
      <w:r>
        <w:rPr>
          <w:rFonts w:hint="eastAsia" w:ascii="仿宋_GB2312" w:eastAsia="仿宋_GB2312"/>
          <w:color w:val="000000" w:themeColor="text1"/>
          <w:sz w:val="32"/>
          <w:szCs w:val="32"/>
          <w:highlight w:val="none"/>
          <w14:textFill>
            <w14:solidFill>
              <w14:schemeClr w14:val="tx1"/>
            </w14:solidFill>
          </w14:textFill>
        </w:rPr>
        <w:t>/10万下降至</w:t>
      </w:r>
      <w:r>
        <w:rPr>
          <w:rFonts w:ascii="仿宋_GB2312" w:eastAsia="仿宋_GB2312"/>
          <w:color w:val="000000" w:themeColor="text1"/>
          <w:sz w:val="32"/>
          <w:szCs w:val="32"/>
          <w:highlight w:val="none"/>
          <w14:textFill>
            <w14:solidFill>
              <w14:schemeClr w14:val="tx1"/>
            </w14:solidFill>
          </w14:textFill>
        </w:rPr>
        <w:t>71.69/10万</w:t>
      </w:r>
      <w:r>
        <w:rPr>
          <w:rFonts w:hint="eastAsia" w:ascii="仿宋_GB2312" w:eastAsia="仿宋_GB2312"/>
          <w:color w:val="000000" w:themeColor="text1"/>
          <w:sz w:val="32"/>
          <w:highlight w:val="none"/>
          <w14:textFill>
            <w14:solidFill>
              <w14:schemeClr w14:val="tx1"/>
            </w14:solidFill>
          </w14:textFill>
        </w:rPr>
        <w:t>，均优于“十三五”规划目标。特别是通过</w:t>
      </w:r>
      <w:r>
        <w:rPr>
          <w:rFonts w:hint="eastAsia" w:ascii="仿宋_GB2312" w:hAnsi="仿宋_GB2312" w:eastAsia="仿宋_GB2312" w:cs="仿宋_GB2312"/>
          <w:color w:val="000000" w:themeColor="text1"/>
          <w:sz w:val="32"/>
          <w:szCs w:val="32"/>
          <w:highlight w:val="none"/>
          <w14:textFill>
            <w14:solidFill>
              <w14:schemeClr w14:val="tx1"/>
            </w14:solidFill>
          </w14:textFill>
        </w:rPr>
        <w:t>落实母婴安全筑基保障措施，五年间孕产妇死亡率低于北京市平均水平，未出现孕产妇可避免死亡，其中三年无孕产妇死亡，2019年大兴区被评为全市“非常安全”区之一。“十三五”期间，妇幼保健服务体系逐步完善，服务水平居于全市前列。完成爱婴社区、爱婴医院及妇女保健、儿童保健规范化门诊全覆盖建设；推进生育全周期服务，做到关口前移，强化出生缺陷一级防控，婚检率由2016年的不足10%提升至2020年的86.92%，处于全市领先水平；妇幼保健管理力度不断增强，0-6岁儿童系统管理率由2015年的95.20%提高到2020年的95.33%。</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24" w:name="_Toc90318389"/>
      <w:bookmarkStart w:id="25" w:name="_Toc18349"/>
      <w:bookmarkStart w:id="26" w:name="_Toc30526"/>
      <w:bookmarkStart w:id="27" w:name="_Toc25962"/>
      <w:bookmarkStart w:id="28" w:name="_Toc10654"/>
      <w:bookmarkStart w:id="29" w:name="_Toc29744"/>
      <w:bookmarkStart w:id="30" w:name="_Toc10571"/>
      <w:r>
        <w:rPr>
          <w:rFonts w:hint="eastAsia" w:ascii="楷体_GB2312" w:eastAsia="楷体_GB2312"/>
          <w:b w:val="0"/>
          <w:bCs w:val="0"/>
          <w:color w:val="000000" w:themeColor="text1"/>
          <w:highlight w:val="none"/>
          <w14:textFill>
            <w14:solidFill>
              <w14:schemeClr w14:val="tx1"/>
            </w14:solidFill>
          </w14:textFill>
        </w:rPr>
        <w:t>（三）医疗卫生服务体系不断完善</w:t>
      </w:r>
      <w:bookmarkEnd w:id="24"/>
      <w:bookmarkEnd w:id="25"/>
      <w:bookmarkEnd w:id="26"/>
      <w:bookmarkEnd w:id="27"/>
      <w:bookmarkEnd w:id="28"/>
      <w:bookmarkEnd w:id="29"/>
      <w:bookmarkEnd w:id="30"/>
    </w:p>
    <w:p>
      <w:pPr>
        <w:pageBreakBefore w:val="0"/>
        <w:kinsoku/>
        <w:wordWrap/>
        <w:topLinePunct w:val="0"/>
        <w:autoSpaceDE/>
        <w:autoSpaceDN/>
        <w:bidi w:val="0"/>
        <w:adjustRightInd w:val="0"/>
        <w:snapToGrid w:val="0"/>
        <w:spacing w:line="56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优质资源不断增加。引入北京中医药大学东方医院、首都医科大学附属北京口腔医院，北京大学第一医院城南院区项目开工建设，大兴区人民医院、大兴区中西医结合医院、天宫院社区卫生服务中心等新建项目正在积极推进。公立</w:t>
      </w:r>
      <w:r>
        <w:rPr>
          <w:rFonts w:hint="eastAsia" w:ascii="仿宋_GB2312" w:eastAsia="仿宋_GB2312"/>
          <w:color w:val="000000" w:themeColor="text1"/>
          <w:sz w:val="32"/>
          <w:szCs w:val="32"/>
          <w:highlight w:val="none"/>
          <w:lang w:eastAsia="zh-CN"/>
          <w14:textFill>
            <w14:solidFill>
              <w14:schemeClr w14:val="tx1"/>
            </w14:solidFill>
          </w14:textFill>
        </w:rPr>
        <w:t>医疗机构</w:t>
      </w:r>
      <w:r>
        <w:rPr>
          <w:rFonts w:hint="eastAsia" w:ascii="仿宋_GB2312" w:eastAsia="仿宋_GB2312"/>
          <w:color w:val="000000" w:themeColor="text1"/>
          <w:sz w:val="32"/>
          <w:szCs w:val="32"/>
          <w:highlight w:val="none"/>
          <w14:textFill>
            <w14:solidFill>
              <w14:schemeClr w14:val="tx1"/>
            </w14:solidFill>
          </w14:textFill>
        </w:rPr>
        <w:t>与社会办医疗机构共同构建的体系优势不断显现，医疗资源持续增加。截止</w:t>
      </w:r>
      <w:r>
        <w:rPr>
          <w:rFonts w:ascii="仿宋_GB2312" w:eastAsia="仿宋_GB2312"/>
          <w:color w:val="000000" w:themeColor="text1"/>
          <w:sz w:val="32"/>
          <w:szCs w:val="32"/>
          <w:highlight w:val="none"/>
          <w14:textFill>
            <w14:solidFill>
              <w14:schemeClr w14:val="tx1"/>
            </w14:solidFill>
          </w14:textFill>
        </w:rPr>
        <w:t>2020</w:t>
      </w:r>
      <w:r>
        <w:rPr>
          <w:rFonts w:hint="eastAsia" w:ascii="仿宋_GB2312" w:eastAsia="仿宋_GB2312"/>
          <w:color w:val="000000" w:themeColor="text1"/>
          <w:sz w:val="32"/>
          <w:szCs w:val="32"/>
          <w:highlight w:val="none"/>
          <w14:textFill>
            <w14:solidFill>
              <w14:schemeClr w14:val="tx1"/>
            </w14:solidFill>
          </w14:textFill>
        </w:rPr>
        <w:t>年，全区医疗卫生机构</w:t>
      </w:r>
      <w:r>
        <w:rPr>
          <w:rFonts w:ascii="仿宋_GB2312" w:eastAsia="仿宋_GB2312"/>
          <w:color w:val="000000" w:themeColor="text1"/>
          <w:sz w:val="32"/>
          <w:szCs w:val="32"/>
          <w:highlight w:val="none"/>
          <w14:textFill>
            <w14:solidFill>
              <w14:schemeClr w14:val="tx1"/>
            </w14:solidFill>
          </w14:textFill>
        </w:rPr>
        <w:t>779</w:t>
      </w:r>
      <w:r>
        <w:rPr>
          <w:rFonts w:hint="eastAsia" w:ascii="仿宋_GB2312" w:eastAsia="仿宋_GB2312"/>
          <w:color w:val="000000" w:themeColor="text1"/>
          <w:sz w:val="32"/>
          <w:szCs w:val="32"/>
          <w:highlight w:val="none"/>
          <w14:textFill>
            <w14:solidFill>
              <w14:schemeClr w14:val="tx1"/>
            </w14:solidFill>
          </w14:textFill>
        </w:rPr>
        <w:t>家，卫技人员</w:t>
      </w:r>
      <w:r>
        <w:rPr>
          <w:rFonts w:ascii="仿宋_GB2312" w:eastAsia="仿宋_GB2312"/>
          <w:color w:val="000000" w:themeColor="text1"/>
          <w:sz w:val="32"/>
          <w:szCs w:val="32"/>
          <w:highlight w:val="none"/>
          <w14:textFill>
            <w14:solidFill>
              <w14:schemeClr w14:val="tx1"/>
            </w14:solidFill>
          </w14:textFill>
        </w:rPr>
        <w:t>13705</w:t>
      </w:r>
      <w:r>
        <w:rPr>
          <w:rFonts w:hint="eastAsia" w:ascii="仿宋_GB2312" w:eastAsia="仿宋_GB2312"/>
          <w:color w:val="000000" w:themeColor="text1"/>
          <w:sz w:val="32"/>
          <w:szCs w:val="32"/>
          <w:highlight w:val="none"/>
          <w14:textFill>
            <w14:solidFill>
              <w14:schemeClr w14:val="tx1"/>
            </w14:solidFill>
          </w14:textFill>
        </w:rPr>
        <w:t>人，其中执业（助理）医师</w:t>
      </w:r>
      <w:r>
        <w:rPr>
          <w:rFonts w:ascii="仿宋_GB2312" w:eastAsia="仿宋_GB2312"/>
          <w:color w:val="000000" w:themeColor="text1"/>
          <w:sz w:val="32"/>
          <w:szCs w:val="32"/>
          <w:highlight w:val="none"/>
          <w14:textFill>
            <w14:solidFill>
              <w14:schemeClr w14:val="tx1"/>
            </w14:solidFill>
          </w14:textFill>
        </w:rPr>
        <w:t>5155</w:t>
      </w:r>
      <w:r>
        <w:rPr>
          <w:rFonts w:hint="eastAsia" w:ascii="仿宋_GB2312" w:eastAsia="仿宋_GB2312"/>
          <w:color w:val="000000" w:themeColor="text1"/>
          <w:sz w:val="32"/>
          <w:szCs w:val="32"/>
          <w:highlight w:val="none"/>
          <w14:textFill>
            <w14:solidFill>
              <w14:schemeClr w14:val="tx1"/>
            </w14:solidFill>
          </w14:textFill>
        </w:rPr>
        <w:t>人、注册护士</w:t>
      </w:r>
      <w:r>
        <w:rPr>
          <w:rFonts w:ascii="仿宋_GB2312" w:eastAsia="仿宋_GB2312"/>
          <w:color w:val="000000" w:themeColor="text1"/>
          <w:sz w:val="32"/>
          <w:szCs w:val="32"/>
          <w:highlight w:val="none"/>
          <w14:textFill>
            <w14:solidFill>
              <w14:schemeClr w14:val="tx1"/>
            </w14:solidFill>
          </w14:textFill>
        </w:rPr>
        <w:t>5524</w:t>
      </w:r>
      <w:r>
        <w:rPr>
          <w:rFonts w:hint="eastAsia" w:ascii="仿宋_GB2312" w:eastAsia="仿宋_GB2312"/>
          <w:color w:val="000000" w:themeColor="text1"/>
          <w:sz w:val="32"/>
          <w:szCs w:val="32"/>
          <w:highlight w:val="none"/>
          <w14:textFill>
            <w14:solidFill>
              <w14:schemeClr w14:val="tx1"/>
            </w14:solidFill>
          </w14:textFill>
        </w:rPr>
        <w:t>人，实有床位</w:t>
      </w:r>
      <w:r>
        <w:rPr>
          <w:rFonts w:ascii="仿宋_GB2312" w:eastAsia="仿宋_GB2312"/>
          <w:color w:val="000000" w:themeColor="text1"/>
          <w:sz w:val="32"/>
          <w:szCs w:val="32"/>
          <w:highlight w:val="none"/>
          <w14:textFill>
            <w14:solidFill>
              <w14:schemeClr w14:val="tx1"/>
            </w14:solidFill>
          </w14:textFill>
        </w:rPr>
        <w:t>7592</w:t>
      </w:r>
      <w:r>
        <w:rPr>
          <w:rFonts w:hint="eastAsia" w:ascii="仿宋_GB2312" w:eastAsia="仿宋_GB2312"/>
          <w:color w:val="000000" w:themeColor="text1"/>
          <w:sz w:val="32"/>
          <w:szCs w:val="32"/>
          <w:highlight w:val="none"/>
          <w14:textFill>
            <w14:solidFill>
              <w14:schemeClr w14:val="tx1"/>
            </w14:solidFill>
          </w14:textFill>
        </w:rPr>
        <w:t>张。每千常住人口拥有卫技人员</w:t>
      </w:r>
      <w:r>
        <w:rPr>
          <w:rFonts w:ascii="仿宋_GB2312" w:eastAsia="仿宋_GB2312"/>
          <w:color w:val="000000" w:themeColor="text1"/>
          <w:sz w:val="32"/>
          <w:szCs w:val="32"/>
          <w:highlight w:val="none"/>
          <w14:textFill>
            <w14:solidFill>
              <w14:schemeClr w14:val="tx1"/>
            </w14:solidFill>
          </w14:textFill>
        </w:rPr>
        <w:t>6.87人、执业（助理）医师2.59人、注册护士2.77人、实有床位3.81张。</w:t>
      </w:r>
      <w:r>
        <w:rPr>
          <w:rFonts w:hint="eastAsia" w:ascii="仿宋_GB2312" w:eastAsia="仿宋_GB2312"/>
          <w:color w:val="000000" w:themeColor="text1"/>
          <w:sz w:val="32"/>
          <w:szCs w:val="32"/>
          <w:highlight w:val="none"/>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14:textFill>
            <w14:solidFill>
              <w14:schemeClr w14:val="tx1"/>
            </w14:solidFill>
          </w14:textFill>
        </w:rPr>
        <w:t>“十二五”末</w:t>
      </w:r>
      <w:r>
        <w:rPr>
          <w:rFonts w:hint="eastAsia" w:ascii="仿宋_GB2312" w:eastAsia="仿宋_GB2312"/>
          <w:color w:val="000000" w:themeColor="text1"/>
          <w:sz w:val="32"/>
          <w:szCs w:val="32"/>
          <w:highlight w:val="none"/>
          <w14:textFill>
            <w14:solidFill>
              <w14:schemeClr w14:val="tx1"/>
            </w14:solidFill>
          </w14:textFill>
        </w:rPr>
        <w:t>相比，每千常住人口拥有卫技人员、执业（助理）医师、注册护士均有所增加。受新冠疫情防控对门急诊要求影响，</w:t>
      </w:r>
      <w:r>
        <w:rPr>
          <w:rFonts w:ascii="仿宋_GB2312" w:eastAsia="仿宋_GB2312"/>
          <w:color w:val="000000" w:themeColor="text1"/>
          <w:sz w:val="32"/>
          <w:szCs w:val="32"/>
          <w:highlight w:val="none"/>
          <w14:textFill>
            <w14:solidFill>
              <w14:schemeClr w14:val="tx1"/>
            </w14:solidFill>
          </w14:textFill>
        </w:rPr>
        <w:t>2020年</w:t>
      </w:r>
      <w:r>
        <w:rPr>
          <w:rFonts w:hint="eastAsia" w:ascii="仿宋_GB2312" w:eastAsia="仿宋_GB2312"/>
          <w:color w:val="000000" w:themeColor="text1"/>
          <w:sz w:val="32"/>
          <w:szCs w:val="32"/>
          <w:highlight w:val="none"/>
          <w14:textFill>
            <w14:solidFill>
              <w14:schemeClr w14:val="tx1"/>
            </w14:solidFill>
          </w14:textFill>
        </w:rPr>
        <w:t>全年总诊疗人次</w:t>
      </w:r>
      <w:r>
        <w:rPr>
          <w:rFonts w:ascii="仿宋_GB2312" w:eastAsia="仿宋_GB2312"/>
          <w:color w:val="000000" w:themeColor="text1"/>
          <w:sz w:val="32"/>
          <w:szCs w:val="32"/>
          <w:highlight w:val="none"/>
          <w14:textFill>
            <w14:solidFill>
              <w14:schemeClr w14:val="tx1"/>
            </w14:solidFill>
          </w14:textFill>
        </w:rPr>
        <w:t>739.95</w:t>
      </w:r>
      <w:r>
        <w:rPr>
          <w:rFonts w:hint="eastAsia" w:ascii="仿宋_GB2312" w:eastAsia="仿宋_GB2312"/>
          <w:color w:val="000000" w:themeColor="text1"/>
          <w:sz w:val="32"/>
          <w:szCs w:val="32"/>
          <w:highlight w:val="none"/>
          <w14:textFill>
            <w14:solidFill>
              <w14:schemeClr w14:val="tx1"/>
            </w14:solidFill>
          </w14:textFill>
        </w:rPr>
        <w:t>万人次，出院人数</w:t>
      </w:r>
      <w:r>
        <w:rPr>
          <w:rFonts w:ascii="仿宋_GB2312" w:eastAsia="仿宋_GB2312"/>
          <w:color w:val="000000" w:themeColor="text1"/>
          <w:sz w:val="32"/>
          <w:szCs w:val="32"/>
          <w:highlight w:val="none"/>
          <w14:textFill>
            <w14:solidFill>
              <w14:schemeClr w14:val="tx1"/>
            </w14:solidFill>
          </w14:textFill>
        </w:rPr>
        <w:t>11.22</w:t>
      </w:r>
      <w:r>
        <w:rPr>
          <w:rFonts w:hint="eastAsia" w:ascii="仿宋_GB2312" w:eastAsia="仿宋_GB2312"/>
          <w:color w:val="000000" w:themeColor="text1"/>
          <w:sz w:val="32"/>
          <w:szCs w:val="32"/>
          <w:highlight w:val="none"/>
          <w14:textFill>
            <w14:solidFill>
              <w14:schemeClr w14:val="tx1"/>
            </w14:solidFill>
          </w14:textFill>
        </w:rPr>
        <w:t>万人，实有床位使用率</w:t>
      </w:r>
      <w:r>
        <w:rPr>
          <w:rFonts w:ascii="仿宋_GB2312" w:eastAsia="仿宋_GB2312"/>
          <w:color w:val="000000" w:themeColor="text1"/>
          <w:sz w:val="32"/>
          <w:szCs w:val="32"/>
          <w:highlight w:val="none"/>
          <w14:textFill>
            <w14:solidFill>
              <w14:schemeClr w14:val="tx1"/>
            </w14:solidFill>
          </w14:textFill>
        </w:rPr>
        <w:t>59.93%</w:t>
      </w:r>
      <w:r>
        <w:rPr>
          <w:rFonts w:hint="eastAsia" w:ascii="仿宋_GB2312"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平均住院日11.81</w:t>
      </w:r>
      <w:r>
        <w:rPr>
          <w:rFonts w:hint="eastAsia" w:ascii="仿宋_GB2312" w:eastAsia="仿宋_GB2312"/>
          <w:color w:val="000000" w:themeColor="text1"/>
          <w:sz w:val="32"/>
          <w:szCs w:val="32"/>
          <w:highlight w:val="none"/>
          <w14:textFill>
            <w14:solidFill>
              <w14:schemeClr w14:val="tx1"/>
            </w14:solidFill>
          </w14:textFill>
        </w:rPr>
        <w:t>天。</w:t>
      </w:r>
    </w:p>
    <w:p>
      <w:pPr>
        <w:pageBreakBefore w:val="0"/>
        <w:kinsoku/>
        <w:wordWrap/>
        <w:topLinePunct w:val="0"/>
        <w:autoSpaceDE/>
        <w:autoSpaceDN/>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医疗服务能力不断提升。</w:t>
      </w:r>
      <w:r>
        <w:rPr>
          <w:rFonts w:hint="eastAsia" w:ascii="仿宋_GB2312" w:hAnsi="仿宋_GB2312" w:eastAsia="仿宋_GB2312" w:cs="仿宋_GB2312"/>
          <w:color w:val="000000" w:themeColor="text1"/>
          <w:sz w:val="32"/>
          <w:szCs w:val="32"/>
          <w:highlight w:val="none"/>
          <w14:textFill>
            <w14:solidFill>
              <w14:schemeClr w14:val="tx1"/>
            </w14:solidFill>
          </w14:textFill>
        </w:rPr>
        <w:t>原红星医院转型升级为区中西医结合医院，并顺利通过“北京市第一批康复转型公立医疗机构”验收，正式增加“大兴区康复医院”名称，建立大兴区第一家以中医为特色的康复医院。</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区人民医院、区中西医结合医院等胸痛中心、卒中中心、创伤中心建设稳步推进，关键指标位于全市前列。</w:t>
      </w:r>
      <w:r>
        <w:rPr>
          <w:rFonts w:hint="eastAsia" w:ascii="仿宋_GB2312" w:hAnsi="宋体" w:eastAsia="仿宋_GB2312"/>
          <w:color w:val="000000" w:themeColor="text1"/>
          <w:sz w:val="32"/>
          <w:szCs w:val="32"/>
          <w:highlight w:val="none"/>
          <w14:textFill>
            <w14:solidFill>
              <w14:schemeClr w14:val="tx1"/>
            </w14:solidFill>
          </w14:textFill>
        </w:rPr>
        <w:t>整合精神卫生</w:t>
      </w:r>
      <w:r>
        <w:rPr>
          <w:rFonts w:ascii="仿宋_GB2312" w:hAnsi="宋体" w:eastAsia="仿宋_GB2312"/>
          <w:color w:val="000000" w:themeColor="text1"/>
          <w:sz w:val="32"/>
          <w:szCs w:val="32"/>
          <w:highlight w:val="none"/>
          <w14:textFill>
            <w14:solidFill>
              <w14:schemeClr w14:val="tx1"/>
            </w14:solidFill>
          </w14:textFill>
        </w:rPr>
        <w:t>保健所</w:t>
      </w:r>
      <w:r>
        <w:rPr>
          <w:rFonts w:hint="eastAsia" w:ascii="仿宋_GB2312" w:hAnsi="宋体" w:eastAsia="仿宋_GB2312"/>
          <w:color w:val="000000" w:themeColor="text1"/>
          <w:sz w:val="32"/>
          <w:szCs w:val="32"/>
          <w:highlight w:val="none"/>
          <w14:textFill>
            <w14:solidFill>
              <w14:schemeClr w14:val="tx1"/>
            </w14:solidFill>
          </w14:textFill>
        </w:rPr>
        <w:t>、农</w:t>
      </w:r>
      <w:r>
        <w:rPr>
          <w:rFonts w:ascii="仿宋_GB2312" w:hAnsi="宋体" w:eastAsia="仿宋_GB2312"/>
          <w:color w:val="000000" w:themeColor="text1"/>
          <w:sz w:val="32"/>
          <w:szCs w:val="32"/>
          <w:highlight w:val="none"/>
          <w14:textFill>
            <w14:solidFill>
              <w14:schemeClr w14:val="tx1"/>
            </w14:solidFill>
          </w14:textFill>
        </w:rPr>
        <w:t>疗康复基地</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老年病院</w:t>
      </w:r>
      <w:r>
        <w:rPr>
          <w:rFonts w:hint="eastAsia" w:ascii="仿宋_GB2312" w:hAnsi="宋体" w:eastAsia="仿宋_GB2312"/>
          <w:color w:val="000000" w:themeColor="text1"/>
          <w:sz w:val="32"/>
          <w:szCs w:val="32"/>
          <w:highlight w:val="none"/>
          <w14:textFill>
            <w14:solidFill>
              <w14:schemeClr w14:val="tx1"/>
            </w14:solidFill>
          </w14:textFill>
        </w:rPr>
        <w:t>、精神疾病专科医院，成立“四位一体”的心康医院，以预防、治疗、康复一体化模式，面向人民群众提供精神疾病、心理疾病及老年病诊疗、康复等服务。</w:t>
      </w:r>
    </w:p>
    <w:p>
      <w:pPr>
        <w:pStyle w:val="2"/>
        <w:pageBreakBefore w:val="0"/>
        <w:kinsoku/>
        <w:wordWrap/>
        <w:topLinePunct w:val="0"/>
        <w:autoSpaceDE/>
        <w:autoSpaceDN/>
        <w:bidi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中医药特色优势充分发挥。全面落实“十三五”基层中医药服务能力提升行动计划，18家社区卫生服务中心全部建成中医馆，西红门医院成为北京市中医类别全科医生规范化培训基层实践基地。落实妇幼保健机构中医药全覆盖工程，扩大中医妇科、中医儿科等特色诊疗范围，开展儿童康复园中医康复项目。入选北京中医药薪火传承“3+3”工作室2个、北京市首批中医药高层次人才扎根基层五联动示范工程2人，建成“中医专家学术经验继承工作室”11个，培养学术经验继承人16名。8个学科入选市级及以上重点（含区域特色）学科。中医药试点工作扎实开展，大兴区成为北京中医药健康养老工作首批试点区，提供中医药健康养老服务191.1万人次；北京中医健康社区试点建设工作有序推进，组建区级中医健康社区领军团队2支，增设试点基地5个；实施大兴区中医药治未病健康促进工程，建立团队10支，对糖尿病等慢性病患者为重点人群进行中医治未病服务管理，共管理1万名患者；北京名中医身边工程顺利落地，广安门医院20支专家团队服务社区患者5573人次，中医药服务能力不断增强。开展中医药宣传与推广，建设2家中医药文化体验馆，为群众提供健康养生科普体验式服务；在中小学校试点开展中医药进校园项目，将中医药文化融入教学体系。完善中西医结合防治机制，中医药在抗击新冠肺炎疫情中发挥了重要作用，确诊患者中医药治疗率100%。“十三五”期间，大兴区顺利通过全国基层中医药工作先进单位复评。</w:t>
      </w:r>
    </w:p>
    <w:p>
      <w:pPr>
        <w:pageBreakBefore w:val="0"/>
        <w:kinsoku/>
        <w:wordWrap/>
        <w:topLinePunct w:val="0"/>
        <w:autoSpaceDE/>
        <w:autoSpaceDN/>
        <w:bidi w:val="0"/>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社区卫生服务稳步推进。社区卫生服务网络建设逐步完善，服务可及性进一步提升。</w:t>
      </w:r>
      <w:r>
        <w:rPr>
          <w:rFonts w:hint="eastAsia" w:ascii="仿宋_GB2312" w:eastAsia="仿宋_GB2312"/>
          <w:bCs/>
          <w:color w:val="000000" w:themeColor="text1"/>
          <w:sz w:val="32"/>
          <w:szCs w:val="32"/>
          <w:highlight w:val="none"/>
          <w14:textFill>
            <w14:solidFill>
              <w14:schemeClr w14:val="tx1"/>
            </w14:solidFill>
          </w14:textFill>
        </w:rPr>
        <w:t>积极</w:t>
      </w:r>
      <w:r>
        <w:rPr>
          <w:rFonts w:ascii="仿宋_GB2312" w:eastAsia="仿宋_GB2312"/>
          <w:bCs/>
          <w:color w:val="000000" w:themeColor="text1"/>
          <w:sz w:val="32"/>
          <w:szCs w:val="32"/>
          <w:highlight w:val="none"/>
          <w14:textFill>
            <w14:solidFill>
              <w14:schemeClr w14:val="tx1"/>
            </w14:solidFill>
          </w14:textFill>
        </w:rPr>
        <w:t>推进</w:t>
      </w:r>
      <w:r>
        <w:rPr>
          <w:rFonts w:hint="eastAsia" w:ascii="仿宋_GB2312" w:eastAsia="仿宋_GB2312"/>
          <w:bCs/>
          <w:color w:val="000000" w:themeColor="text1"/>
          <w:sz w:val="32"/>
          <w:szCs w:val="32"/>
          <w:highlight w:val="none"/>
          <w14:textFill>
            <w14:solidFill>
              <w14:schemeClr w14:val="tx1"/>
            </w14:solidFill>
          </w14:textFill>
        </w:rPr>
        <w:t>5个</w:t>
      </w:r>
      <w:r>
        <w:rPr>
          <w:rFonts w:ascii="仿宋_GB2312" w:eastAsia="仿宋_GB2312"/>
          <w:bCs/>
          <w:color w:val="000000" w:themeColor="text1"/>
          <w:sz w:val="32"/>
          <w:szCs w:val="32"/>
          <w:highlight w:val="none"/>
          <w14:textFill>
            <w14:solidFill>
              <w14:schemeClr w14:val="tx1"/>
            </w14:solidFill>
          </w14:textFill>
        </w:rPr>
        <w:t>社区卫生服务中心建设</w:t>
      </w:r>
      <w:r>
        <w:rPr>
          <w:rFonts w:hint="eastAsia" w:ascii="仿宋_GB2312" w:eastAsia="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完成16</w:t>
      </w:r>
      <w:r>
        <w:rPr>
          <w:rFonts w:ascii="仿宋_GB2312" w:hAnsi="仿宋_GB2312" w:eastAsia="仿宋_GB2312" w:cs="仿宋_GB2312"/>
          <w:color w:val="000000" w:themeColor="text1"/>
          <w:sz w:val="32"/>
          <w:szCs w:val="32"/>
          <w:highlight w:val="none"/>
          <w14:textFill>
            <w14:solidFill>
              <w14:schemeClr w14:val="tx1"/>
            </w14:solidFill>
          </w14:textFill>
        </w:rPr>
        <w:t>家空白村卫生室建设，新增6家社区卫生服务站。已建成社区卫生服务中心20家，社区卫生服务站116</w:t>
      </w:r>
      <w:r>
        <w:rPr>
          <w:rFonts w:hint="eastAsia" w:ascii="仿宋_GB2312" w:hAnsi="仿宋_GB2312" w:eastAsia="仿宋_GB2312" w:cs="仿宋_GB2312"/>
          <w:color w:val="000000" w:themeColor="text1"/>
          <w:sz w:val="32"/>
          <w:szCs w:val="32"/>
          <w:highlight w:val="none"/>
          <w14:textFill>
            <w14:solidFill>
              <w14:schemeClr w14:val="tx1"/>
            </w14:solidFill>
          </w14:textFill>
        </w:rPr>
        <w:t>家</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其中政府办111</w:t>
      </w:r>
      <w:r>
        <w:rPr>
          <w:rFonts w:hint="eastAsia" w:ascii="仿宋_GB2312" w:eastAsia="仿宋_GB2312"/>
          <w:color w:val="000000" w:themeColor="text1"/>
          <w:sz w:val="32"/>
          <w:szCs w:val="32"/>
          <w:highlight w:val="none"/>
          <w14:textFill>
            <w14:solidFill>
              <w14:schemeClr w14:val="tx1"/>
            </w14:solidFill>
          </w14:textFill>
        </w:rPr>
        <w:t>家、社会办</w:t>
      </w: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19家政府举办的社区卫生服务中心在业务用房、设备配置等方面持续提升，</w:t>
      </w:r>
      <w:r>
        <w:rPr>
          <w:rFonts w:hint="eastAsia" w:ascii="仿宋_GB2312" w:hAnsi="宋体" w:eastAsia="仿宋_GB2312"/>
          <w:color w:val="000000" w:themeColor="text1"/>
          <w:sz w:val="32"/>
          <w:szCs w:val="32"/>
          <w:highlight w:val="none"/>
          <w14:textFill>
            <w14:solidFill>
              <w14:schemeClr w14:val="tx1"/>
            </w14:solidFill>
          </w14:textFill>
        </w:rPr>
        <w:t>社区卫生服务队伍建设进一步加强，服务能力稳步提升。</w:t>
      </w:r>
      <w:r>
        <w:rPr>
          <w:rFonts w:ascii="仿宋_GB2312" w:hAnsi="仿宋_GB2312" w:eastAsia="仿宋_GB2312" w:cs="仿宋_GB2312"/>
          <w:color w:val="000000" w:themeColor="text1"/>
          <w:sz w:val="32"/>
          <w:szCs w:val="32"/>
          <w:highlight w:val="none"/>
          <w14:textFill>
            <w14:solidFill>
              <w14:schemeClr w14:val="tx1"/>
            </w14:solidFill>
          </w14:textFill>
        </w:rPr>
        <w:t>家庭医生签约服务、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双向</w:t>
      </w:r>
      <w:r>
        <w:rPr>
          <w:rFonts w:ascii="仿宋_GB2312" w:hAnsi="仿宋_GB2312" w:eastAsia="仿宋_GB2312" w:cs="仿宋_GB2312"/>
          <w:color w:val="000000" w:themeColor="text1"/>
          <w:sz w:val="32"/>
          <w:szCs w:val="32"/>
          <w:highlight w:val="none"/>
          <w14:textFill>
            <w14:solidFill>
              <w14:schemeClr w14:val="tx1"/>
            </w14:solidFill>
          </w14:textFill>
        </w:rPr>
        <w:t>转诊</w:t>
      </w:r>
      <w:r>
        <w:rPr>
          <w:rFonts w:hint="eastAsia" w:ascii="仿宋_GB2312" w:hAnsi="仿宋_GB2312" w:eastAsia="仿宋_GB2312" w:cs="仿宋_GB2312"/>
          <w:color w:val="000000" w:themeColor="text1"/>
          <w:sz w:val="32"/>
          <w:szCs w:val="32"/>
          <w:highlight w:val="none"/>
          <w14:textFill>
            <w14:solidFill>
              <w14:schemeClr w14:val="tx1"/>
            </w14:solidFill>
          </w14:textFill>
        </w:rPr>
        <w:t>、老年人健康管理等服务有效推进。</w:t>
      </w:r>
      <w:r>
        <w:rPr>
          <w:rFonts w:hint="eastAsia" w:ascii="仿宋_GB2312" w:hAnsi="宋体" w:eastAsia="仿宋_GB2312" w:cs="仿宋_GB2312"/>
          <w:color w:val="000000" w:themeColor="text1"/>
          <w:sz w:val="32"/>
          <w:szCs w:val="32"/>
          <w:highlight w:val="none"/>
          <w14:textFill>
            <w14:solidFill>
              <w14:schemeClr w14:val="tx1"/>
            </w14:solidFill>
          </w14:textFill>
        </w:rPr>
        <w:t>全区</w:t>
      </w:r>
      <w:r>
        <w:rPr>
          <w:rFonts w:hint="eastAsia" w:ascii="仿宋_GB2312" w:eastAsia="仿宋_GB2312"/>
          <w:color w:val="000000" w:themeColor="text1"/>
          <w:sz w:val="32"/>
          <w:szCs w:val="32"/>
          <w:highlight w:val="none"/>
          <w14:textFill>
            <w14:solidFill>
              <w14:schemeClr w14:val="tx1"/>
            </w14:solidFill>
          </w14:textFill>
        </w:rPr>
        <w:t>家庭医生累计签约</w:t>
      </w:r>
      <w:r>
        <w:rPr>
          <w:rFonts w:ascii="仿宋_GB2312" w:eastAsia="仿宋_GB2312"/>
          <w:color w:val="000000" w:themeColor="text1"/>
          <w:sz w:val="32"/>
          <w:szCs w:val="32"/>
          <w:highlight w:val="none"/>
          <w14:textFill>
            <w14:solidFill>
              <w14:schemeClr w14:val="tx1"/>
            </w14:solidFill>
          </w14:textFill>
        </w:rPr>
        <w:t>60.09</w:t>
      </w:r>
      <w:r>
        <w:rPr>
          <w:rFonts w:hint="eastAsia" w:ascii="仿宋_GB2312" w:eastAsia="仿宋_GB2312"/>
          <w:color w:val="000000" w:themeColor="text1"/>
          <w:sz w:val="32"/>
          <w:szCs w:val="32"/>
          <w:highlight w:val="none"/>
          <w14:textFill>
            <w14:solidFill>
              <w14:schemeClr w14:val="tx1"/>
            </w14:solidFill>
          </w14:textFill>
        </w:rPr>
        <w:t>万人，比</w:t>
      </w:r>
      <w:r>
        <w:rPr>
          <w:rFonts w:hint="eastAsia" w:ascii="仿宋_GB2312" w:hAnsi="仿宋_GB2312" w:eastAsia="仿宋_GB2312" w:cs="仿宋_GB2312"/>
          <w:color w:val="000000" w:themeColor="text1"/>
          <w:sz w:val="32"/>
          <w:szCs w:val="32"/>
          <w:highlight w:val="none"/>
          <w14:textFill>
            <w14:solidFill>
              <w14:schemeClr w14:val="tx1"/>
            </w14:solidFill>
          </w14:textFill>
        </w:rPr>
        <w:t>“十二五”末</w:t>
      </w:r>
      <w:r>
        <w:rPr>
          <w:rFonts w:hint="eastAsia" w:ascii="仿宋_GB2312" w:eastAsia="仿宋_GB2312"/>
          <w:color w:val="000000" w:themeColor="text1"/>
          <w:sz w:val="32"/>
          <w:szCs w:val="32"/>
          <w:highlight w:val="none"/>
          <w14:textFill>
            <w14:solidFill>
              <w14:schemeClr w14:val="tx1"/>
            </w14:solidFill>
          </w14:textFill>
        </w:rPr>
        <w:t>增加</w:t>
      </w:r>
      <w:r>
        <w:rPr>
          <w:rFonts w:ascii="仿宋_GB2312" w:eastAsia="仿宋_GB2312"/>
          <w:color w:val="000000" w:themeColor="text1"/>
          <w:sz w:val="32"/>
          <w:szCs w:val="32"/>
          <w:highlight w:val="none"/>
          <w14:textFill>
            <w14:solidFill>
              <w14:schemeClr w14:val="tx1"/>
            </w14:solidFill>
          </w14:textFill>
        </w:rPr>
        <w:t>27.47</w:t>
      </w:r>
      <w:r>
        <w:rPr>
          <w:rFonts w:hint="eastAsia" w:ascii="仿宋_GB2312" w:eastAsia="仿宋_GB2312"/>
          <w:color w:val="000000" w:themeColor="text1"/>
          <w:sz w:val="32"/>
          <w:szCs w:val="32"/>
          <w:highlight w:val="none"/>
          <w14:textFill>
            <w14:solidFill>
              <w14:schemeClr w14:val="tx1"/>
            </w14:solidFill>
          </w14:textFill>
        </w:rPr>
        <w:t>万人。其中重点人群签约</w:t>
      </w:r>
      <w:r>
        <w:rPr>
          <w:rFonts w:ascii="仿宋_GB2312" w:eastAsia="仿宋_GB2312"/>
          <w:color w:val="000000" w:themeColor="text1"/>
          <w:sz w:val="32"/>
          <w:szCs w:val="32"/>
          <w:highlight w:val="none"/>
          <w14:textFill>
            <w14:solidFill>
              <w14:schemeClr w14:val="tx1"/>
            </w14:solidFill>
          </w14:textFill>
        </w:rPr>
        <w:t>26.76</w:t>
      </w:r>
      <w:r>
        <w:rPr>
          <w:rFonts w:hint="eastAsia" w:ascii="仿宋_GB2312" w:eastAsia="仿宋_GB2312"/>
          <w:color w:val="000000" w:themeColor="text1"/>
          <w:sz w:val="32"/>
          <w:szCs w:val="32"/>
          <w:highlight w:val="none"/>
          <w14:textFill>
            <w14:solidFill>
              <w14:schemeClr w14:val="tx1"/>
            </w14:solidFill>
          </w14:textFill>
        </w:rPr>
        <w:t>万人，比</w:t>
      </w:r>
      <w:r>
        <w:rPr>
          <w:rFonts w:hint="eastAsia" w:ascii="仿宋_GB2312" w:hAnsi="仿宋_GB2312" w:eastAsia="仿宋_GB2312" w:cs="仿宋_GB2312"/>
          <w:color w:val="000000" w:themeColor="text1"/>
          <w:sz w:val="32"/>
          <w:szCs w:val="32"/>
          <w:highlight w:val="none"/>
          <w14:textFill>
            <w14:solidFill>
              <w14:schemeClr w14:val="tx1"/>
            </w14:solidFill>
          </w14:textFill>
        </w:rPr>
        <w:t>“十二五”末</w:t>
      </w:r>
      <w:r>
        <w:rPr>
          <w:rFonts w:hint="eastAsia" w:ascii="仿宋_GB2312" w:eastAsia="仿宋_GB2312"/>
          <w:color w:val="000000" w:themeColor="text1"/>
          <w:sz w:val="32"/>
          <w:szCs w:val="32"/>
          <w:highlight w:val="none"/>
          <w14:textFill>
            <w14:solidFill>
              <w14:schemeClr w14:val="tx1"/>
            </w14:solidFill>
          </w14:textFill>
        </w:rPr>
        <w:t>增加</w:t>
      </w:r>
      <w:r>
        <w:rPr>
          <w:rFonts w:ascii="仿宋_GB2312" w:eastAsia="仿宋_GB2312"/>
          <w:color w:val="000000" w:themeColor="text1"/>
          <w:sz w:val="32"/>
          <w:szCs w:val="32"/>
          <w:highlight w:val="none"/>
          <w14:textFill>
            <w14:solidFill>
              <w14:schemeClr w14:val="tx1"/>
            </w14:solidFill>
          </w14:textFill>
        </w:rPr>
        <w:t>11.9万人。家庭医生团队323个，比</w:t>
      </w:r>
      <w:r>
        <w:rPr>
          <w:rFonts w:hint="eastAsia" w:ascii="仿宋_GB2312" w:hAnsi="仿宋_GB2312" w:eastAsia="仿宋_GB2312" w:cs="仿宋_GB2312"/>
          <w:color w:val="000000" w:themeColor="text1"/>
          <w:sz w:val="32"/>
          <w:szCs w:val="32"/>
          <w:highlight w:val="none"/>
          <w14:textFill>
            <w14:solidFill>
              <w14:schemeClr w14:val="tx1"/>
            </w14:solidFill>
          </w14:textFill>
        </w:rPr>
        <w:t>“十二五”末</w:t>
      </w:r>
      <w:r>
        <w:rPr>
          <w:rFonts w:ascii="仿宋_GB2312" w:eastAsia="仿宋_GB2312"/>
          <w:color w:val="000000" w:themeColor="text1"/>
          <w:sz w:val="32"/>
          <w:szCs w:val="32"/>
          <w:highlight w:val="none"/>
          <w14:textFill>
            <w14:solidFill>
              <w14:schemeClr w14:val="tx1"/>
            </w14:solidFill>
          </w14:textFill>
        </w:rPr>
        <w:t>增加167个</w:t>
      </w:r>
      <w:r>
        <w:rPr>
          <w:rFonts w:hint="eastAsia" w:ascii="仿宋_GB2312" w:eastAsia="仿宋_GB2312"/>
          <w:color w:val="000000" w:themeColor="text1"/>
          <w:sz w:val="32"/>
          <w:szCs w:val="32"/>
          <w:highlight w:val="none"/>
          <w14:textFill>
            <w14:solidFill>
              <w14:schemeClr w14:val="tx1"/>
            </w14:solidFill>
          </w14:textFill>
        </w:rPr>
        <w:t>。积极探索便民服务模式，长子营镇中心卫生院以流动医疗服务车为载体，为</w:t>
      </w:r>
      <w:r>
        <w:rPr>
          <w:rFonts w:ascii="仿宋_GB2312" w:eastAsia="仿宋_GB2312"/>
          <w:color w:val="000000" w:themeColor="text1"/>
          <w:sz w:val="32"/>
          <w:szCs w:val="32"/>
          <w:highlight w:val="none"/>
          <w14:textFill>
            <w14:solidFill>
              <w14:schemeClr w14:val="tx1"/>
            </w14:solidFill>
          </w14:textFill>
        </w:rPr>
        <w:t>10个居家养老村提供健康养老</w:t>
      </w:r>
      <w:r>
        <w:rPr>
          <w:rFonts w:hint="eastAsia" w:ascii="仿宋_GB2312" w:hAnsi="宋体" w:eastAsia="仿宋_GB2312" w:cs="仿宋_GB2312"/>
          <w:color w:val="000000" w:themeColor="text1"/>
          <w:sz w:val="32"/>
          <w:szCs w:val="32"/>
          <w:highlight w:val="none"/>
          <w14:textFill>
            <w14:solidFill>
              <w14:schemeClr w14:val="tx1"/>
            </w14:solidFill>
          </w14:textFill>
        </w:rPr>
        <w:t>服务</w:t>
      </w:r>
      <w:r>
        <w:rPr>
          <w:rFonts w:ascii="仿宋_GB2312" w:hAnsi="宋体" w:eastAsia="仿宋_GB2312" w:cs="仿宋_GB2312"/>
          <w:color w:val="000000" w:themeColor="text1"/>
          <w:sz w:val="32"/>
          <w:szCs w:val="32"/>
          <w:highlight w:val="none"/>
          <w14:textFill>
            <w14:solidFill>
              <w14:schemeClr w14:val="tx1"/>
            </w14:solidFill>
          </w14:textFill>
        </w:rPr>
        <w:t>17578人次,</w:t>
      </w:r>
      <w:r>
        <w:rPr>
          <w:rFonts w:hint="eastAsia" w:ascii="仿宋_GB2312" w:hAnsi="宋体" w:eastAsia="仿宋_GB2312" w:cs="仿宋_GB2312"/>
          <w:color w:val="000000" w:themeColor="text1"/>
          <w:sz w:val="32"/>
          <w:szCs w:val="32"/>
          <w:highlight w:val="none"/>
          <w14:textFill>
            <w14:solidFill>
              <w14:schemeClr w14:val="tx1"/>
            </w14:solidFill>
          </w14:textFill>
        </w:rPr>
        <w:t>极大方便了村民就医。社区基本医疗和</w:t>
      </w:r>
      <w:r>
        <w:rPr>
          <w:rFonts w:hint="eastAsia" w:ascii="仿宋_GB2312" w:hAnsi="宋体" w:eastAsia="仿宋_GB2312"/>
          <w:color w:val="000000" w:themeColor="text1"/>
          <w:sz w:val="32"/>
          <w:szCs w:val="32"/>
          <w:highlight w:val="none"/>
          <w14:textFill>
            <w14:solidFill>
              <w14:schemeClr w14:val="tx1"/>
            </w14:solidFill>
          </w14:textFill>
        </w:rPr>
        <w:t>基本公共卫生服务积极推进，惠民政策有效落实，2020年</w:t>
      </w:r>
      <w:r>
        <w:rPr>
          <w:rFonts w:hint="eastAsia" w:ascii="仿宋_GB2312" w:hAnsi="宋体" w:eastAsia="仿宋_GB2312" w:cs="仿宋_GB2312"/>
          <w:color w:val="000000" w:themeColor="text1"/>
          <w:sz w:val="32"/>
          <w:szCs w:val="32"/>
          <w:highlight w:val="none"/>
          <w14:textFill>
            <w14:solidFill>
              <w14:schemeClr w14:val="tx1"/>
            </w14:solidFill>
          </w14:textFill>
        </w:rPr>
        <w:t>全</w:t>
      </w:r>
      <w:r>
        <w:rPr>
          <w:rFonts w:hint="eastAsia" w:ascii="仿宋_GB2312" w:eastAsia="仿宋_GB2312"/>
          <w:color w:val="000000" w:themeColor="text1"/>
          <w:sz w:val="32"/>
          <w:szCs w:val="32"/>
          <w:highlight w:val="none"/>
          <w14:textFill>
            <w14:solidFill>
              <w14:schemeClr w14:val="tx1"/>
            </w14:solidFill>
          </w14:textFill>
        </w:rPr>
        <w:t>区社区卫生服务机构总诊疗人次</w:t>
      </w:r>
      <w:r>
        <w:rPr>
          <w:rFonts w:ascii="仿宋_GB2312" w:eastAsia="仿宋_GB2312"/>
          <w:color w:val="000000" w:themeColor="text1"/>
          <w:sz w:val="32"/>
          <w:szCs w:val="32"/>
          <w:highlight w:val="none"/>
          <w14:textFill>
            <w14:solidFill>
              <w14:schemeClr w14:val="tx1"/>
            </w14:solidFill>
          </w14:textFill>
        </w:rPr>
        <w:t>312.88</w:t>
      </w:r>
      <w:r>
        <w:rPr>
          <w:rFonts w:hint="eastAsia" w:ascii="仿宋_GB2312" w:eastAsia="仿宋_GB2312"/>
          <w:color w:val="000000" w:themeColor="text1"/>
          <w:sz w:val="32"/>
          <w:szCs w:val="32"/>
          <w:highlight w:val="none"/>
          <w14:textFill>
            <w14:solidFill>
              <w14:schemeClr w14:val="tx1"/>
            </w14:solidFill>
          </w14:textFill>
        </w:rPr>
        <w:t>万人次，诊疗量</w:t>
      </w:r>
      <w:r>
        <w:rPr>
          <w:rFonts w:ascii="仿宋_GB2312" w:hAnsi="宋体" w:eastAsia="仿宋_GB2312"/>
          <w:color w:val="000000" w:themeColor="text1"/>
          <w:sz w:val="32"/>
          <w:szCs w:val="32"/>
          <w:highlight w:val="none"/>
          <w14:textFill>
            <w14:solidFill>
              <w14:schemeClr w14:val="tx1"/>
            </w14:solidFill>
          </w14:textFill>
        </w:rPr>
        <w:t>占全区总诊疗</w:t>
      </w:r>
      <w:r>
        <w:rPr>
          <w:rFonts w:hint="eastAsia" w:ascii="仿宋_GB2312" w:hAnsi="宋体" w:eastAsia="仿宋_GB2312"/>
          <w:color w:val="000000" w:themeColor="text1"/>
          <w:sz w:val="32"/>
          <w:szCs w:val="32"/>
          <w:highlight w:val="none"/>
          <w14:textFill>
            <w14:solidFill>
              <w14:schemeClr w14:val="tx1"/>
            </w14:solidFill>
          </w14:textFill>
        </w:rPr>
        <w:t>量</w:t>
      </w:r>
      <w:r>
        <w:rPr>
          <w:rFonts w:ascii="仿宋_GB2312" w:hAnsi="宋体" w:eastAsia="仿宋_GB2312"/>
          <w:color w:val="000000" w:themeColor="text1"/>
          <w:sz w:val="32"/>
          <w:szCs w:val="32"/>
          <w:highlight w:val="none"/>
          <w14:textFill>
            <w14:solidFill>
              <w14:schemeClr w14:val="tx1"/>
            </w14:solidFill>
          </w14:textFill>
        </w:rPr>
        <w:t>的42.28%</w:t>
      </w:r>
      <w:r>
        <w:rPr>
          <w:rFonts w:hint="eastAsia" w:ascii="仿宋_GB2312" w:hAnsi="宋体" w:eastAsia="仿宋_GB2312"/>
          <w:color w:val="000000" w:themeColor="text1"/>
          <w:sz w:val="32"/>
          <w:szCs w:val="32"/>
          <w:highlight w:val="none"/>
          <w14:textFill>
            <w14:solidFill>
              <w14:schemeClr w14:val="tx1"/>
            </w14:solidFill>
          </w14:textFill>
        </w:rPr>
        <w:t>，更加方便群众就医。</w:t>
      </w:r>
      <w:r>
        <w:rPr>
          <w:rFonts w:hint="eastAsia" w:ascii="仿宋_GB2312" w:hAnsi="仿宋_GB2312" w:eastAsia="仿宋_GB2312" w:cs="仿宋_GB2312"/>
          <w:color w:val="000000" w:themeColor="text1"/>
          <w:sz w:val="32"/>
          <w:szCs w:val="32"/>
          <w:highlight w:val="none"/>
          <w14:textFill>
            <w14:solidFill>
              <w14:schemeClr w14:val="tx1"/>
            </w14:solidFill>
          </w14:textFill>
        </w:rPr>
        <w:t>采育镇、青云店镇、庞各庄镇中心卫生院获评全国群众满意的乡镇卫生院。亦庄医院获评全国百强社区卫生服务中心。西红门医院获评全国优质服务示范社区卫生服务中心。</w:t>
      </w:r>
      <w:r>
        <w:rPr>
          <w:rFonts w:hint="eastAsia" w:ascii="仿宋_GB2312" w:hAnsi="仿宋" w:eastAsia="仿宋_GB2312"/>
          <w:color w:val="000000" w:themeColor="text1"/>
          <w:sz w:val="32"/>
          <w:highlight w:val="none"/>
          <w14:textFill>
            <w14:solidFill>
              <w14:schemeClr w14:val="tx1"/>
            </w14:solidFill>
          </w14:textFill>
        </w:rPr>
        <w:t>旧宫医院、长子营镇中心卫生院成为北京市临终关怀服务试点单位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。采育镇中心卫生院等4家机构达到优质服务基层行推荐标准，获得国家通报表扬。</w:t>
      </w:r>
    </w:p>
    <w:p>
      <w:pPr>
        <w:pageBreakBefore w:val="0"/>
        <w:kinsoku/>
        <w:wordWrap/>
        <w:topLinePunct w:val="0"/>
        <w:autoSpaceDE/>
        <w:autoSpaceDN/>
        <w:bidi w:val="0"/>
        <w:adjustRightInd w:val="0"/>
        <w:snapToGrid w:val="0"/>
        <w:spacing w:line="56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深化医改工作取得扎实成效。医药分开综合改革后续重点任务有效落实，持续呈现“五升五降”，尤其是公立医院医药费用增幅、药占比、耗占比明显下降。公立医院薪酬制度改革国家级试点工作取得成效，</w:t>
      </w:r>
      <w:r>
        <w:rPr>
          <w:rFonts w:hint="eastAsia" w:ascii="仿宋_GB2312" w:eastAsia="仿宋_GB2312"/>
          <w:color w:val="000000" w:themeColor="text1"/>
          <w:sz w:val="32"/>
          <w:highlight w:val="none"/>
          <w14:textFill>
            <w14:solidFill>
              <w14:schemeClr w14:val="tx1"/>
            </w14:solidFill>
          </w14:textFill>
        </w:rPr>
        <w:t>有效调动医务人员积极性</w:t>
      </w:r>
      <w:r>
        <w:rPr>
          <w:rFonts w:hint="eastAsia" w:ascii="仿宋_GB2312" w:eastAsia="仿宋_GB2312"/>
          <w:color w:val="000000" w:themeColor="text1"/>
          <w:sz w:val="32"/>
          <w:szCs w:val="32"/>
          <w:highlight w:val="none"/>
          <w14:textFill>
            <w14:solidFill>
              <w14:schemeClr w14:val="tx1"/>
            </w14:solidFill>
          </w14:textFill>
        </w:rPr>
        <w:t>。完成区人民医院托管榆垡镇中心卫生院、北京市仁和医院托管礼贤镇中心卫生院工作，以托管为抓手，形成紧密型医联体，向北京大兴国际机场周边布局，保障和方便群众就医。出台并实施</w:t>
      </w:r>
      <w:r>
        <w:rPr>
          <w:rFonts w:hint="eastAsia" w:ascii="仿宋_GB2312" w:eastAsia="仿宋_GB2312"/>
          <w:color w:val="000000" w:themeColor="text1"/>
          <w:sz w:val="32"/>
          <w:highlight w:val="none"/>
          <w14:textFill>
            <w14:solidFill>
              <w14:schemeClr w14:val="tx1"/>
            </w14:solidFill>
          </w14:textFill>
        </w:rPr>
        <w:t>分级诊疗制度建设</w:t>
      </w:r>
      <w:r>
        <w:rPr>
          <w:rFonts w:hint="eastAsia" w:ascii="仿宋_GB2312" w:eastAsia="仿宋_GB2312"/>
          <w:color w:val="000000" w:themeColor="text1"/>
          <w:sz w:val="32"/>
          <w:szCs w:val="32"/>
          <w:highlight w:val="none"/>
          <w14:textFill>
            <w14:solidFill>
              <w14:schemeClr w14:val="tx1"/>
            </w14:solidFill>
          </w14:textFill>
        </w:rPr>
        <w:t>三年计划</w:t>
      </w:r>
      <w:r>
        <w:rPr>
          <w:rFonts w:hint="eastAsia" w:ascii="仿宋_GB2312" w:eastAsia="仿宋_GB2312"/>
          <w:color w:val="000000" w:themeColor="text1"/>
          <w:sz w:val="32"/>
          <w:highlight w:val="none"/>
          <w14:textFill>
            <w14:solidFill>
              <w14:schemeClr w14:val="tx1"/>
            </w14:solidFill>
          </w14:textFill>
        </w:rPr>
        <w:t>，</w:t>
      </w:r>
      <w:r>
        <w:rPr>
          <w:rFonts w:hint="eastAsia" w:ascii="仿宋_GB2312" w:eastAsia="仿宋_GB2312"/>
          <w:bCs/>
          <w:color w:val="000000" w:themeColor="text1"/>
          <w:sz w:val="32"/>
          <w:szCs w:val="32"/>
          <w:highlight w:val="none"/>
          <w14:textFill>
            <w14:solidFill>
              <w14:schemeClr w14:val="tx1"/>
            </w14:solidFill>
          </w14:textFill>
        </w:rPr>
        <w:t>形成</w:t>
      </w:r>
      <w:r>
        <w:rPr>
          <w:rFonts w:hint="eastAsia" w:ascii="仿宋_GB2312" w:eastAsia="仿宋_GB2312"/>
          <w:color w:val="000000" w:themeColor="text1"/>
          <w:sz w:val="32"/>
          <w:szCs w:val="32"/>
          <w:highlight w:val="none"/>
          <w14:textFill>
            <w14:solidFill>
              <w14:schemeClr w14:val="tx1"/>
            </w14:solidFill>
          </w14:textFill>
        </w:rPr>
        <w:t>5大区域医联体（其中3个紧密型医联体）、17个专科医联体的大兴模式，以医联体优质资源下沉为核心，统筹“1+N+X”慢病管理团队、临床重点专科基层服务点2项创新举措，结合对口支援、名医工作室、中医继承工作室3个传统基层能力孵化平台，通过上级医院专家为基层提供出诊、会诊、培训、带教等服务，积极促进优质资源下沉，</w:t>
      </w:r>
      <w:r>
        <w:rPr>
          <w:rFonts w:hint="eastAsia" w:ascii="仿宋_GB2312" w:eastAsia="仿宋_GB2312" w:cs="Calibri"/>
          <w:color w:val="000000" w:themeColor="text1"/>
          <w:sz w:val="32"/>
          <w:szCs w:val="32"/>
          <w:highlight w:val="none"/>
          <w14:textFill>
            <w14:solidFill>
              <w14:schemeClr w14:val="tx1"/>
            </w14:solidFill>
          </w14:textFill>
        </w:rPr>
        <w:t>“十三五”期间</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累计实现专家基层出诊、带教</w:t>
      </w:r>
      <w:r>
        <w:rPr>
          <w:rFonts w:ascii="仿宋_GB2312" w:eastAsia="仿宋_GB2312"/>
          <w:color w:val="000000" w:themeColor="text1"/>
          <w:sz w:val="32"/>
          <w:szCs w:val="32"/>
          <w:highlight w:val="none"/>
          <w14:textFill>
            <w14:solidFill>
              <w14:schemeClr w14:val="tx1"/>
            </w14:solidFill>
          </w14:textFill>
        </w:rPr>
        <w:t>4.55</w:t>
      </w:r>
      <w:r>
        <w:rPr>
          <w:rFonts w:hint="eastAsia" w:ascii="仿宋_GB2312" w:eastAsia="仿宋_GB2312"/>
          <w:color w:val="000000" w:themeColor="text1"/>
          <w:sz w:val="32"/>
          <w:szCs w:val="32"/>
          <w:highlight w:val="none"/>
          <w14:textFill>
            <w14:solidFill>
              <w14:schemeClr w14:val="tx1"/>
            </w14:solidFill>
          </w14:textFill>
        </w:rPr>
        <w:t>万人次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初步实现医疗资源上下贯通，基层服务能力与整体效能稳步提升</w:t>
      </w:r>
      <w:r>
        <w:rPr>
          <w:rFonts w:hint="eastAsia" w:ascii="仿宋_GB2312" w:hAnsi="宋体" w:eastAsia="仿宋_GB2312" w:cs="方正小标宋简体"/>
          <w:bCs/>
          <w:snapToGrid w:val="0"/>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公立医院经济管理、改善医疗服务行动等也取得扎实成效。</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31" w:name="_Toc31871"/>
      <w:bookmarkStart w:id="32" w:name="_Toc90318390"/>
      <w:bookmarkStart w:id="33" w:name="_Toc29426"/>
      <w:r>
        <w:rPr>
          <w:rFonts w:hint="eastAsia" w:ascii="楷体_GB2312" w:eastAsia="楷体_GB2312"/>
          <w:b w:val="0"/>
          <w:bCs w:val="0"/>
          <w:color w:val="000000" w:themeColor="text1"/>
          <w:highlight w:val="none"/>
          <w14:textFill>
            <w14:solidFill>
              <w14:schemeClr w14:val="tx1"/>
            </w14:solidFill>
          </w14:textFill>
        </w:rPr>
        <w:t>（四）全民健身行动成效明显</w:t>
      </w:r>
      <w:bookmarkEnd w:id="31"/>
      <w:bookmarkEnd w:id="32"/>
      <w:bookmarkEnd w:id="33"/>
    </w:p>
    <w:p>
      <w:pPr>
        <w:pageBreakBefore w:val="0"/>
        <w:kinsoku/>
        <w:wordWrap/>
        <w:topLinePunct w:val="0"/>
        <w:autoSpaceDE/>
        <w:autoSpaceDN/>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公共体育场地设施总体规模不断提高。截止2020年底，全区共建设体育场地2929个，体育场地总面积467.36万平方米，建筑面积46.7万平方米，平均每万人拥有体育场地17.11个，人均体育场地面积达到2.73平方米以上，提前完成《北京市全民健身实施计划（2016-2020年）》提出的至2020年人均体育场地面积保持在2.25平方米的发展目标。</w:t>
      </w:r>
    </w:p>
    <w:p>
      <w:pPr>
        <w:pageBreakBefore w:val="0"/>
        <w:kinsoku/>
        <w:wordWrap/>
        <w:topLinePunct w:val="0"/>
        <w:autoSpaceDE/>
        <w:autoSpaceDN/>
        <w:bidi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全民健身公共服务体系日益健全。区级体育社会组织</w:t>
      </w:r>
      <w:r>
        <w:rPr>
          <w:rFonts w:ascii="仿宋_GB2312" w:hAnsi="仿宋_GB2312" w:eastAsia="仿宋_GB2312" w:cs="仿宋_GB2312"/>
          <w:color w:val="000000" w:themeColor="text1"/>
          <w:sz w:val="32"/>
          <w:szCs w:val="32"/>
          <w:highlight w:val="none"/>
          <w14:textFill>
            <w14:solidFill>
              <w14:schemeClr w14:val="tx1"/>
            </w14:solidFill>
          </w14:textFill>
        </w:rPr>
        <w:t>14个，全民健身团队284</w:t>
      </w:r>
      <w:r>
        <w:rPr>
          <w:rFonts w:hint="eastAsia" w:ascii="仿宋_GB2312" w:hAnsi="仿宋_GB2312" w:eastAsia="仿宋_GB2312" w:cs="仿宋_GB2312"/>
          <w:color w:val="000000" w:themeColor="text1"/>
          <w:sz w:val="32"/>
          <w:szCs w:val="32"/>
          <w:highlight w:val="none"/>
          <w14:textFill>
            <w14:solidFill>
              <w14:schemeClr w14:val="tx1"/>
            </w14:solidFill>
          </w14:textFill>
        </w:rPr>
        <w:t>个，全区公益社会体育指导员</w:t>
      </w:r>
      <w:r>
        <w:rPr>
          <w:rFonts w:ascii="仿宋_GB2312" w:hAnsi="仿宋_GB2312" w:eastAsia="仿宋_GB2312" w:cs="仿宋_GB2312"/>
          <w:color w:val="000000" w:themeColor="text1"/>
          <w:sz w:val="32"/>
          <w:szCs w:val="32"/>
          <w:highlight w:val="none"/>
          <w14:textFill>
            <w14:solidFill>
              <w14:schemeClr w14:val="tx1"/>
            </w14:solidFill>
          </w14:textFill>
        </w:rPr>
        <w:t>6153</w:t>
      </w:r>
      <w:r>
        <w:rPr>
          <w:rFonts w:hint="eastAsia" w:ascii="仿宋_GB2312" w:hAnsi="仿宋_GB2312" w:eastAsia="仿宋_GB2312" w:cs="仿宋_GB2312"/>
          <w:color w:val="000000" w:themeColor="text1"/>
          <w:sz w:val="32"/>
          <w:szCs w:val="32"/>
          <w:highlight w:val="none"/>
          <w14:textFill>
            <w14:solidFill>
              <w14:schemeClr w14:val="tx1"/>
            </w14:solidFill>
          </w14:textFill>
        </w:rPr>
        <w:t>人，每千人拥有公益社会体育指导员数达到</w:t>
      </w:r>
      <w:r>
        <w:rPr>
          <w:rFonts w:ascii="仿宋_GB2312" w:hAnsi="仿宋_GB2312" w:eastAsia="仿宋_GB2312" w:cs="仿宋_GB2312"/>
          <w:color w:val="000000" w:themeColor="text1"/>
          <w:sz w:val="32"/>
          <w:szCs w:val="32"/>
          <w:highlight w:val="none"/>
          <w14:textFill>
            <w14:solidFill>
              <w14:schemeClr w14:val="tx1"/>
            </w14:solidFill>
          </w14:textFill>
        </w:rPr>
        <w:t>3.27人。</w:t>
      </w:r>
      <w:r>
        <w:rPr>
          <w:rFonts w:hint="eastAsia" w:ascii="仿宋_GB2312" w:hAnsi="仿宋_GB2312" w:eastAsia="仿宋_GB2312" w:cs="仿宋_GB2312"/>
          <w:color w:val="000000" w:themeColor="text1"/>
          <w:sz w:val="32"/>
          <w:szCs w:val="32"/>
          <w:highlight w:val="none"/>
          <w14:textFill>
            <w14:solidFill>
              <w14:schemeClr w14:val="tx1"/>
            </w14:solidFill>
          </w14:textFill>
        </w:rPr>
        <w:t>累计创建</w:t>
      </w:r>
      <w:r>
        <w:rPr>
          <w:rFonts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个全民健身示范街道和7个体育特色乡镇。非奥项目协会作用得到发挥，武术、龙舟等非奥项目推广普及。开展各类全民健身赛事活动</w:t>
      </w:r>
      <w:r>
        <w:rPr>
          <w:rFonts w:ascii="仿宋_GB2312" w:hAnsi="仿宋_GB2312" w:eastAsia="仿宋_GB2312" w:cs="仿宋_GB2312"/>
          <w:color w:val="000000" w:themeColor="text1"/>
          <w:sz w:val="32"/>
          <w:szCs w:val="32"/>
          <w:highlight w:val="none"/>
          <w14:textFill>
            <w14:solidFill>
              <w14:schemeClr w14:val="tx1"/>
            </w14:solidFill>
          </w14:textFill>
        </w:rPr>
        <w:t>3.36</w:t>
      </w:r>
      <w:r>
        <w:rPr>
          <w:rFonts w:hint="eastAsia" w:ascii="仿宋_GB2312" w:hAnsi="仿宋_GB2312" w:eastAsia="仿宋_GB2312" w:cs="仿宋_GB2312"/>
          <w:color w:val="000000" w:themeColor="text1"/>
          <w:sz w:val="32"/>
          <w:szCs w:val="32"/>
          <w:highlight w:val="none"/>
          <w14:textFill>
            <w14:solidFill>
              <w14:schemeClr w14:val="tx1"/>
            </w14:solidFill>
          </w14:textFill>
        </w:rPr>
        <w:t>万余项次，累计参与人数达</w:t>
      </w:r>
      <w:r>
        <w:rPr>
          <w:rFonts w:ascii="仿宋_GB2312" w:hAnsi="仿宋_GB2312" w:eastAsia="仿宋_GB2312" w:cs="仿宋_GB2312"/>
          <w:color w:val="000000" w:themeColor="text1"/>
          <w:sz w:val="32"/>
          <w:szCs w:val="32"/>
          <w:highlight w:val="none"/>
          <w14:textFill>
            <w14:solidFill>
              <w14:schemeClr w14:val="tx1"/>
            </w14:solidFill>
          </w14:textFill>
        </w:rPr>
        <w:t>168</w:t>
      </w:r>
      <w:r>
        <w:rPr>
          <w:rFonts w:hint="eastAsia" w:ascii="仿宋_GB2312" w:hAnsi="仿宋_GB2312" w:eastAsia="仿宋_GB2312" w:cs="仿宋_GB2312"/>
          <w:color w:val="000000" w:themeColor="text1"/>
          <w:sz w:val="32"/>
          <w:szCs w:val="32"/>
          <w:highlight w:val="none"/>
          <w14:textFill>
            <w14:solidFill>
              <w14:schemeClr w14:val="tx1"/>
            </w14:solidFill>
          </w14:textFill>
        </w:rPr>
        <w:t>万余人次。全区经常参加体育锻炼人数达到</w:t>
      </w:r>
      <w:r>
        <w:rPr>
          <w:rFonts w:ascii="仿宋_GB2312" w:hAnsi="仿宋_GB2312" w:eastAsia="仿宋_GB2312" w:cs="仿宋_GB2312"/>
          <w:color w:val="000000" w:themeColor="text1"/>
          <w:sz w:val="32"/>
          <w:szCs w:val="32"/>
          <w:highlight w:val="none"/>
          <w14:textFill>
            <w14:solidFill>
              <w14:schemeClr w14:val="tx1"/>
            </w14:solidFill>
          </w14:textFill>
        </w:rPr>
        <w:t>68.8</w:t>
      </w:r>
      <w:r>
        <w:rPr>
          <w:rFonts w:hint="eastAsia" w:ascii="仿宋_GB2312" w:hAnsi="仿宋_GB2312" w:eastAsia="仿宋_GB2312" w:cs="仿宋_GB2312"/>
          <w:color w:val="000000" w:themeColor="text1"/>
          <w:sz w:val="32"/>
          <w:szCs w:val="32"/>
          <w:highlight w:val="none"/>
          <w14:textFill>
            <w14:solidFill>
              <w14:schemeClr w14:val="tx1"/>
            </w14:solidFill>
          </w14:textFill>
        </w:rPr>
        <w:t>万人，约占全区常住总人口的</w:t>
      </w:r>
      <w:r>
        <w:rPr>
          <w:rFonts w:ascii="仿宋_GB2312" w:hAnsi="仿宋_GB2312" w:eastAsia="仿宋_GB2312" w:cs="仿宋_GB2312"/>
          <w:color w:val="000000" w:themeColor="text1"/>
          <w:sz w:val="32"/>
          <w:szCs w:val="32"/>
          <w:highlight w:val="none"/>
          <w14:textFill>
            <w14:solidFill>
              <w14:schemeClr w14:val="tx1"/>
            </w14:solidFill>
          </w14:textFill>
        </w:rPr>
        <w:t>46.5%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ageBreakBefore w:val="0"/>
        <w:kinsoku/>
        <w:wordWrap/>
        <w:topLinePunct w:val="0"/>
        <w:autoSpaceDE/>
        <w:autoSpaceDN/>
        <w:bidi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体育人才培养基础更加坚实。全区各级各类体校</w:t>
      </w:r>
      <w:r>
        <w:rPr>
          <w:rFonts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所、国家级青少年体育俱乐部</w:t>
      </w:r>
      <w:r>
        <w:rPr>
          <w:rFonts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所、各级体育传统校</w:t>
      </w:r>
      <w:r>
        <w:rPr>
          <w:rFonts w:ascii="仿宋_GB2312" w:hAnsi="仿宋_GB2312" w:eastAsia="仿宋_GB2312" w:cs="仿宋_GB2312"/>
          <w:color w:val="000000" w:themeColor="text1"/>
          <w:sz w:val="32"/>
          <w:szCs w:val="32"/>
          <w:highlight w:val="none"/>
          <w14:textFill>
            <w14:solidFill>
              <w14:schemeClr w14:val="tx1"/>
            </w14:solidFill>
          </w14:textFill>
        </w:rPr>
        <w:t>29</w:t>
      </w:r>
      <w:r>
        <w:rPr>
          <w:rFonts w:hint="eastAsia" w:ascii="仿宋_GB2312" w:hAnsi="仿宋_GB2312" w:eastAsia="仿宋_GB2312" w:cs="仿宋_GB2312"/>
          <w:color w:val="000000" w:themeColor="text1"/>
          <w:sz w:val="32"/>
          <w:szCs w:val="32"/>
          <w:highlight w:val="none"/>
          <w14:textFill>
            <w14:solidFill>
              <w14:schemeClr w14:val="tx1"/>
            </w14:solidFill>
          </w14:textFill>
        </w:rPr>
        <w:t>所、“三大球”重点示范校</w:t>
      </w:r>
      <w:r>
        <w:rPr>
          <w:rFonts w:ascii="仿宋_GB2312" w:hAnsi="仿宋_GB2312" w:eastAsia="仿宋_GB2312" w:cs="仿宋_GB2312"/>
          <w:color w:val="000000" w:themeColor="text1"/>
          <w:sz w:val="32"/>
          <w:szCs w:val="32"/>
          <w:highlight w:val="none"/>
          <w14:textFill>
            <w14:solidFill>
              <w14:schemeClr w14:val="tx1"/>
            </w14:solidFill>
          </w14:textFill>
        </w:rPr>
        <w:t>30</w:t>
      </w:r>
      <w:r>
        <w:rPr>
          <w:rFonts w:hint="eastAsia" w:ascii="仿宋_GB2312" w:hAnsi="仿宋_GB2312" w:eastAsia="仿宋_GB2312" w:cs="仿宋_GB2312"/>
          <w:color w:val="000000" w:themeColor="text1"/>
          <w:sz w:val="32"/>
          <w:szCs w:val="32"/>
          <w:highlight w:val="none"/>
          <w14:textFill>
            <w14:solidFill>
              <w14:schemeClr w14:val="tx1"/>
            </w14:solidFill>
          </w14:textFill>
        </w:rPr>
        <w:t>所、重点示范校运动队</w:t>
      </w:r>
      <w:r>
        <w:rPr>
          <w:rFonts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支，注册运动员</w:t>
      </w:r>
      <w:r>
        <w:rPr>
          <w:rFonts w:ascii="仿宋_GB2312" w:hAnsi="仿宋_GB2312" w:eastAsia="仿宋_GB2312" w:cs="仿宋_GB2312"/>
          <w:color w:val="000000" w:themeColor="text1"/>
          <w:sz w:val="32"/>
          <w:szCs w:val="32"/>
          <w:highlight w:val="none"/>
          <w14:textFill>
            <w14:solidFill>
              <w14:schemeClr w14:val="tx1"/>
            </w14:solidFill>
          </w14:textFill>
        </w:rPr>
        <w:t>351</w:t>
      </w:r>
      <w:r>
        <w:rPr>
          <w:rFonts w:hint="eastAsia" w:ascii="仿宋_GB2312" w:hAnsi="仿宋_GB2312" w:eastAsia="仿宋_GB2312" w:cs="仿宋_GB2312"/>
          <w:color w:val="000000" w:themeColor="text1"/>
          <w:sz w:val="32"/>
          <w:szCs w:val="32"/>
          <w:highlight w:val="none"/>
          <w14:textFill>
            <w14:solidFill>
              <w14:schemeClr w14:val="tx1"/>
            </w14:solidFill>
          </w14:textFill>
        </w:rPr>
        <w:t>名。运动训练科学化水平不断提升，向市级运动队输送</w:t>
      </w:r>
      <w:r>
        <w:rPr>
          <w:rFonts w:ascii="仿宋_GB2312" w:hAnsi="仿宋_GB2312" w:eastAsia="仿宋_GB2312" w:cs="仿宋_GB2312"/>
          <w:color w:val="000000" w:themeColor="text1"/>
          <w:sz w:val="32"/>
          <w:szCs w:val="32"/>
          <w:highlight w:val="none"/>
          <w14:textFill>
            <w14:solidFill>
              <w14:schemeClr w14:val="tx1"/>
            </w14:solidFill>
          </w14:textFill>
        </w:rPr>
        <w:t>120</w:t>
      </w:r>
      <w:r>
        <w:rPr>
          <w:rFonts w:hint="eastAsia" w:ascii="仿宋_GB2312" w:hAnsi="仿宋_GB2312" w:eastAsia="仿宋_GB2312" w:cs="仿宋_GB2312"/>
          <w:color w:val="000000" w:themeColor="text1"/>
          <w:sz w:val="32"/>
          <w:szCs w:val="32"/>
          <w:highlight w:val="none"/>
          <w14:textFill>
            <w14:solidFill>
              <w14:schemeClr w14:val="tx1"/>
            </w14:solidFill>
          </w14:textFill>
        </w:rPr>
        <w:t>余名高水平运动员。</w:t>
      </w:r>
    </w:p>
    <w:p>
      <w:pPr>
        <w:pageBreakBefore w:val="0"/>
        <w:numPr>
          <w:ilvl w:val="255"/>
          <w:numId w:val="0"/>
        </w:numPr>
        <w:kinsoku/>
        <w:wordWrap/>
        <w:topLinePunct w:val="0"/>
        <w:autoSpaceDE/>
        <w:autoSpaceDN/>
        <w:bidi w:val="0"/>
        <w:snapToGrid w:val="0"/>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冰雪运动参与人数不断增加。启动大兴区冰上运动中心建设，全区现有室内冰场</w:t>
      </w:r>
      <w:r>
        <w:rPr>
          <w:rFonts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座、滑雪场</w:t>
      </w:r>
      <w:r>
        <w:rPr>
          <w:rFonts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家。开展市民快乐冰雪季等各级各类群众性冰雪活动</w:t>
      </w:r>
      <w:r>
        <w:rPr>
          <w:rFonts w:ascii="仿宋_GB2312" w:hAnsi="仿宋_GB2312" w:eastAsia="仿宋_GB2312" w:cs="仿宋_GB2312"/>
          <w:color w:val="000000" w:themeColor="text1"/>
          <w:sz w:val="32"/>
          <w:szCs w:val="32"/>
          <w:highlight w:val="none"/>
          <w14:textFill>
            <w14:solidFill>
              <w14:schemeClr w14:val="tx1"/>
            </w14:solidFill>
          </w14:textFill>
        </w:rPr>
        <w:t>3239</w:t>
      </w:r>
      <w:r>
        <w:rPr>
          <w:rFonts w:hint="eastAsia" w:ascii="仿宋_GB2312" w:hAnsi="仿宋_GB2312" w:eastAsia="仿宋_GB2312" w:cs="仿宋_GB2312"/>
          <w:color w:val="000000" w:themeColor="text1"/>
          <w:sz w:val="32"/>
          <w:szCs w:val="32"/>
          <w:highlight w:val="none"/>
          <w14:textFill>
            <w14:solidFill>
              <w14:schemeClr w14:val="tx1"/>
            </w14:solidFill>
          </w14:textFill>
        </w:rPr>
        <w:t>场，参与人次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97</w:t>
      </w:r>
      <w:r>
        <w:rPr>
          <w:rFonts w:hint="eastAsia" w:ascii="仿宋_GB2312" w:hAnsi="仿宋_GB2312" w:eastAsia="仿宋_GB2312" w:cs="仿宋_GB2312"/>
          <w:color w:val="000000" w:themeColor="text1"/>
          <w:sz w:val="32"/>
          <w:szCs w:val="32"/>
          <w:highlight w:val="none"/>
          <w14:textFill>
            <w14:solidFill>
              <w14:schemeClr w14:val="tx1"/>
            </w14:solidFill>
          </w14:textFill>
        </w:rPr>
        <w:t>余万。举办首届大兴区冬季运动会，总参与人次达到500人次。建设区级冰雪特色学校</w:t>
      </w:r>
      <w:r>
        <w:rPr>
          <w:rFonts w:ascii="仿宋_GB2312" w:hAnsi="仿宋_GB2312" w:eastAsia="仿宋_GB2312" w:cs="仿宋_GB2312"/>
          <w:color w:val="000000" w:themeColor="text1"/>
          <w:sz w:val="32"/>
          <w:szCs w:val="32"/>
          <w:highlight w:val="none"/>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所、奥林匹克教育示范学校</w:t>
      </w:r>
      <w:r>
        <w:rPr>
          <w:rFonts w:ascii="仿宋_GB2312" w:hAnsi="仿宋_GB2312" w:eastAsia="仿宋_GB2312" w:cs="仿宋_GB2312"/>
          <w:color w:val="000000" w:themeColor="text1"/>
          <w:sz w:val="32"/>
          <w:szCs w:val="32"/>
          <w:highlight w:val="none"/>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所。组建</w:t>
      </w:r>
      <w:r>
        <w:rPr>
          <w:rFonts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支区级青少年冰雪运动队，冬季项目注册后备人才达到</w:t>
      </w:r>
      <w:r>
        <w:rPr>
          <w:rFonts w:ascii="仿宋_GB2312" w:hAnsi="仿宋_GB2312" w:eastAsia="仿宋_GB2312" w:cs="仿宋_GB2312"/>
          <w:color w:val="000000" w:themeColor="text1"/>
          <w:sz w:val="32"/>
          <w:szCs w:val="32"/>
          <w:highlight w:val="none"/>
          <w14:textFill>
            <w14:solidFill>
              <w14:schemeClr w14:val="tx1"/>
            </w14:solidFill>
          </w14:textFill>
        </w:rPr>
        <w:t>210</w:t>
      </w:r>
      <w:r>
        <w:rPr>
          <w:rFonts w:hint="eastAsia" w:ascii="仿宋_GB2312" w:hAnsi="仿宋_GB2312" w:eastAsia="仿宋_GB2312" w:cs="仿宋_GB2312"/>
          <w:color w:val="000000" w:themeColor="text1"/>
          <w:sz w:val="32"/>
          <w:szCs w:val="32"/>
          <w:highlight w:val="none"/>
          <w14:textFill>
            <w14:solidFill>
              <w14:schemeClr w14:val="tx1"/>
            </w14:solidFill>
          </w14:textFill>
        </w:rPr>
        <w:t>人，四年内增长近</w:t>
      </w:r>
      <w:r>
        <w:rPr>
          <w:rFonts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倍。</w:t>
      </w:r>
    </w:p>
    <w:p>
      <w:pPr>
        <w:pageBreakBefore w:val="0"/>
        <w:kinsoku/>
        <w:wordWrap/>
        <w:topLinePunct w:val="0"/>
        <w:autoSpaceDE/>
        <w:autoSpaceDN/>
        <w:bidi w:val="0"/>
        <w:snapToGrid w:val="0"/>
        <w:spacing w:line="560" w:lineRule="exact"/>
        <w:ind w:firstLine="640" w:firstLineChars="200"/>
        <w:outlineLvl w:val="2"/>
        <w:rPr>
          <w:rFonts w:ascii="仿宋" w:hAnsi="仿宋" w:eastAsia="仿宋"/>
          <w:color w:val="000000" w:themeColor="text1"/>
          <w:sz w:val="32"/>
          <w:szCs w:val="32"/>
          <w:highlight w:val="none"/>
          <w14:textFill>
            <w14:solidFill>
              <w14:schemeClr w14:val="tx1"/>
            </w14:solidFill>
          </w14:textFill>
        </w:rPr>
      </w:pPr>
      <w:bookmarkStart w:id="34" w:name="_Toc20900"/>
      <w:bookmarkStart w:id="35" w:name="_Toc10992"/>
      <w:bookmarkStart w:id="36" w:name="_Toc90318391"/>
      <w:r>
        <w:rPr>
          <w:rFonts w:hint="eastAsia" w:ascii="楷体_GB2312" w:hAnsi="楷体_GB2312" w:eastAsia="楷体_GB2312" w:cs="楷体_GB2312"/>
          <w:color w:val="000000" w:themeColor="text1"/>
          <w:sz w:val="32"/>
          <w:szCs w:val="32"/>
          <w:highlight w:val="none"/>
          <w14:textFill>
            <w14:solidFill>
              <w14:schemeClr w14:val="tx1"/>
            </w14:solidFill>
          </w14:textFill>
        </w:rPr>
        <w:t>（五）健康环境有效改善</w:t>
      </w:r>
      <w:bookmarkEnd w:id="34"/>
      <w:bookmarkEnd w:id="35"/>
      <w:bookmarkEnd w:id="36"/>
    </w:p>
    <w:p>
      <w:pPr>
        <w:pStyle w:val="2"/>
        <w:pageBreakBefore w:val="0"/>
        <w:kinsoku/>
        <w:wordWrap/>
        <w:topLinePunct w:val="0"/>
        <w:autoSpaceDE/>
        <w:autoSpaceDN/>
        <w:bidi w:val="0"/>
        <w:adjustRightInd w:val="0"/>
        <w:snapToGrid w:val="0"/>
        <w:spacing w:line="56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highlight w:val="none"/>
          <w14:textFill>
            <w14:solidFill>
              <w14:schemeClr w14:val="tx1"/>
            </w14:solidFill>
          </w14:textFill>
        </w:rPr>
        <w:t>全力推进爱国卫生运动发展，出台《深入开展新时代爱国卫生运动的工作意见》《大兴区深入开展新时代爱国卫生运动三年行动方案》，丰富爱国卫生运动工作内涵，有效改善人居环境。贯彻落实健康北京行动精神，制定《大兴区关于推进健康北京行动实施方案》，成立大兴区推进健康北京行动委员会，统筹协调全区落实推进健康北京行动任务，各项指标稳步推进。</w:t>
      </w:r>
      <w:r>
        <w:rPr>
          <w:rFonts w:hint="eastAsia" w:ascii="仿宋_GB2312" w:hAnsi="仿宋_GB2312" w:eastAsia="仿宋_GB2312" w:cs="仿宋_GB2312"/>
          <w:color w:val="000000" w:themeColor="text1"/>
          <w:sz w:val="32"/>
          <w:szCs w:val="32"/>
          <w:highlight w:val="none"/>
          <w14:textFill>
            <w14:solidFill>
              <w14:schemeClr w14:val="tx1"/>
            </w14:solidFill>
          </w14:textFill>
        </w:rPr>
        <w:t>生态建设持续推进，生态环境治理体系不断完善。蓝天保卫战深入推进，空气质量显著提升，提前动态完成“十三五”规划目标。碧水保卫战全面落实，水环境质量大幅改善。净土保卫战扎实开展，土壤污染风险基本得到有效管控。</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color w:val="000000" w:themeColor="text1"/>
          <w:highlight w:val="none"/>
          <w14:textFill>
            <w14:solidFill>
              <w14:schemeClr w14:val="tx1"/>
            </w14:solidFill>
          </w14:textFill>
        </w:rPr>
      </w:pPr>
      <w:bookmarkStart w:id="37" w:name="_Toc458432309"/>
      <w:bookmarkStart w:id="38" w:name="_Toc2915"/>
      <w:bookmarkStart w:id="39" w:name="_Toc90318392"/>
      <w:bookmarkStart w:id="40" w:name="_Toc3884"/>
      <w:bookmarkStart w:id="41" w:name="_Toc852"/>
      <w:bookmarkStart w:id="42" w:name="_Toc11918"/>
      <w:bookmarkStart w:id="43" w:name="_Toc22874"/>
      <w:bookmarkStart w:id="44" w:name="_Toc26904"/>
      <w:r>
        <w:rPr>
          <w:rFonts w:hint="eastAsia" w:ascii="楷体_GB2312" w:eastAsia="楷体_GB2312"/>
          <w:b w:val="0"/>
          <w:bCs w:val="0"/>
          <w:color w:val="000000" w:themeColor="text1"/>
          <w:highlight w:val="none"/>
          <w14:textFill>
            <w14:solidFill>
              <w14:schemeClr w14:val="tx1"/>
            </w14:solidFill>
          </w14:textFill>
        </w:rPr>
        <w:t>（六）人才支撑进一步增强</w:t>
      </w:r>
      <w:bookmarkEnd w:id="37"/>
      <w:bookmarkEnd w:id="38"/>
      <w:bookmarkEnd w:id="39"/>
      <w:bookmarkEnd w:id="40"/>
      <w:bookmarkEnd w:id="41"/>
      <w:bookmarkEnd w:id="42"/>
      <w:bookmarkEnd w:id="43"/>
      <w:bookmarkEnd w:id="44"/>
    </w:p>
    <w:p>
      <w:pPr>
        <w:pageBreakBefore w:val="0"/>
        <w:kinsoku/>
        <w:wordWrap/>
        <w:topLinePunct w:val="0"/>
        <w:autoSpaceDE/>
        <w:autoSpaceDN/>
        <w:bidi w:val="0"/>
        <w:adjustRightInd w:val="0"/>
        <w:snapToGrid w:val="0"/>
        <w:spacing w:line="56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进一步强化干部、人才队伍建设和管理，相继出台《大兴区高端和紧缺人才扶持奖励办法（试行）》《大兴区卫生健康系统优秀年轻干部培养选拔工作实施方案》等10余个制度性文件，加强紧缺学科人才引进及培养，提高人才管理制度化和规范化水平，落实“兴十条”高层次人才医疗服务保障。招聘应届毕业生483名，其中定向委培生75名，硕士及以上学历人员259人；引进副高级职称人员8人，博士后2人，不断充实人才队伍。2020年，高级职称人员达到710人、中级职称1958人，研究生及以上学历755人、本科学历3255人，职称和学历水平不断提高。累计培养大兴优秀中青年医务工作者、优秀社区卫生工作者等骨干人才86名，大兴卫生首席专家、社区卫生首席专家36名；入选大兴区“新国门”领军人才17人；大兴区优秀青年人才19人；获得市委组织部优秀青年骨干资助1人，获批北京市“十、百、千社区卫生人才”96人；获评国家岐黄工程岐黄学者（百层次人才）和全国卫生健康行业经济管理领军人才各1人，国务院特殊津贴1人，人才综合素质得到普遍提升。</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color w:val="000000" w:themeColor="text1"/>
          <w:highlight w:val="none"/>
          <w14:textFill>
            <w14:solidFill>
              <w14:schemeClr w14:val="tx1"/>
            </w14:solidFill>
          </w14:textFill>
        </w:rPr>
      </w:pPr>
      <w:bookmarkStart w:id="45" w:name="_Toc24954"/>
      <w:bookmarkStart w:id="46" w:name="_Toc90318393"/>
      <w:bookmarkStart w:id="47" w:name="_Toc25888"/>
      <w:bookmarkStart w:id="48" w:name="_Toc528"/>
      <w:bookmarkStart w:id="49" w:name="_Toc3539"/>
      <w:bookmarkStart w:id="50" w:name="_Toc2000"/>
      <w:bookmarkStart w:id="51" w:name="_Toc20482"/>
      <w:bookmarkStart w:id="52" w:name="_Hlk55514256"/>
      <w:r>
        <w:rPr>
          <w:rFonts w:hint="eastAsia" w:ascii="楷体_GB2312" w:eastAsia="楷体_GB2312"/>
          <w:b w:val="0"/>
          <w:bCs w:val="0"/>
          <w:color w:val="000000" w:themeColor="text1"/>
          <w:highlight w:val="none"/>
          <w14:textFill>
            <w14:solidFill>
              <w14:schemeClr w14:val="tx1"/>
            </w14:solidFill>
          </w14:textFill>
        </w:rPr>
        <w:t>（七）信息化助力医疗服务水平显著提高</w:t>
      </w:r>
      <w:bookmarkEnd w:id="45"/>
      <w:bookmarkEnd w:id="46"/>
      <w:bookmarkEnd w:id="47"/>
      <w:bookmarkEnd w:id="48"/>
      <w:bookmarkEnd w:id="49"/>
      <w:bookmarkEnd w:id="50"/>
      <w:bookmarkEnd w:id="51"/>
    </w:p>
    <w:p>
      <w:pPr>
        <w:pageBreakBefore w:val="0"/>
        <w:kinsoku/>
        <w:wordWrap/>
        <w:topLinePunct w:val="0"/>
        <w:autoSpaceDE/>
        <w:autoSpaceDN/>
        <w:bidi w:val="0"/>
        <w:adjustRightInd w:val="0"/>
        <w:snapToGrid w:val="0"/>
        <w:spacing w:line="560" w:lineRule="exact"/>
        <w:ind w:firstLine="614" w:firstLineChars="19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三五”期间，建成具有大兴特色的“1+N+9”医疗信息化惠民服务体系。搭建一个区域人口健康信息平台；完成十四个数据标准接口、电子病历、医学检验、电子健康档案的标准化统一，实现医疗机构间服务数据互通共享和业务协同；上线“健康大兴”APP、远程心电及影像会诊平台、统一支付平台、自助机一站式服务、诊前健康服务、智能提示、电子病历、双向转诊、医疗巡诊服务九项智能惠民惠医服务系统。“十三五”期间，信息系统发出智能提示6.6万余次，诊前健康服务823.82万余人次，完成线上预约挂号180万余人次，双向转诊1.375万余人次，特别是在新冠疫情防控期间，有效减少现场挂号人群聚集，为助力新冠疫情院感防控提供有力技术支撑。建成区域远程影像平台，实现区妇幼保健院、16家社区卫生服务中心与平台互联互通，共开展远程会诊9.3万余人次。建成区域远程心电平台，实现全区17家社区卫生服务中心及社区卫生服务站、51辆120救护车与平台的互联互通，开展远程会诊1.86万余人次，逐步形成辖区百姓基层检查、上级医院远程会诊的信息服务模式，为“胸痛”绿通救治提供信息化保障。大兴区卫生健康委获评2019年</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国家医疗健康信息互联互通标准化成熟度四级甲等荣誉，信息化体系逐步成熟。</w:t>
      </w:r>
      <w:bookmarkEnd w:id="52"/>
    </w:p>
    <w:p>
      <w:pPr>
        <w:pStyle w:val="4"/>
        <w:keepNext w:val="0"/>
        <w:keepLines w:val="0"/>
        <w:pageBreakBefore w:val="0"/>
        <w:kinsoku/>
        <w:wordWrap/>
        <w:topLinePunct w:val="0"/>
        <w:autoSpaceDE/>
        <w:autoSpaceDN/>
        <w:bidi w:val="0"/>
        <w:spacing w:before="0" w:after="0" w:line="560" w:lineRule="exact"/>
        <w:ind w:firstLine="640" w:firstLineChars="200"/>
        <w:rPr>
          <w:rFonts w:ascii="黑体" w:hAnsi="黑体" w:cs="黑体"/>
          <w:b w:val="0"/>
          <w:color w:val="000000" w:themeColor="text1"/>
          <w:highlight w:val="none"/>
          <w14:textFill>
            <w14:solidFill>
              <w14:schemeClr w14:val="tx1"/>
            </w14:solidFill>
          </w14:textFill>
        </w:rPr>
      </w:pPr>
      <w:bookmarkStart w:id="53" w:name="_Toc90318394"/>
      <w:bookmarkStart w:id="54" w:name="_Toc31765"/>
      <w:bookmarkStart w:id="55" w:name="_Toc1024"/>
      <w:bookmarkStart w:id="56" w:name="_Toc15467"/>
      <w:bookmarkStart w:id="57" w:name="_Toc6082"/>
      <w:bookmarkStart w:id="58" w:name="_Toc28914"/>
      <w:bookmarkStart w:id="59" w:name="_Toc4415"/>
      <w:r>
        <w:rPr>
          <w:rFonts w:hint="eastAsia" w:ascii="黑体" w:hAnsi="黑体" w:cs="黑体"/>
          <w:b w:val="0"/>
          <w:color w:val="000000" w:themeColor="text1"/>
          <w:highlight w:val="none"/>
          <w14:textFill>
            <w14:solidFill>
              <w14:schemeClr w14:val="tx1"/>
            </w14:solidFill>
          </w14:textFill>
        </w:rPr>
        <w:t>二、“健康大兴”建设中的问题与困难</w:t>
      </w:r>
      <w:bookmarkEnd w:id="53"/>
      <w:bookmarkEnd w:id="54"/>
      <w:bookmarkEnd w:id="55"/>
      <w:bookmarkEnd w:id="56"/>
      <w:bookmarkEnd w:id="57"/>
      <w:bookmarkEnd w:id="58"/>
      <w:bookmarkEnd w:id="59"/>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color w:val="000000" w:themeColor="text1"/>
          <w:highlight w:val="none"/>
          <w14:textFill>
            <w14:solidFill>
              <w14:schemeClr w14:val="tx1"/>
            </w14:solidFill>
          </w14:textFill>
        </w:rPr>
      </w:pPr>
      <w:bookmarkStart w:id="60" w:name="_Toc19165"/>
      <w:bookmarkStart w:id="61" w:name="_Toc445299503"/>
      <w:bookmarkStart w:id="62" w:name="_Toc5950"/>
      <w:bookmarkStart w:id="63" w:name="_Toc12240"/>
      <w:bookmarkStart w:id="64" w:name="_Toc25697"/>
      <w:bookmarkStart w:id="65" w:name="_Toc90318395"/>
      <w:bookmarkStart w:id="66" w:name="_Toc11948"/>
      <w:bookmarkStart w:id="67" w:name="_Toc17156"/>
      <w:r>
        <w:rPr>
          <w:rFonts w:hint="eastAsia" w:ascii="楷体_GB2312" w:eastAsia="楷体_GB2312"/>
          <w:b w:val="0"/>
          <w:bCs w:val="0"/>
          <w:color w:val="000000" w:themeColor="text1"/>
          <w:highlight w:val="none"/>
          <w14:textFill>
            <w14:solidFill>
              <w14:schemeClr w14:val="tx1"/>
            </w14:solidFill>
          </w14:textFill>
        </w:rPr>
        <w:t>（一）卫生资源总量不足，机构配置仍需持续优化</w:t>
      </w:r>
      <w:bookmarkEnd w:id="60"/>
      <w:bookmarkEnd w:id="61"/>
      <w:bookmarkEnd w:id="62"/>
      <w:bookmarkEnd w:id="63"/>
      <w:bookmarkEnd w:id="64"/>
      <w:bookmarkEnd w:id="65"/>
      <w:bookmarkEnd w:id="66"/>
      <w:bookmarkEnd w:id="67"/>
      <w:r>
        <w:rPr>
          <w:rFonts w:hint="eastAsia" w:ascii="楷体_GB2312" w:eastAsia="楷体_GB2312"/>
          <w:color w:val="000000" w:themeColor="text1"/>
          <w:highlight w:val="none"/>
          <w14:textFill>
            <w14:solidFill>
              <w14:schemeClr w14:val="tx1"/>
            </w14:solidFill>
          </w14:textFill>
        </w:rPr>
        <w:t xml:space="preserve"> </w:t>
      </w:r>
    </w:p>
    <w:p>
      <w:pPr>
        <w:pageBreakBefore w:val="0"/>
        <w:kinsoku/>
        <w:wordWrap/>
        <w:topLinePunct w:val="0"/>
        <w:autoSpaceDE/>
        <w:autoSpaceDN/>
        <w:bidi w:val="0"/>
        <w:adjustRightInd w:val="0"/>
        <w:snapToGrid w:val="0"/>
        <w:spacing w:line="56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2020年，大兴区医疗机构实有床位7592张，较“十二五”末的6780张有一定增加，但随着人口持续增长，每千常住人口实有床位数略有降低（2015年与2020年的每千常住人口实有床位数分别为4.34张，3.81张），与北京市“十三五”时期平均水平差距较大。二级及以上综合性医院均集中在六环以内，不足以满足南部地区医疗服务需求及经济社会发展需要。新建街道尚未实现社区卫生服务中心全覆盖，有的行政村未实现“</w:t>
      </w:r>
      <w:r>
        <w:rPr>
          <w:rFonts w:hint="eastAsia" w:ascii="仿宋_GB2312" w:hAnsi="仿宋_GB2312" w:eastAsia="仿宋_GB2312" w:cs="仿宋_GB2312"/>
          <w:color w:val="000000" w:themeColor="text1"/>
          <w:sz w:val="32"/>
          <w:szCs w:val="32"/>
          <w:highlight w:val="none"/>
          <w14:textFill>
            <w14:solidFill>
              <w14:schemeClr w14:val="tx1"/>
            </w14:solidFill>
          </w14:textFill>
        </w:rPr>
        <w:t>一村一站(室)</w:t>
      </w:r>
      <w:r>
        <w:rPr>
          <w:rFonts w:hint="eastAsia" w:ascii="仿宋_GB2312" w:eastAsia="仿宋_GB2312"/>
          <w:color w:val="000000" w:themeColor="text1"/>
          <w:sz w:val="32"/>
          <w:szCs w:val="32"/>
          <w:highlight w:val="none"/>
          <w14:textFill>
            <w14:solidFill>
              <w14:schemeClr w14:val="tx1"/>
            </w14:solidFill>
          </w14:textFill>
        </w:rPr>
        <w:t>”，仍需加紧基层医疗卫生服务机构建设。护理和康复医疗资源不足，老年护理与康复服务由综合性医院承担，仍需进一步整合资源，优化医疗资源配置。</w:t>
      </w:r>
    </w:p>
    <w:p>
      <w:pPr>
        <w:pageBreakBefore w:val="0"/>
        <w:numPr>
          <w:ilvl w:val="255"/>
          <w:numId w:val="0"/>
        </w:numPr>
        <w:kinsoku/>
        <w:wordWrap/>
        <w:topLinePunct w:val="0"/>
        <w:autoSpaceDE/>
        <w:autoSpaceDN/>
        <w:bidi w:val="0"/>
        <w:adjustRightInd w:val="0"/>
        <w:snapToGrid w:val="0"/>
        <w:spacing w:line="560" w:lineRule="exact"/>
        <w:ind w:firstLine="640" w:firstLineChars="200"/>
        <w:outlineLvl w:val="2"/>
        <w:rPr>
          <w:rFonts w:ascii="楷体_GB2312" w:hAnsi="Times New Roman" w:eastAsia="楷体_GB2312" w:cs="Times New Roman"/>
          <w:b/>
          <w:bCs/>
          <w:color w:val="000000" w:themeColor="text1"/>
          <w:sz w:val="32"/>
          <w:szCs w:val="32"/>
          <w:highlight w:val="none"/>
          <w14:textFill>
            <w14:solidFill>
              <w14:schemeClr w14:val="tx1"/>
            </w14:solidFill>
          </w14:textFill>
        </w:rPr>
      </w:pPr>
      <w:bookmarkStart w:id="68" w:name="_Toc90318396"/>
      <w:bookmarkStart w:id="69" w:name="_Toc30940"/>
      <w:bookmarkStart w:id="70" w:name="_Toc18610"/>
      <w:bookmarkStart w:id="71" w:name="_Toc29065"/>
      <w:bookmarkStart w:id="72" w:name="_Toc19343"/>
      <w:bookmarkStart w:id="73" w:name="_Toc24533"/>
      <w:r>
        <w:rPr>
          <w:rFonts w:hint="eastAsia" w:ascii="楷体_GB2312" w:hAnsi="Times New Roman" w:eastAsia="楷体_GB2312" w:cs="Times New Roman"/>
          <w:color w:val="000000" w:themeColor="text1"/>
          <w:sz w:val="32"/>
          <w:szCs w:val="32"/>
          <w:highlight w:val="none"/>
          <w14:textFill>
            <w14:solidFill>
              <w14:schemeClr w14:val="tx1"/>
            </w14:solidFill>
          </w14:textFill>
        </w:rPr>
        <w:t>（二）公共卫生体系建设需持续加强</w:t>
      </w:r>
      <w:bookmarkEnd w:id="68"/>
      <w:bookmarkEnd w:id="69"/>
      <w:bookmarkEnd w:id="70"/>
      <w:bookmarkEnd w:id="71"/>
      <w:bookmarkEnd w:id="72"/>
      <w:bookmarkEnd w:id="73"/>
    </w:p>
    <w:p>
      <w:pPr>
        <w:pStyle w:val="2"/>
        <w:pageBreakBefore w:val="0"/>
        <w:numPr>
          <w:ilvl w:val="255"/>
          <w:numId w:val="0"/>
        </w:numPr>
        <w:kinsoku/>
        <w:wordWrap/>
        <w:topLinePunct w:val="0"/>
        <w:autoSpaceDE/>
        <w:autoSpaceDN/>
        <w:bidi w:val="0"/>
        <w:spacing w:after="0"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现有公共卫生管理体系还不能有效满足新发、突发重大传染病防控要求及区域经济社</w:t>
      </w:r>
      <w:r>
        <w:rPr>
          <w:rFonts w:hint="eastAsia" w:ascii="仿宋_GB2312" w:eastAsia="仿宋_GB2312"/>
          <w:color w:val="000000" w:themeColor="text1"/>
          <w:sz w:val="32"/>
          <w:szCs w:val="32"/>
          <w:highlight w:val="none"/>
          <w:lang w:eastAsia="zh-CN"/>
          <w14:textFill>
            <w14:solidFill>
              <w14:schemeClr w14:val="tx1"/>
            </w14:solidFill>
          </w14:textFill>
        </w:rPr>
        <w:t>会</w:t>
      </w:r>
      <w:r>
        <w:rPr>
          <w:rFonts w:hint="eastAsia" w:ascii="仿宋_GB2312" w:eastAsia="仿宋_GB2312"/>
          <w:color w:val="000000" w:themeColor="text1"/>
          <w:sz w:val="32"/>
          <w:szCs w:val="32"/>
          <w:highlight w:val="none"/>
          <w14:textFill>
            <w14:solidFill>
              <w14:schemeClr w14:val="tx1"/>
            </w14:solidFill>
          </w14:textFill>
        </w:rPr>
        <w:t>发展需求。镇街公共卫生管理人员力量配备不足，专业化水平有待提升。</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村（居）公共卫生委员会</w:t>
      </w:r>
      <w:r>
        <w:rPr>
          <w:rFonts w:hint="eastAsia" w:ascii="仿宋_GB2312" w:eastAsia="仿宋_GB2312"/>
          <w:color w:val="000000" w:themeColor="text1"/>
          <w:sz w:val="32"/>
          <w:szCs w:val="32"/>
          <w:highlight w:val="none"/>
          <w14:textFill>
            <w14:solidFill>
              <w14:schemeClr w14:val="tx1"/>
            </w14:solidFill>
          </w14:textFill>
        </w:rPr>
        <w:t>作用尚未有效发挥，三级联动机制仍需完善。基层医疗卫生机构存在短板，村级医疗机构建设亟待加强。疾病防控人员队伍建设及流调溯源、核酸检测、应急处置等能力培养仍需提升。基层医疗机构公共卫生人才不足、能力有待提升，重大疫情疾病防控人员及业务能力储备需持续发力。公共卫生机构及二、三级医疗机构医防融合交叉培养工作已启动，复合型人才培养工作任重道远。区疾病预防控制中心仍存在业务用房紧张、人员短缺、设备配置不足等问题，标准化建设仍需进一步推进。</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color w:val="000000" w:themeColor="text1"/>
          <w:highlight w:val="none"/>
          <w14:textFill>
            <w14:solidFill>
              <w14:schemeClr w14:val="tx1"/>
            </w14:solidFill>
          </w14:textFill>
        </w:rPr>
      </w:pPr>
      <w:bookmarkStart w:id="74" w:name="_Toc9659"/>
      <w:bookmarkStart w:id="75" w:name="_Toc30966"/>
      <w:bookmarkStart w:id="76" w:name="_Toc90318397"/>
      <w:bookmarkStart w:id="77" w:name="_Toc21435"/>
      <w:bookmarkStart w:id="78" w:name="_Toc20473"/>
      <w:bookmarkStart w:id="79" w:name="_Toc26084"/>
      <w:bookmarkStart w:id="80" w:name="_Toc25459"/>
      <w:r>
        <w:rPr>
          <w:rFonts w:hint="eastAsia" w:ascii="楷体_GB2312" w:eastAsia="楷体_GB2312"/>
          <w:b w:val="0"/>
          <w:bCs w:val="0"/>
          <w:color w:val="000000" w:themeColor="text1"/>
          <w:highlight w:val="none"/>
          <w14:textFill>
            <w14:solidFill>
              <w14:schemeClr w14:val="tx1"/>
            </w14:solidFill>
          </w14:textFill>
        </w:rPr>
        <w:t>（三）公共体育场馆建设仍然不足</w:t>
      </w:r>
      <w:bookmarkEnd w:id="74"/>
      <w:bookmarkEnd w:id="75"/>
      <w:bookmarkEnd w:id="76"/>
      <w:bookmarkEnd w:id="77"/>
      <w:bookmarkEnd w:id="78"/>
      <w:bookmarkEnd w:id="79"/>
      <w:bookmarkEnd w:id="80"/>
    </w:p>
    <w:p>
      <w:pPr>
        <w:pageBreakBefore w:val="0"/>
        <w:kinsoku/>
        <w:wordWrap/>
        <w:topLinePunct w:val="0"/>
        <w:autoSpaceDE/>
        <w:autoSpaceDN/>
        <w:bidi w:val="0"/>
        <w:spacing w:line="560" w:lineRule="exact"/>
        <w:ind w:firstLine="640" w:firstLineChars="200"/>
        <w:rPr>
          <w:color w:val="000000" w:themeColor="text1"/>
          <w:highlight w:val="none"/>
          <w14:textFill>
            <w14:solidFill>
              <w14:schemeClr w14:val="tx1"/>
            </w14:solidFill>
          </w14:textFill>
        </w:rPr>
      </w:pPr>
      <w:bookmarkStart w:id="81" w:name="_Toc15726"/>
      <w:bookmarkStart w:id="82" w:name="_Toc9122"/>
      <w:bookmarkStart w:id="83" w:name="_Toc23181"/>
      <w:bookmarkStart w:id="84" w:name="_Toc565"/>
      <w:bookmarkStart w:id="85" w:name="_Toc26391"/>
      <w:bookmarkStart w:id="86" w:name="_Toc90318398"/>
      <w:r>
        <w:rPr>
          <w:rFonts w:hint="eastAsia" w:ascii="仿宋_GB2312" w:eastAsia="仿宋_GB2312"/>
          <w:color w:val="000000" w:themeColor="text1"/>
          <w:sz w:val="32"/>
          <w:szCs w:val="32"/>
          <w:highlight w:val="none"/>
          <w14:textFill>
            <w14:solidFill>
              <w14:schemeClr w14:val="tx1"/>
            </w14:solidFill>
          </w14:textFill>
        </w:rPr>
        <w:t>截止</w:t>
      </w:r>
      <w:r>
        <w:rPr>
          <w:rFonts w:ascii="仿宋_GB2312" w:eastAsia="仿宋_GB2312"/>
          <w:color w:val="000000" w:themeColor="text1"/>
          <w:sz w:val="32"/>
          <w:szCs w:val="32"/>
          <w:highlight w:val="none"/>
          <w14:textFill>
            <w14:solidFill>
              <w14:schemeClr w14:val="tx1"/>
            </w14:solidFill>
          </w14:textFill>
        </w:rPr>
        <w:t>2020年底，大兴区现状已实施公共体育用地13处，其中，市级已实施3</w:t>
      </w:r>
      <w:r>
        <w:rPr>
          <w:rFonts w:hint="eastAsia" w:ascii="仿宋_GB2312" w:eastAsia="仿宋_GB2312"/>
          <w:color w:val="000000" w:themeColor="text1"/>
          <w:sz w:val="32"/>
          <w:szCs w:val="32"/>
          <w:highlight w:val="none"/>
          <w14:textFill>
            <w14:solidFill>
              <w14:schemeClr w14:val="tx1"/>
            </w14:solidFill>
          </w14:textFill>
        </w:rPr>
        <w:t>处，芦城体育学校、昆仑决世界搏击中心及亦庄开发区体育中心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总用地面积</w:t>
      </w:r>
      <w:r>
        <w:rPr>
          <w:rFonts w:ascii="仿宋_GB2312" w:eastAsia="仿宋_GB2312"/>
          <w:color w:val="000000" w:themeColor="text1"/>
          <w:sz w:val="32"/>
          <w:szCs w:val="32"/>
          <w:highlight w:val="none"/>
          <w14:textFill>
            <w14:solidFill>
              <w14:schemeClr w14:val="tx1"/>
            </w14:solidFill>
          </w14:textFill>
        </w:rPr>
        <w:t>43.78</w:t>
      </w:r>
      <w:r>
        <w:rPr>
          <w:rFonts w:hint="eastAsia" w:ascii="仿宋_GB2312" w:eastAsia="仿宋_GB2312"/>
          <w:color w:val="000000" w:themeColor="text1"/>
          <w:sz w:val="32"/>
          <w:szCs w:val="32"/>
          <w:highlight w:val="none"/>
          <w14:textFill>
            <w14:solidFill>
              <w14:schemeClr w14:val="tx1"/>
            </w14:solidFill>
          </w14:textFill>
        </w:rPr>
        <w:t>公顷；区级已实施</w:t>
      </w: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处，大兴体育局运动场及大兴区冰上运动中心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总用地面积</w:t>
      </w:r>
      <w:r>
        <w:rPr>
          <w:rFonts w:ascii="仿宋_GB2312" w:eastAsia="仿宋_GB2312"/>
          <w:color w:val="000000" w:themeColor="text1"/>
          <w:sz w:val="32"/>
          <w:szCs w:val="32"/>
          <w:highlight w:val="none"/>
          <w14:textFill>
            <w14:solidFill>
              <w14:schemeClr w14:val="tx1"/>
            </w14:solidFill>
          </w14:textFill>
        </w:rPr>
        <w:t>12.36</w:t>
      </w:r>
      <w:r>
        <w:rPr>
          <w:rFonts w:hint="eastAsia" w:ascii="仿宋_GB2312" w:eastAsia="仿宋_GB2312"/>
          <w:color w:val="000000" w:themeColor="text1"/>
          <w:sz w:val="32"/>
          <w:szCs w:val="32"/>
          <w:highlight w:val="none"/>
          <w14:textFill>
            <w14:solidFill>
              <w14:schemeClr w14:val="tx1"/>
            </w14:solidFill>
          </w14:textFill>
        </w:rPr>
        <w:t>公顷；街镇级已实施</w:t>
      </w: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处，大兴新城体育中心与其西侧体育公园</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总用地面积</w:t>
      </w:r>
      <w:r>
        <w:rPr>
          <w:rFonts w:ascii="仿宋_GB2312" w:eastAsia="仿宋_GB2312"/>
          <w:color w:val="000000" w:themeColor="text1"/>
          <w:sz w:val="32"/>
          <w:szCs w:val="32"/>
          <w:highlight w:val="none"/>
          <w14:textFill>
            <w14:solidFill>
              <w14:schemeClr w14:val="tx1"/>
            </w14:solidFill>
          </w14:textFill>
        </w:rPr>
        <w:t>4.23</w:t>
      </w:r>
      <w:r>
        <w:rPr>
          <w:rFonts w:hint="eastAsia" w:ascii="仿宋_GB2312" w:eastAsia="仿宋_GB2312"/>
          <w:color w:val="000000" w:themeColor="text1"/>
          <w:sz w:val="32"/>
          <w:szCs w:val="32"/>
          <w:highlight w:val="none"/>
          <w14:textFill>
            <w14:solidFill>
              <w14:schemeClr w14:val="tx1"/>
            </w14:solidFill>
          </w14:textFill>
        </w:rPr>
        <w:t>公顷；社村级</w:t>
      </w:r>
      <w:r>
        <w:rPr>
          <w:rFonts w:hint="eastAsia" w:ascii="仿宋_GB2312" w:eastAsia="仿宋_GB2312"/>
          <w:color w:val="000000" w:themeColor="text1"/>
          <w:sz w:val="32"/>
          <w:szCs w:val="32"/>
          <w:highlight w:val="none"/>
          <w:lang w:val="en-US" w:eastAsia="zh-CN"/>
          <w14:textFill>
            <w14:solidFill>
              <w14:schemeClr w14:val="tx1"/>
            </w14:solidFill>
          </w14:textFill>
        </w:rPr>
        <w:t>已实施</w:t>
      </w:r>
      <w:r>
        <w:rPr>
          <w:rFonts w:ascii="仿宋_GB2312" w:eastAsia="仿宋_GB2312"/>
          <w:color w:val="000000" w:themeColor="text1"/>
          <w:sz w:val="32"/>
          <w:szCs w:val="32"/>
          <w:highlight w:val="none"/>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处，大兴新城北区全民、北京印刷学院北运动场、旺兴湖网球俱乐部、气膜网球场、奥力游泳健身会所、安定镇文化活动中心东边体育场地、育盛街北侧体育公园及采育镇文体中心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总用地面积</w:t>
      </w:r>
      <w:r>
        <w:rPr>
          <w:rFonts w:ascii="仿宋_GB2312" w:eastAsia="仿宋_GB2312"/>
          <w:color w:val="000000" w:themeColor="text1"/>
          <w:sz w:val="32"/>
          <w:szCs w:val="32"/>
          <w:highlight w:val="none"/>
          <w14:textFill>
            <w14:solidFill>
              <w14:schemeClr w14:val="tx1"/>
            </w14:solidFill>
          </w14:textFill>
        </w:rPr>
        <w:t>5.28</w:t>
      </w:r>
      <w:r>
        <w:rPr>
          <w:rFonts w:hint="eastAsia" w:ascii="仿宋_GB2312" w:eastAsia="仿宋_GB2312"/>
          <w:color w:val="000000" w:themeColor="text1"/>
          <w:sz w:val="32"/>
          <w:szCs w:val="32"/>
          <w:highlight w:val="none"/>
          <w14:textFill>
            <w14:solidFill>
              <w14:schemeClr w14:val="tx1"/>
            </w14:solidFill>
          </w14:textFill>
        </w:rPr>
        <w:t>公顷。已实施公共体育用地总量</w:t>
      </w:r>
      <w:r>
        <w:rPr>
          <w:rFonts w:ascii="仿宋_GB2312" w:eastAsia="仿宋_GB2312"/>
          <w:color w:val="000000" w:themeColor="text1"/>
          <w:sz w:val="32"/>
          <w:szCs w:val="32"/>
          <w:highlight w:val="none"/>
          <w14:textFill>
            <w14:solidFill>
              <w14:schemeClr w14:val="tx1"/>
            </w14:solidFill>
          </w14:textFill>
        </w:rPr>
        <w:t>65.65</w:t>
      </w:r>
      <w:r>
        <w:rPr>
          <w:rFonts w:hint="eastAsia" w:ascii="仿宋_GB2312" w:eastAsia="仿宋_GB2312"/>
          <w:color w:val="000000" w:themeColor="text1"/>
          <w:sz w:val="32"/>
          <w:szCs w:val="32"/>
          <w:highlight w:val="none"/>
          <w14:textFill>
            <w14:solidFill>
              <w14:schemeClr w14:val="tx1"/>
            </w14:solidFill>
          </w14:textFill>
        </w:rPr>
        <w:t>公顷，人均公共体育用地面积</w:t>
      </w:r>
      <w:r>
        <w:rPr>
          <w:rFonts w:ascii="仿宋_GB2312" w:eastAsia="仿宋_GB2312"/>
          <w:color w:val="000000" w:themeColor="text1"/>
          <w:sz w:val="32"/>
          <w:szCs w:val="32"/>
          <w:highlight w:val="none"/>
          <w14:textFill>
            <w14:solidFill>
              <w14:schemeClr w14:val="tx1"/>
            </w14:solidFill>
          </w14:textFill>
        </w:rPr>
        <w:t>0.38</w:t>
      </w:r>
      <w:r>
        <w:rPr>
          <w:rFonts w:hint="eastAsia" w:ascii="仿宋_GB2312" w:eastAsia="仿宋_GB2312"/>
          <w:color w:val="000000" w:themeColor="text1"/>
          <w:sz w:val="32"/>
          <w:szCs w:val="32"/>
          <w:highlight w:val="none"/>
          <w14:textFill>
            <w14:solidFill>
              <w14:schemeClr w14:val="tx1"/>
            </w14:solidFill>
          </w14:textFill>
        </w:rPr>
        <w:t>平方米，距离《大兴分区规划（国土空间规划）（</w:t>
      </w:r>
      <w:r>
        <w:rPr>
          <w:rFonts w:ascii="仿宋_GB2312" w:eastAsia="仿宋_GB2312"/>
          <w:color w:val="000000" w:themeColor="text1"/>
          <w:sz w:val="32"/>
          <w:szCs w:val="32"/>
          <w:highlight w:val="none"/>
          <w14:textFill>
            <w14:solidFill>
              <w14:schemeClr w14:val="tx1"/>
            </w14:solidFill>
          </w14:textFill>
        </w:rPr>
        <w:t>2017年-2035年）》提出的到2035年全区人均公共体育用地达到0.7平方米（保障系数1.2）差距较大。</w:t>
      </w:r>
    </w:p>
    <w:p>
      <w:pPr>
        <w:pStyle w:val="5"/>
        <w:pageBreakBefore w:val="0"/>
        <w:numPr>
          <w:ilvl w:val="0"/>
          <w:numId w:val="0"/>
        </w:numPr>
        <w:kinsoku/>
        <w:wordWrap/>
        <w:topLinePunct w:val="0"/>
        <w:autoSpaceDE/>
        <w:autoSpaceDN/>
        <w:bidi w:val="0"/>
        <w:spacing w:before="0" w:after="0" w:line="560" w:lineRule="exact"/>
        <w:ind w:left="640" w:firstLine="0" w:firstLineChars="0"/>
        <w:rPr>
          <w:rFonts w:ascii="楷体_GB2312" w:eastAsia="楷体_GB2312"/>
          <w:b w:val="0"/>
          <w:bCs w:val="0"/>
          <w:color w:val="000000" w:themeColor="text1"/>
          <w:highlight w:val="none"/>
          <w14:textFill>
            <w14:solidFill>
              <w14:schemeClr w14:val="tx1"/>
            </w14:solidFill>
          </w14:textFill>
        </w:rPr>
      </w:pPr>
      <w:bookmarkStart w:id="87" w:name="_Toc31317"/>
      <w:r>
        <w:rPr>
          <w:rFonts w:hint="eastAsia" w:ascii="楷体_GB2312" w:eastAsia="楷体_GB2312"/>
          <w:b w:val="0"/>
          <w:bCs w:val="0"/>
          <w:color w:val="000000" w:themeColor="text1"/>
          <w:highlight w:val="none"/>
          <w14:textFill>
            <w14:solidFill>
              <w14:schemeClr w14:val="tx1"/>
            </w14:solidFill>
          </w14:textFill>
        </w:rPr>
        <w:t>（四）健康环境</w:t>
      </w:r>
      <w:bookmarkEnd w:id="81"/>
      <w:bookmarkEnd w:id="82"/>
      <w:bookmarkEnd w:id="83"/>
      <w:bookmarkEnd w:id="84"/>
      <w:r>
        <w:rPr>
          <w:rFonts w:hint="eastAsia" w:ascii="楷体_GB2312" w:eastAsia="楷体_GB2312"/>
          <w:b w:val="0"/>
          <w:bCs w:val="0"/>
          <w:color w:val="000000" w:themeColor="text1"/>
          <w:highlight w:val="none"/>
          <w14:textFill>
            <w14:solidFill>
              <w14:schemeClr w14:val="tx1"/>
            </w14:solidFill>
          </w14:textFill>
        </w:rPr>
        <w:t>仍有提升空间</w:t>
      </w:r>
      <w:bookmarkEnd w:id="85"/>
      <w:bookmarkEnd w:id="86"/>
      <w:bookmarkEnd w:id="87"/>
    </w:p>
    <w:p>
      <w:pPr>
        <w:pStyle w:val="6"/>
        <w:pageBreakBefore w:val="0"/>
        <w:numPr>
          <w:ilvl w:val="255"/>
          <w:numId w:val="0"/>
        </w:numPr>
        <w:kinsoku/>
        <w:wordWrap/>
        <w:topLinePunct w:val="0"/>
        <w:autoSpaceDE/>
        <w:autoSpaceDN/>
        <w:bidi w:val="0"/>
        <w:spacing w:after="0"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bookmarkStart w:id="88" w:name="_Toc77843923"/>
      <w:bookmarkStart w:id="89" w:name="_Toc79160335"/>
      <w:r>
        <w:rPr>
          <w:rFonts w:hint="eastAsia" w:ascii="仿宋_GB2312" w:eastAsia="仿宋_GB2312"/>
          <w:color w:val="000000" w:themeColor="text1"/>
          <w:sz w:val="32"/>
          <w:szCs w:val="32"/>
          <w:highlight w:val="none"/>
          <w14:textFill>
            <w14:solidFill>
              <w14:schemeClr w14:val="tx1"/>
            </w14:solidFill>
          </w14:textFill>
        </w:rPr>
        <w:t>大气污染防治进入深水期，空气质量改善任重道远</w:t>
      </w:r>
      <w:bookmarkEnd w:id="88"/>
      <w:bookmarkEnd w:id="89"/>
      <w:r>
        <w:rPr>
          <w:rFonts w:hint="eastAsia" w:ascii="仿宋_GB2312" w:eastAsia="仿宋_GB2312"/>
          <w:color w:val="000000" w:themeColor="text1"/>
          <w:sz w:val="32"/>
          <w:szCs w:val="32"/>
          <w:highlight w:val="none"/>
          <w14:textFill>
            <w14:solidFill>
              <w14:schemeClr w14:val="tx1"/>
            </w14:solidFill>
          </w14:textFill>
        </w:rPr>
        <w:t>。大兴区空气质量显著改善，但距达到国家标准和人民期盼还有一定差距，大气污染防治形势依然严峻。</w:t>
      </w:r>
      <w:bookmarkStart w:id="90" w:name="_Toc79160336"/>
      <w:bookmarkStart w:id="91" w:name="_Toc77843924"/>
      <w:r>
        <w:rPr>
          <w:rFonts w:hint="eastAsia" w:ascii="仿宋_GB2312" w:eastAsia="仿宋_GB2312"/>
          <w:color w:val="000000" w:themeColor="text1"/>
          <w:sz w:val="32"/>
          <w:szCs w:val="32"/>
          <w:highlight w:val="none"/>
          <w14:textFill>
            <w14:solidFill>
              <w14:schemeClr w14:val="tx1"/>
            </w14:solidFill>
          </w14:textFill>
        </w:rPr>
        <w:t>生态保护工作</w:t>
      </w:r>
      <w:r>
        <w:rPr>
          <w:rFonts w:hint="eastAsia" w:ascii="仿宋_GB2312" w:eastAsia="仿宋_GB2312"/>
          <w:color w:val="000000" w:themeColor="text1"/>
          <w:sz w:val="32"/>
          <w:szCs w:val="32"/>
          <w:highlight w:val="none"/>
          <w:lang w:eastAsia="zh-CN"/>
          <w14:textFill>
            <w14:solidFill>
              <w14:schemeClr w14:val="tx1"/>
            </w14:solidFill>
          </w14:textFill>
        </w:rPr>
        <w:t>仍</w:t>
      </w:r>
      <w:r>
        <w:rPr>
          <w:rFonts w:hint="eastAsia" w:ascii="仿宋_GB2312" w:eastAsia="仿宋_GB2312"/>
          <w:color w:val="000000" w:themeColor="text1"/>
          <w:sz w:val="32"/>
          <w:szCs w:val="32"/>
          <w:highlight w:val="none"/>
          <w14:textFill>
            <w14:solidFill>
              <w14:schemeClr w14:val="tx1"/>
            </w14:solidFill>
          </w14:textFill>
        </w:rPr>
        <w:t>需加强，土壤污染防治</w:t>
      </w:r>
      <w:r>
        <w:rPr>
          <w:rFonts w:hint="eastAsia" w:ascii="仿宋_GB2312" w:eastAsia="仿宋_GB2312"/>
          <w:color w:val="000000" w:themeColor="text1"/>
          <w:sz w:val="32"/>
          <w:szCs w:val="32"/>
          <w:highlight w:val="none"/>
          <w:lang w:val="en-US" w:eastAsia="zh-CN"/>
          <w14:textFill>
            <w14:solidFill>
              <w14:schemeClr w14:val="tx1"/>
            </w14:solidFill>
          </w14:textFill>
        </w:rPr>
        <w:t>尚有难题需要突破，</w:t>
      </w:r>
      <w:r>
        <w:rPr>
          <w:rFonts w:hint="eastAsia" w:ascii="仿宋_GB2312" w:eastAsia="仿宋_GB2312"/>
          <w:color w:val="000000" w:themeColor="text1"/>
          <w:sz w:val="32"/>
          <w:szCs w:val="32"/>
          <w:highlight w:val="none"/>
          <w14:textFill>
            <w14:solidFill>
              <w14:schemeClr w14:val="tx1"/>
            </w14:solidFill>
          </w14:textFill>
        </w:rPr>
        <w:t>村镇水质未全部达标，水环境质量仍需持续改善</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整体</w:t>
      </w:r>
      <w:r>
        <w:rPr>
          <w:rFonts w:hint="eastAsia" w:ascii="仿宋_GB2312" w:eastAsia="仿宋_GB2312"/>
          <w:color w:val="000000" w:themeColor="text1"/>
          <w:sz w:val="32"/>
          <w:szCs w:val="32"/>
          <w:highlight w:val="none"/>
          <w14:textFill>
            <w14:solidFill>
              <w14:schemeClr w14:val="tx1"/>
            </w14:solidFill>
          </w14:textFill>
        </w:rPr>
        <w:t>生态品质有待</w:t>
      </w:r>
      <w:r>
        <w:rPr>
          <w:rFonts w:hint="eastAsia" w:ascii="仿宋_GB2312" w:eastAsia="仿宋_GB2312"/>
          <w:color w:val="000000" w:themeColor="text1"/>
          <w:sz w:val="32"/>
          <w:szCs w:val="32"/>
          <w:highlight w:val="none"/>
          <w:lang w:val="en-US" w:eastAsia="zh-CN"/>
          <w14:textFill>
            <w14:solidFill>
              <w14:schemeClr w14:val="tx1"/>
            </w14:solidFill>
          </w14:textFill>
        </w:rPr>
        <w:t>进一步</w:t>
      </w:r>
      <w:r>
        <w:rPr>
          <w:rFonts w:hint="eastAsia" w:ascii="仿宋_GB2312" w:eastAsia="仿宋_GB2312"/>
          <w:color w:val="000000" w:themeColor="text1"/>
          <w:sz w:val="32"/>
          <w:szCs w:val="32"/>
          <w:highlight w:val="none"/>
          <w14:textFill>
            <w14:solidFill>
              <w14:schemeClr w14:val="tx1"/>
            </w14:solidFill>
          </w14:textFill>
        </w:rPr>
        <w:t>提高。</w:t>
      </w:r>
      <w:bookmarkEnd w:id="90"/>
      <w:bookmarkEnd w:id="91"/>
      <w:bookmarkStart w:id="92" w:name="_Toc79160338"/>
      <w:bookmarkStart w:id="93" w:name="_Toc77843926"/>
      <w:r>
        <w:rPr>
          <w:rFonts w:hint="eastAsia" w:ascii="仿宋_GB2312" w:eastAsia="仿宋_GB2312"/>
          <w:color w:val="000000" w:themeColor="text1"/>
          <w:sz w:val="32"/>
          <w:szCs w:val="32"/>
          <w:highlight w:val="none"/>
          <w14:textFill>
            <w14:solidFill>
              <w14:schemeClr w14:val="tx1"/>
            </w14:solidFill>
          </w14:textFill>
        </w:rPr>
        <w:t>噪声功能区划亟需调整，管理机制有待完善</w:t>
      </w:r>
      <w:bookmarkEnd w:id="92"/>
      <w:bookmarkEnd w:id="93"/>
      <w:r>
        <w:rPr>
          <w:rFonts w:hint="eastAsia" w:ascii="仿宋_GB2312" w:eastAsia="仿宋_GB2312"/>
          <w:color w:val="000000" w:themeColor="text1"/>
          <w:sz w:val="32"/>
          <w:szCs w:val="32"/>
          <w:highlight w:val="none"/>
          <w14:textFill>
            <w14:solidFill>
              <w14:schemeClr w14:val="tx1"/>
            </w14:solidFill>
          </w14:textFill>
        </w:rPr>
        <w:t>。</w:t>
      </w:r>
    </w:p>
    <w:p>
      <w:pPr>
        <w:pStyle w:val="5"/>
        <w:pageBreakBefore w:val="0"/>
        <w:numPr>
          <w:ilvl w:val="255"/>
          <w:numId w:val="0"/>
        </w:numPr>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94" w:name="_Toc25042"/>
      <w:bookmarkStart w:id="95" w:name="_Toc22562"/>
      <w:bookmarkStart w:id="96" w:name="_Toc23150"/>
      <w:bookmarkStart w:id="97" w:name="_Toc7006"/>
      <w:bookmarkStart w:id="98" w:name="_Toc793"/>
      <w:bookmarkStart w:id="99" w:name="_Toc90318399"/>
      <w:r>
        <w:rPr>
          <w:rFonts w:hint="eastAsia" w:ascii="楷体_GB2312" w:eastAsia="楷体_GB2312"/>
          <w:b w:val="0"/>
          <w:bCs w:val="0"/>
          <w:color w:val="000000" w:themeColor="text1"/>
          <w:highlight w:val="none"/>
          <w14:textFill>
            <w14:solidFill>
              <w14:schemeClr w14:val="tx1"/>
            </w14:solidFill>
          </w14:textFill>
        </w:rPr>
        <w:t>（五）居民健康素养整体水平仍有待提高</w:t>
      </w:r>
      <w:bookmarkEnd w:id="94"/>
      <w:bookmarkEnd w:id="95"/>
      <w:bookmarkEnd w:id="96"/>
      <w:bookmarkEnd w:id="97"/>
      <w:bookmarkEnd w:id="98"/>
      <w:bookmarkEnd w:id="99"/>
    </w:p>
    <w:p>
      <w:pPr>
        <w:pStyle w:val="6"/>
        <w:pageBreakBefore w:val="0"/>
        <w:numPr>
          <w:ilvl w:val="255"/>
          <w:numId w:val="0"/>
        </w:numPr>
        <w:kinsoku/>
        <w:wordWrap/>
        <w:topLinePunct w:val="0"/>
        <w:autoSpaceDE/>
        <w:autoSpaceDN/>
        <w:bidi w:val="0"/>
        <w:spacing w:after="0"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居民健康素养水平决定于居民健康知识、健康技能、健康行为的总体水平，与疾病防控息息相关。大兴区2020年城乡居民健康素养水平为36.6%，与《“健康北京2030”规划纲要》目标还有一定差距。居民健康素养水平直接影响预防保健行为的落实，15岁以上人群吸烟率较高，学生肥胖检出率居全市较高水平，高血压患者规范管理率、糖尿病患者规范管理率距离北京市平均水平还有一定差距。居民健康素养的提高是“健康大兴”的重要反映，需各部门齐抓共管，“十四五”时期应重点落实相关科普教育，帮助农村居民、学生等重点人群养成健康生活习惯，进一步提升健康素养水平。</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100" w:name="_Toc9262"/>
      <w:bookmarkStart w:id="101" w:name="_Toc90318400"/>
      <w:bookmarkStart w:id="102" w:name="_Toc8536"/>
      <w:r>
        <w:rPr>
          <w:rFonts w:hint="eastAsia" w:ascii="楷体_GB2312" w:eastAsia="楷体_GB2312"/>
          <w:b w:val="0"/>
          <w:bCs w:val="0"/>
          <w:color w:val="000000" w:themeColor="text1"/>
          <w:highlight w:val="none"/>
          <w14:textFill>
            <w14:solidFill>
              <w14:schemeClr w14:val="tx1"/>
            </w14:solidFill>
          </w14:textFill>
        </w:rPr>
        <w:t>（六）卫生人才不足制约事业发展</w:t>
      </w:r>
      <w:bookmarkEnd w:id="100"/>
      <w:bookmarkEnd w:id="101"/>
      <w:bookmarkEnd w:id="102"/>
    </w:p>
    <w:p>
      <w:pPr>
        <w:pStyle w:val="2"/>
        <w:pageBreakBefore w:val="0"/>
        <w:numPr>
          <w:ilvl w:val="255"/>
          <w:numId w:val="0"/>
        </w:numPr>
        <w:kinsoku/>
        <w:wordWrap/>
        <w:topLinePunct w:val="0"/>
        <w:autoSpaceDE/>
        <w:autoSpaceDN/>
        <w:bidi w:val="0"/>
        <w:spacing w:after="0"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“十三五”期间，大兴区医疗卫生技术人员数量虽持续上升，但与人口增长还存在不适应，医疗卫生人员总量不足情况</w:t>
      </w:r>
      <w:r>
        <w:rPr>
          <w:rFonts w:ascii="仿宋_GB2312" w:eastAsia="仿宋_GB2312"/>
          <w:color w:val="000000" w:themeColor="text1"/>
          <w:sz w:val="32"/>
          <w:szCs w:val="32"/>
          <w:highlight w:val="none"/>
          <w14:textFill>
            <w14:solidFill>
              <w14:schemeClr w14:val="tx1"/>
            </w14:solidFill>
          </w14:textFill>
        </w:rPr>
        <w:t>依然</w:t>
      </w:r>
      <w:r>
        <w:rPr>
          <w:rFonts w:hint="eastAsia" w:ascii="仿宋_GB2312" w:eastAsia="仿宋_GB2312"/>
          <w:color w:val="000000" w:themeColor="text1"/>
          <w:sz w:val="32"/>
          <w:szCs w:val="32"/>
          <w:highlight w:val="none"/>
          <w14:textFill>
            <w14:solidFill>
              <w14:schemeClr w14:val="tx1"/>
            </w14:solidFill>
          </w14:textFill>
        </w:rPr>
        <w:t>严峻</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截止</w:t>
      </w:r>
      <w:r>
        <w:rPr>
          <w:rFonts w:ascii="仿宋_GB2312" w:eastAsia="仿宋_GB2312"/>
          <w:color w:val="000000" w:themeColor="text1"/>
          <w:sz w:val="32"/>
          <w:szCs w:val="32"/>
          <w:highlight w:val="none"/>
          <w14:textFill>
            <w14:solidFill>
              <w14:schemeClr w14:val="tx1"/>
            </w14:solidFill>
          </w14:textFill>
        </w:rPr>
        <w:t>2020</w:t>
      </w:r>
      <w:r>
        <w:rPr>
          <w:rFonts w:hint="eastAsia" w:ascii="仿宋_GB2312" w:eastAsia="仿宋_GB2312"/>
          <w:color w:val="000000" w:themeColor="text1"/>
          <w:sz w:val="32"/>
          <w:szCs w:val="32"/>
          <w:highlight w:val="none"/>
          <w14:textFill>
            <w14:solidFill>
              <w14:schemeClr w14:val="tx1"/>
            </w14:solidFill>
          </w14:textFill>
        </w:rPr>
        <w:t>年，全区卫生技术人员</w:t>
      </w:r>
      <w:r>
        <w:rPr>
          <w:rFonts w:ascii="仿宋_GB2312" w:eastAsia="仿宋_GB2312"/>
          <w:color w:val="000000" w:themeColor="text1"/>
          <w:sz w:val="32"/>
          <w:szCs w:val="32"/>
          <w:highlight w:val="none"/>
          <w14:textFill>
            <w14:solidFill>
              <w14:schemeClr w14:val="tx1"/>
            </w14:solidFill>
          </w14:textFill>
        </w:rPr>
        <w:t>13705</w:t>
      </w:r>
      <w:r>
        <w:rPr>
          <w:rFonts w:hint="eastAsia" w:ascii="仿宋_GB2312" w:eastAsia="仿宋_GB2312"/>
          <w:color w:val="000000" w:themeColor="text1"/>
          <w:sz w:val="32"/>
          <w:szCs w:val="32"/>
          <w:highlight w:val="none"/>
          <w14:textFill>
            <w14:solidFill>
              <w14:schemeClr w14:val="tx1"/>
            </w14:solidFill>
          </w14:textFill>
        </w:rPr>
        <w:t>人，其中执业（助理）医师</w:t>
      </w:r>
      <w:r>
        <w:rPr>
          <w:rFonts w:ascii="仿宋_GB2312" w:eastAsia="仿宋_GB2312"/>
          <w:color w:val="000000" w:themeColor="text1"/>
          <w:sz w:val="32"/>
          <w:szCs w:val="32"/>
          <w:highlight w:val="none"/>
          <w14:textFill>
            <w14:solidFill>
              <w14:schemeClr w14:val="tx1"/>
            </w14:solidFill>
          </w14:textFill>
        </w:rPr>
        <w:t>5155</w:t>
      </w:r>
      <w:r>
        <w:rPr>
          <w:rFonts w:hint="eastAsia" w:ascii="仿宋_GB2312" w:eastAsia="仿宋_GB2312"/>
          <w:color w:val="000000" w:themeColor="text1"/>
          <w:sz w:val="32"/>
          <w:szCs w:val="32"/>
          <w:highlight w:val="none"/>
          <w14:textFill>
            <w14:solidFill>
              <w14:schemeClr w14:val="tx1"/>
            </w14:solidFill>
          </w14:textFill>
        </w:rPr>
        <w:t>人、注册护士</w:t>
      </w:r>
      <w:r>
        <w:rPr>
          <w:rFonts w:ascii="仿宋_GB2312" w:eastAsia="仿宋_GB2312"/>
          <w:color w:val="000000" w:themeColor="text1"/>
          <w:sz w:val="32"/>
          <w:szCs w:val="32"/>
          <w:highlight w:val="none"/>
          <w14:textFill>
            <w14:solidFill>
              <w14:schemeClr w14:val="tx1"/>
            </w14:solidFill>
          </w14:textFill>
        </w:rPr>
        <w:t>5524</w:t>
      </w:r>
      <w:r>
        <w:rPr>
          <w:rFonts w:hint="eastAsia" w:ascii="仿宋_GB2312" w:eastAsia="仿宋_GB2312"/>
          <w:color w:val="000000" w:themeColor="text1"/>
          <w:sz w:val="32"/>
          <w:szCs w:val="32"/>
          <w:highlight w:val="none"/>
          <w14:textFill>
            <w14:solidFill>
              <w14:schemeClr w14:val="tx1"/>
            </w14:solidFill>
          </w14:textFill>
        </w:rPr>
        <w:t>人，注册为全科医生的人员</w:t>
      </w:r>
      <w:r>
        <w:rPr>
          <w:rFonts w:ascii="仿宋_GB2312" w:eastAsia="仿宋_GB2312"/>
          <w:color w:val="000000" w:themeColor="text1"/>
          <w:sz w:val="32"/>
          <w:szCs w:val="32"/>
          <w:highlight w:val="none"/>
          <w14:textFill>
            <w14:solidFill>
              <w14:schemeClr w14:val="tx1"/>
            </w14:solidFill>
          </w14:textFill>
        </w:rPr>
        <w:t>466</w:t>
      </w:r>
      <w:r>
        <w:rPr>
          <w:rFonts w:hint="eastAsia" w:ascii="仿宋_GB2312" w:eastAsia="仿宋_GB2312"/>
          <w:color w:val="000000" w:themeColor="text1"/>
          <w:sz w:val="32"/>
          <w:szCs w:val="32"/>
          <w:highlight w:val="none"/>
          <w14:textFill>
            <w14:solidFill>
              <w14:schemeClr w14:val="tx1"/>
            </w14:solidFill>
          </w14:textFill>
        </w:rPr>
        <w:t>人。</w:t>
      </w: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个专业公共卫生机构中，卫生技术人员只有</w:t>
      </w:r>
      <w:r>
        <w:rPr>
          <w:rFonts w:ascii="仿宋_GB2312" w:eastAsia="仿宋_GB2312"/>
          <w:color w:val="000000" w:themeColor="text1"/>
          <w:sz w:val="32"/>
          <w:szCs w:val="32"/>
          <w:highlight w:val="none"/>
          <w14:textFill>
            <w14:solidFill>
              <w14:schemeClr w14:val="tx1"/>
            </w14:solidFill>
          </w14:textFill>
        </w:rPr>
        <w:t>538</w:t>
      </w:r>
      <w:r>
        <w:rPr>
          <w:rFonts w:hint="eastAsia" w:ascii="仿宋_GB2312" w:eastAsia="仿宋_GB2312"/>
          <w:color w:val="000000" w:themeColor="text1"/>
          <w:sz w:val="32"/>
          <w:szCs w:val="32"/>
          <w:highlight w:val="none"/>
          <w14:textFill>
            <w14:solidFill>
              <w14:schemeClr w14:val="tx1"/>
            </w14:solidFill>
          </w14:textFill>
        </w:rPr>
        <w:t>人，从事社区卫生服务机构专职防保</w:t>
      </w:r>
      <w:r>
        <w:rPr>
          <w:rFonts w:hint="eastAsia" w:ascii="仿宋_GB2312" w:eastAsia="仿宋_GB2312"/>
          <w:color w:val="000000" w:themeColor="text1"/>
          <w:sz w:val="32"/>
          <w:szCs w:val="32"/>
          <w:highlight w:val="none"/>
          <w:lang w:val="en-US" w:eastAsia="zh-CN"/>
          <w14:textFill>
            <w14:solidFill>
              <w14:schemeClr w14:val="tx1"/>
            </w14:solidFill>
          </w14:textFill>
        </w:rPr>
        <w:t>的工作</w:t>
      </w:r>
      <w:r>
        <w:rPr>
          <w:rFonts w:hint="eastAsia" w:ascii="仿宋_GB2312" w:eastAsia="仿宋_GB2312"/>
          <w:color w:val="000000" w:themeColor="text1"/>
          <w:sz w:val="32"/>
          <w:szCs w:val="32"/>
          <w:highlight w:val="none"/>
          <w14:textFill>
            <w14:solidFill>
              <w14:schemeClr w14:val="tx1"/>
            </w14:solidFill>
          </w14:textFill>
        </w:rPr>
        <w:t>人员更少。随着人口老龄化进程，老年、康复、护理服务人员储备相对不足。大兴区医疗卫生人员与北京市平均水平仍有较大差距。</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103" w:name="_Toc90318401"/>
      <w:bookmarkStart w:id="104" w:name="_Toc11805"/>
      <w:bookmarkStart w:id="105" w:name="_Toc14315"/>
      <w:r>
        <w:rPr>
          <w:rFonts w:hint="eastAsia" w:ascii="楷体_GB2312" w:eastAsia="楷体_GB2312"/>
          <w:b w:val="0"/>
          <w:bCs w:val="0"/>
          <w:color w:val="000000" w:themeColor="text1"/>
          <w:highlight w:val="none"/>
          <w14:textFill>
            <w14:solidFill>
              <w14:schemeClr w14:val="tx1"/>
            </w14:solidFill>
          </w14:textFill>
        </w:rPr>
        <w:t>（七）各机构信息化建设发展不平衡</w:t>
      </w:r>
      <w:bookmarkEnd w:id="103"/>
      <w:bookmarkEnd w:id="104"/>
      <w:bookmarkEnd w:id="105"/>
    </w:p>
    <w:p>
      <w:pPr>
        <w:pageBreakBefore w:val="0"/>
        <w:numPr>
          <w:ilvl w:val="255"/>
          <w:numId w:val="0"/>
        </w:numPr>
        <w:kinsoku/>
        <w:wordWrap/>
        <w:topLinePunct w:val="0"/>
        <w:autoSpaceDE/>
        <w:autoSpaceDN/>
        <w:bidi w:val="0"/>
        <w:adjustRightInd w:val="0"/>
        <w:snapToGrid w:val="0"/>
        <w:spacing w:after="0" w:line="56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十三五”期间，大兴区鼓励、指导和推动全民健康信息化建设，在服务医疗与卫生工作上取得一定效果，但二、三级医疗机构卫生信息化建设水平仍参差不齐，基层医疗机构信息化建设起步晚，医疗服务与人工智能、5G网络等新技术融合较少，总体信息化建设程度与实际需求间存在一定差距。</w:t>
      </w:r>
      <w:r>
        <w:rPr>
          <w:rFonts w:hint="eastAsia" w:ascii="仿宋_GB2312" w:hAnsi="仿宋_GB2312" w:eastAsia="仿宋_GB2312" w:cs="仿宋_GB2312"/>
          <w:color w:val="000000" w:themeColor="text1"/>
          <w:sz w:val="32"/>
          <w:szCs w:val="32"/>
          <w:highlight w:val="none"/>
          <w14:textFill>
            <w14:solidFill>
              <w14:schemeClr w14:val="tx1"/>
            </w14:solidFill>
          </w14:textFill>
        </w:rPr>
        <w:t>在医疗机构健康服务方面，二、三级医疗机构、基层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医疗</w:t>
      </w:r>
      <w:r>
        <w:rPr>
          <w:rFonts w:hint="eastAsia" w:ascii="仿宋_GB2312" w:hAnsi="仿宋_GB2312" w:eastAsia="仿宋_GB2312" w:cs="仿宋_GB2312"/>
          <w:color w:val="000000" w:themeColor="text1"/>
          <w:sz w:val="32"/>
          <w:szCs w:val="32"/>
          <w:highlight w:val="none"/>
          <w14:textFill>
            <w14:solidFill>
              <w14:schemeClr w14:val="tx1"/>
            </w14:solidFill>
          </w14:textFill>
        </w:rPr>
        <w:t>机构信息化建设支撑基层分级诊疗的能力有待提升。在服务健康发展方面，医疗健康大数据的价值有待进一步挖掘。</w:t>
      </w:r>
      <w:r>
        <w:rPr>
          <w:rFonts w:hint="eastAsia" w:ascii="仿宋_GB2312" w:eastAsia="仿宋_GB2312"/>
          <w:color w:val="000000" w:themeColor="text1"/>
          <w:sz w:val="32"/>
          <w:szCs w:val="32"/>
          <w:highlight w:val="none"/>
          <w14:textFill>
            <w14:solidFill>
              <w14:schemeClr w14:val="tx1"/>
            </w14:solidFill>
          </w14:textFill>
        </w:rPr>
        <w:t>与国家、北京市独立建设的信息系统，存在信息烟囱和孤岛现象，</w:t>
      </w:r>
      <w:r>
        <w:rPr>
          <w:rFonts w:hint="eastAsia" w:ascii="仿宋_GB2312" w:eastAsia="仿宋_GB2312"/>
          <w:color w:val="000000" w:themeColor="text1"/>
          <w:sz w:val="32"/>
          <w:szCs w:val="32"/>
          <w:highlight w:val="none"/>
          <w:lang w:val="en-US" w:eastAsia="zh-CN"/>
          <w14:textFill>
            <w14:solidFill>
              <w14:schemeClr w14:val="tx1"/>
            </w14:solidFill>
          </w14:textFill>
        </w:rPr>
        <w:t>在</w:t>
      </w:r>
      <w:r>
        <w:rPr>
          <w:rFonts w:hint="eastAsia" w:ascii="仿宋_GB2312" w:eastAsia="仿宋_GB2312"/>
          <w:color w:val="000000" w:themeColor="text1"/>
          <w:sz w:val="32"/>
          <w:szCs w:val="32"/>
          <w:highlight w:val="none"/>
          <w14:textFill>
            <w14:solidFill>
              <w14:schemeClr w14:val="tx1"/>
            </w14:solidFill>
          </w14:textFill>
        </w:rPr>
        <w:t>新冠疫情防控</w:t>
      </w:r>
      <w:r>
        <w:rPr>
          <w:rFonts w:hint="eastAsia" w:ascii="仿宋_GB2312" w:eastAsia="仿宋_GB2312"/>
          <w:color w:val="000000" w:themeColor="text1"/>
          <w:sz w:val="32"/>
          <w:szCs w:val="32"/>
          <w:highlight w:val="none"/>
          <w:lang w:val="en-US" w:eastAsia="zh-CN"/>
          <w14:textFill>
            <w14:solidFill>
              <w14:schemeClr w14:val="tx1"/>
            </w14:solidFill>
          </w14:textFill>
        </w:rPr>
        <w:t>中</w:t>
      </w:r>
      <w:r>
        <w:rPr>
          <w:rFonts w:hint="eastAsia" w:ascii="仿宋_GB2312" w:eastAsia="仿宋_GB2312"/>
          <w:color w:val="000000" w:themeColor="text1"/>
          <w:sz w:val="32"/>
          <w:szCs w:val="32"/>
          <w:highlight w:val="none"/>
          <w14:textFill>
            <w14:solidFill>
              <w14:schemeClr w14:val="tx1"/>
            </w14:solidFill>
          </w14:textFill>
        </w:rPr>
        <w:t>亦暴露出信息系统建设不完善、疫情信息共享不充分等问题。“十四五”时期，应着力补齐公共卫生信息化建设滞后的短板，着手从条线管理向区域卫生信息化一盘棋的管理方向转变。</w:t>
      </w:r>
    </w:p>
    <w:p>
      <w:pPr>
        <w:pStyle w:val="4"/>
        <w:keepNext w:val="0"/>
        <w:keepLines w:val="0"/>
        <w:pageBreakBefore w:val="0"/>
        <w:kinsoku/>
        <w:wordWrap/>
        <w:topLinePunct w:val="0"/>
        <w:autoSpaceDE/>
        <w:autoSpaceDN/>
        <w:bidi w:val="0"/>
        <w:spacing w:before="0" w:after="0" w:line="560" w:lineRule="exact"/>
        <w:ind w:firstLine="640" w:firstLineChars="200"/>
        <w:rPr>
          <w:b w:val="0"/>
          <w:color w:val="000000" w:themeColor="text1"/>
          <w:highlight w:val="none"/>
          <w14:textFill>
            <w14:solidFill>
              <w14:schemeClr w14:val="tx1"/>
            </w14:solidFill>
          </w14:textFill>
        </w:rPr>
      </w:pPr>
      <w:bookmarkStart w:id="106" w:name="_Toc784"/>
      <w:bookmarkStart w:id="107" w:name="_Toc10460"/>
      <w:bookmarkStart w:id="108" w:name="_Toc2014"/>
      <w:bookmarkStart w:id="109" w:name="_Toc32065"/>
      <w:bookmarkStart w:id="110" w:name="_Toc90318402"/>
      <w:bookmarkStart w:id="111" w:name="_Toc24922"/>
      <w:bookmarkStart w:id="112" w:name="_Toc10957"/>
      <w:r>
        <w:rPr>
          <w:rFonts w:hint="eastAsia"/>
          <w:b w:val="0"/>
          <w:color w:val="000000" w:themeColor="text1"/>
          <w:highlight w:val="none"/>
          <w14:textFill>
            <w14:solidFill>
              <w14:schemeClr w14:val="tx1"/>
            </w14:solidFill>
          </w14:textFill>
        </w:rPr>
        <w:t>三、“十四五”时期的机遇与挑战</w:t>
      </w:r>
      <w:bookmarkEnd w:id="106"/>
      <w:bookmarkEnd w:id="107"/>
      <w:bookmarkEnd w:id="108"/>
      <w:bookmarkEnd w:id="109"/>
      <w:bookmarkEnd w:id="110"/>
      <w:bookmarkEnd w:id="111"/>
      <w:bookmarkEnd w:id="112"/>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113" w:name="_Toc90318403"/>
      <w:bookmarkStart w:id="114" w:name="_Toc30988"/>
      <w:bookmarkStart w:id="115" w:name="_Toc29260"/>
      <w:bookmarkStart w:id="116" w:name="_Toc30521"/>
      <w:bookmarkStart w:id="117" w:name="_Toc18040"/>
      <w:bookmarkStart w:id="118" w:name="_Toc30067"/>
      <w:bookmarkStart w:id="119" w:name="_Toc5644"/>
      <w:bookmarkStart w:id="120" w:name="_Toc445299509"/>
      <w:r>
        <w:rPr>
          <w:rFonts w:hint="eastAsia" w:ascii="楷体_GB2312" w:eastAsia="楷体_GB2312"/>
          <w:b w:val="0"/>
          <w:bCs w:val="0"/>
          <w:color w:val="000000" w:themeColor="text1"/>
          <w:highlight w:val="none"/>
          <w14:textFill>
            <w14:solidFill>
              <w14:schemeClr w14:val="tx1"/>
            </w14:solidFill>
          </w14:textFill>
        </w:rPr>
        <w:t>（一）“健康中国、健康北京”战略为全力推进“健康大兴”建设提供新机遇</w:t>
      </w:r>
      <w:bookmarkEnd w:id="113"/>
      <w:bookmarkEnd w:id="114"/>
      <w:bookmarkEnd w:id="115"/>
      <w:bookmarkEnd w:id="116"/>
      <w:bookmarkEnd w:id="117"/>
      <w:bookmarkEnd w:id="118"/>
      <w:bookmarkEnd w:id="119"/>
    </w:p>
    <w:p>
      <w:pPr>
        <w:pageBreakBefore w:val="0"/>
        <w:kinsoku/>
        <w:wordWrap/>
        <w:topLinePunct w:val="0"/>
        <w:autoSpaceDE/>
        <w:autoSpaceDN/>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十八大以来，人民群众对卫生健康需求不断提高，以习近平同志为核心的党中央高度重视，明确提出“没有全民健康，就没有全面小康”的重大论断，召开新中国第一次“全国卫生与健康大会”，提出新时代党的卫生与健康工作方针</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将医疗卫生工作内涵拓展为卫生与健康工作，从过去的医疗卫生系统性工作拓展为党和国家的全局性工作，描绘了从传统的构建医疗卫生服务体系迈向构建卫生健康服务体系的新蓝图。《“健康北京2030”规划纲要》明确提出“健康优先”的发展战略。大兴区的卫生健康工作要牢固树立大健康发展理念，以全民健康为目标，全力推进“健康大兴”建设。</w:t>
      </w:r>
    </w:p>
    <w:bookmarkEnd w:id="120"/>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color w:val="000000" w:themeColor="text1"/>
          <w:highlight w:val="none"/>
          <w14:textFill>
            <w14:solidFill>
              <w14:schemeClr w14:val="tx1"/>
            </w14:solidFill>
          </w14:textFill>
        </w:rPr>
      </w:pPr>
      <w:bookmarkStart w:id="121" w:name="_Toc445299512"/>
      <w:bookmarkStart w:id="122" w:name="_Toc20427"/>
      <w:bookmarkStart w:id="123" w:name="_Toc90318404"/>
      <w:bookmarkStart w:id="124" w:name="_Toc2841"/>
      <w:bookmarkStart w:id="125" w:name="_Toc21677"/>
      <w:bookmarkStart w:id="126" w:name="_Toc6803"/>
      <w:bookmarkStart w:id="127" w:name="_Toc24148"/>
      <w:bookmarkStart w:id="128" w:name="_Toc15617"/>
      <w:r>
        <w:rPr>
          <w:rFonts w:hint="eastAsia" w:ascii="楷体_GB2312" w:eastAsia="楷体_GB2312"/>
          <w:b w:val="0"/>
          <w:bCs w:val="0"/>
          <w:color w:val="000000" w:themeColor="text1"/>
          <w:highlight w:val="none"/>
          <w14:textFill>
            <w14:solidFill>
              <w14:schemeClr w14:val="tx1"/>
            </w14:solidFill>
          </w14:textFill>
        </w:rPr>
        <w:t>（二）城市总体规划、首都城市战略功能定位、京津冀协同发展对“健康大兴”建设</w:t>
      </w:r>
      <w:bookmarkEnd w:id="121"/>
      <w:r>
        <w:rPr>
          <w:rFonts w:hint="eastAsia" w:ascii="楷体_GB2312" w:eastAsia="楷体_GB2312"/>
          <w:b w:val="0"/>
          <w:bCs w:val="0"/>
          <w:color w:val="000000" w:themeColor="text1"/>
          <w:highlight w:val="none"/>
          <w14:textFill>
            <w14:solidFill>
              <w14:schemeClr w14:val="tx1"/>
            </w14:solidFill>
          </w14:textFill>
        </w:rPr>
        <w:t>提出新要求</w:t>
      </w:r>
      <w:bookmarkEnd w:id="122"/>
      <w:bookmarkEnd w:id="123"/>
      <w:bookmarkEnd w:id="124"/>
      <w:bookmarkEnd w:id="125"/>
      <w:bookmarkEnd w:id="126"/>
      <w:bookmarkEnd w:id="127"/>
      <w:bookmarkEnd w:id="128"/>
    </w:p>
    <w:p>
      <w:pPr>
        <w:pageBreakBefore w:val="0"/>
        <w:kinsoku/>
        <w:wordWrap/>
        <w:topLinePunct w:val="0"/>
        <w:autoSpaceDE/>
        <w:autoSpaceDN/>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bookmarkStart w:id="129" w:name="_Toc445299513"/>
      <w:r>
        <w:rPr>
          <w:rFonts w:hint="eastAsia" w:ascii="仿宋_GB2312" w:hAnsi="仿宋_GB2312" w:eastAsia="仿宋_GB2312" w:cs="仿宋_GB2312"/>
          <w:color w:val="000000" w:themeColor="text1"/>
          <w:sz w:val="32"/>
          <w:szCs w:val="32"/>
          <w:highlight w:val="none"/>
          <w14:textFill>
            <w14:solidFill>
              <w14:schemeClr w14:val="tx1"/>
            </w14:solidFill>
          </w14:textFill>
        </w:rPr>
        <w:t>《北京城市总体规划（2016年—2035年）》明确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highlight w:val="none"/>
          <w14:textFill>
            <w14:solidFill>
              <w14:schemeClr w14:val="tx1"/>
            </w14:solidFill>
          </w14:textFill>
        </w:rPr>
        <w:t>北京未来战略定位，提出“一核一主一副、两轴多点一区”的城市空间架构。大兴区作为“多点”的组成部分，是首都面向区域协同发展的重要战略门户，也是承接中心城区适宜功能和人口疏解、推进京津冀协同发展的重要地区，对于保障首都可持续发展具有重要意义。《大兴分区规划（国土空间规划）（2017年—2035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明确了大兴区“面向京津冀的协同发展示范区、科技创新引领区、首都国际交往新门户、城乡发展深化改革先行区”（简称“三区一门户”）的战略功能定位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健康大兴建设规划要与首都定位、大兴区发展规划相适应，对标先进一流，持续完善卫生健康服务体系，做好人民群众健康和区域经济社会发展保障服务，带动大兴区体育硬件的升级，提高体育发展软实力，全面推进“健康大兴”建设，守好首都南大门，努力塑造新国门，实现人民群众健康梦。</w:t>
      </w:r>
    </w:p>
    <w:bookmarkEnd w:id="129"/>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130" w:name="_Toc5526"/>
      <w:bookmarkStart w:id="131" w:name="_Toc3217"/>
      <w:bookmarkStart w:id="132" w:name="_Toc90318405"/>
      <w:bookmarkStart w:id="133" w:name="_Toc2789"/>
      <w:bookmarkStart w:id="134" w:name="_Toc22239"/>
      <w:bookmarkStart w:id="135" w:name="_Toc13116"/>
      <w:bookmarkStart w:id="136" w:name="_Toc7882"/>
      <w:r>
        <w:rPr>
          <w:rFonts w:hint="eastAsia" w:ascii="楷体_GB2312" w:eastAsia="楷体_GB2312"/>
          <w:b w:val="0"/>
          <w:bCs w:val="0"/>
          <w:color w:val="000000" w:themeColor="text1"/>
          <w:highlight w:val="none"/>
          <w14:textFill>
            <w14:solidFill>
              <w14:schemeClr w14:val="tx1"/>
            </w14:solidFill>
          </w14:textFill>
        </w:rPr>
        <w:t>（三）大兴区社会经济与医疗服务高质量发展对“健康大兴”建设提出新期望</w:t>
      </w:r>
      <w:bookmarkEnd w:id="130"/>
      <w:bookmarkEnd w:id="131"/>
      <w:bookmarkEnd w:id="132"/>
      <w:bookmarkEnd w:id="133"/>
      <w:bookmarkEnd w:id="134"/>
      <w:bookmarkEnd w:id="135"/>
      <w:bookmarkEnd w:id="136"/>
    </w:p>
    <w:p>
      <w:pPr>
        <w:pageBreakBefore w:val="0"/>
        <w:kinsoku/>
        <w:wordWrap/>
        <w:topLinePunct w:val="0"/>
        <w:autoSpaceDE/>
        <w:autoSpaceDN/>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十三五”期间，大兴区正确把握新时期首都城市战略定位，积极推进京津冀协同发展，有序疏解非首都功能，加快培育“高精尖”经济结构，大力统筹稳增长、促改革、调结构、惠民生、防风险等各项工作，经济社会保持了平稳健康发展</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未来“十四五”期间，大兴区卫生健康事业发展</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应持续关注</w:t>
      </w:r>
      <w:r>
        <w:rPr>
          <w:rFonts w:hint="eastAsia" w:ascii="仿宋_GB2312" w:hAnsi="宋体" w:eastAsia="仿宋_GB2312"/>
          <w:color w:val="000000" w:themeColor="text1"/>
          <w:sz w:val="32"/>
          <w:szCs w:val="32"/>
          <w:highlight w:val="none"/>
          <w14:textFill>
            <w14:solidFill>
              <w14:schemeClr w14:val="tx1"/>
            </w14:solidFill>
          </w14:textFill>
        </w:rPr>
        <w:t>健康服务体系的短板，</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不断提高现有服务水平，满足居民对健康服务的更高需求</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进一步</w:t>
      </w:r>
      <w:r>
        <w:rPr>
          <w:rFonts w:hint="eastAsia" w:ascii="仿宋_GB2312" w:hAnsi="宋体" w:eastAsia="仿宋_GB2312"/>
          <w:color w:val="000000" w:themeColor="text1"/>
          <w:sz w:val="32"/>
          <w:szCs w:val="32"/>
          <w:highlight w:val="none"/>
          <w14:textFill>
            <w14:solidFill>
              <w14:schemeClr w14:val="tx1"/>
            </w14:solidFill>
          </w14:textFill>
        </w:rPr>
        <w:t>提升人才吸引和聚集效率，深入实施创新驱动战略，关注新一代信息技术与“新基建”、生物医学、生命科学及信息科学新发展带来的机遇与挑战，激发科技人才创新的积极性，加快科技成果转化应用。</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137" w:name="_Toc30072"/>
      <w:bookmarkStart w:id="138" w:name="_Toc16236"/>
      <w:bookmarkStart w:id="139" w:name="_Toc20200"/>
      <w:bookmarkStart w:id="140" w:name="_Toc32273"/>
      <w:bookmarkStart w:id="141" w:name="_Toc32185"/>
      <w:bookmarkStart w:id="142" w:name="_Toc90318406"/>
      <w:bookmarkStart w:id="143" w:name="_Toc8896"/>
      <w:r>
        <w:rPr>
          <w:rFonts w:hint="eastAsia" w:ascii="楷体_GB2312" w:eastAsia="楷体_GB2312"/>
          <w:b w:val="0"/>
          <w:bCs w:val="0"/>
          <w:color w:val="000000" w:themeColor="text1"/>
          <w:highlight w:val="none"/>
          <w14:textFill>
            <w14:solidFill>
              <w14:schemeClr w14:val="tx1"/>
            </w14:solidFill>
          </w14:textFill>
        </w:rPr>
        <w:t>（四）深入理解新冠肺炎疫情对卫生健康领域产生的新风险</w:t>
      </w:r>
      <w:bookmarkEnd w:id="137"/>
      <w:bookmarkEnd w:id="138"/>
      <w:bookmarkEnd w:id="139"/>
      <w:bookmarkEnd w:id="140"/>
      <w:bookmarkEnd w:id="141"/>
      <w:bookmarkEnd w:id="142"/>
      <w:bookmarkEnd w:id="143"/>
    </w:p>
    <w:p>
      <w:pPr>
        <w:pageBreakBefore w:val="0"/>
        <w:kinsoku/>
        <w:wordWrap/>
        <w:topLinePunct w:val="0"/>
        <w:autoSpaceDE/>
        <w:autoSpaceDN/>
        <w:bidi w:val="0"/>
        <w:spacing w:line="56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bCs/>
          <w:color w:val="000000" w:themeColor="text1"/>
          <w:sz w:val="32"/>
          <w:szCs w:val="32"/>
          <w:highlight w:val="none"/>
          <w14:textFill>
            <w14:solidFill>
              <w14:schemeClr w14:val="tx1"/>
            </w14:solidFill>
          </w14:textFill>
        </w:rPr>
        <w:t>传统传染病（如结核病、鼠疫等）尚未消除，新发突发传染病（中东呼吸综合征、埃博拉出血热、新冠肺炎等）不断涌现，随着北京大兴国际机场投入运行，输入性传染病风险持续加大，均给疾病防控能力建设带来挑战。大兴区疾病防控能力建设仍需加强，要适</w:t>
      </w:r>
      <w:r>
        <w:rPr>
          <w:rFonts w:hint="eastAsia" w:ascii="仿宋_GB2312" w:hAnsi="仿宋_GB2312" w:eastAsia="仿宋_GB2312" w:cs="仿宋_GB2312"/>
          <w:color w:val="000000" w:themeColor="text1"/>
          <w:sz w:val="32"/>
          <w:szCs w:val="32"/>
          <w:highlight w:val="none"/>
          <w14:textFill>
            <w14:solidFill>
              <w14:schemeClr w14:val="tx1"/>
            </w14:solidFill>
          </w14:textFill>
        </w:rPr>
        <w:t>应疫情防控常态化对公共卫生工作提出的挑战，完善传染病监测体系建设，提高医疗机构应对突发公共卫生事件的能力，坚持“平急结合”，推进医防融合，强化医疗机构公共卫生职责，加强学科体系建设和人才培养，开展发热门诊标准化建设，强化传染性疾病的防控和临床救治，增强医务人员公共卫生观念，完善应急物资储备管理，主动适应疫情促使医疗机构诊疗业态变化的形势。在抓好疫情防控各项措施不放松的同时提供安全、可持续的常规诊疗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144" w:name="_Toc12697"/>
      <w:bookmarkStart w:id="145" w:name="_Toc17930"/>
      <w:bookmarkStart w:id="146" w:name="_Toc90318407"/>
      <w:bookmarkStart w:id="147" w:name="_Toc29137"/>
      <w:bookmarkStart w:id="148" w:name="_Toc13128"/>
      <w:bookmarkStart w:id="149" w:name="_Toc14462"/>
      <w:bookmarkStart w:id="150" w:name="_Toc6041"/>
      <w:r>
        <w:rPr>
          <w:rFonts w:hint="eastAsia" w:ascii="楷体_GB2312" w:eastAsia="楷体_GB2312"/>
          <w:b w:val="0"/>
          <w:bCs w:val="0"/>
          <w:color w:val="000000" w:themeColor="text1"/>
          <w:highlight w:val="none"/>
          <w14:textFill>
            <w14:solidFill>
              <w14:schemeClr w14:val="tx1"/>
            </w14:solidFill>
          </w14:textFill>
        </w:rPr>
        <w:t>（五）人口老龄化与慢性疾病防控对大兴区医疗卫生事业发展提出新挑战</w:t>
      </w:r>
      <w:bookmarkEnd w:id="144"/>
      <w:bookmarkEnd w:id="145"/>
      <w:bookmarkEnd w:id="146"/>
      <w:bookmarkEnd w:id="147"/>
      <w:bookmarkEnd w:id="148"/>
      <w:bookmarkEnd w:id="149"/>
      <w:bookmarkEnd w:id="150"/>
    </w:p>
    <w:p>
      <w:pPr>
        <w:pageBreakBefore w:val="0"/>
        <w:kinsoku/>
        <w:wordWrap/>
        <w:topLinePunct w:val="0"/>
        <w:autoSpaceDE/>
        <w:autoSpaceDN/>
        <w:bidi w:val="0"/>
        <w:adjustRightInd w:val="0"/>
        <w:snapToGrid w:val="0"/>
        <w:spacing w:line="56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2020</w:t>
      </w:r>
      <w:r>
        <w:rPr>
          <w:rFonts w:hint="eastAsia" w:ascii="仿宋_GB2312" w:eastAsia="仿宋_GB2312"/>
          <w:color w:val="000000" w:themeColor="text1"/>
          <w:sz w:val="32"/>
          <w:szCs w:val="32"/>
          <w:highlight w:val="none"/>
          <w14:textFill>
            <w14:solidFill>
              <w14:schemeClr w14:val="tx1"/>
            </w14:solidFill>
          </w14:textFill>
        </w:rPr>
        <w:t>年，大兴区（不含开发区）常住人口中</w:t>
      </w:r>
      <w:r>
        <w:rPr>
          <w:rFonts w:ascii="仿宋_GB2312" w:eastAsia="仿宋_GB2312"/>
          <w:color w:val="000000" w:themeColor="text1"/>
          <w:sz w:val="32"/>
          <w:szCs w:val="32"/>
          <w:highlight w:val="none"/>
          <w14:textFill>
            <w14:solidFill>
              <w14:schemeClr w14:val="tx1"/>
            </w14:solidFill>
          </w14:textFill>
        </w:rPr>
        <w:t>60岁及以上人口数28.4</w:t>
      </w:r>
      <w:r>
        <w:rPr>
          <w:rFonts w:hint="eastAsia" w:ascii="仿宋_GB2312" w:eastAsia="仿宋_GB2312"/>
          <w:color w:val="000000" w:themeColor="text1"/>
          <w:sz w:val="32"/>
          <w:szCs w:val="32"/>
          <w:highlight w:val="none"/>
          <w14:textFill>
            <w14:solidFill>
              <w14:schemeClr w14:val="tx1"/>
            </w14:solidFill>
          </w14:textFill>
        </w:rPr>
        <w:t>万，占全人口的</w:t>
      </w:r>
      <w:r>
        <w:rPr>
          <w:rFonts w:ascii="仿宋_GB2312" w:eastAsia="仿宋_GB2312"/>
          <w:color w:val="000000" w:themeColor="text1"/>
          <w:sz w:val="32"/>
          <w:szCs w:val="32"/>
          <w:highlight w:val="none"/>
          <w14:textFill>
            <w14:solidFill>
              <w14:schemeClr w14:val="tx1"/>
            </w14:solidFill>
          </w14:textFill>
        </w:rPr>
        <w:t>15.4%；65岁及以上人口数18.4</w:t>
      </w:r>
      <w:r>
        <w:rPr>
          <w:rFonts w:hint="eastAsia" w:ascii="仿宋_GB2312" w:eastAsia="仿宋_GB2312"/>
          <w:color w:val="000000" w:themeColor="text1"/>
          <w:sz w:val="32"/>
          <w:szCs w:val="32"/>
          <w:highlight w:val="none"/>
          <w14:textFill>
            <w14:solidFill>
              <w14:schemeClr w14:val="tx1"/>
            </w14:solidFill>
          </w14:textFill>
        </w:rPr>
        <w:t>万，占全人口的</w:t>
      </w:r>
      <w:r>
        <w:rPr>
          <w:rFonts w:ascii="仿宋_GB2312" w:eastAsia="仿宋_GB2312"/>
          <w:color w:val="000000" w:themeColor="text1"/>
          <w:sz w:val="32"/>
          <w:szCs w:val="32"/>
          <w:highlight w:val="none"/>
          <w14:textFill>
            <w14:solidFill>
              <w14:schemeClr w14:val="tx1"/>
            </w14:solidFill>
          </w14:textFill>
        </w:rPr>
        <w:t>10.0%。</w:t>
      </w:r>
      <w:r>
        <w:rPr>
          <w:rFonts w:hint="eastAsia" w:ascii="仿宋_GB2312" w:eastAsia="仿宋_GB2312"/>
          <w:color w:val="000000" w:themeColor="text1"/>
          <w:sz w:val="32"/>
          <w:szCs w:val="32"/>
          <w:highlight w:val="none"/>
          <w14:textFill>
            <w14:solidFill>
              <w14:schemeClr w14:val="tx1"/>
            </w14:solidFill>
          </w14:textFill>
        </w:rPr>
        <w:t>目前大兴区户籍人口死因前三位仍然是脑血管病、心脏病和恶性肿瘤，三类疾病均属于慢性非传染性疾病，降低各类健康危险因素是防控慢性疾病的重要环节。老龄人口的健康服务</w:t>
      </w:r>
      <w:r>
        <w:rPr>
          <w:rFonts w:hint="eastAsia" w:ascii="仿宋_GB2312" w:eastAsia="仿宋_GB2312"/>
          <w:color w:val="000000" w:themeColor="text1"/>
          <w:sz w:val="32"/>
          <w:szCs w:val="32"/>
          <w:highlight w:val="none"/>
          <w:lang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慢性病防控</w:t>
      </w:r>
      <w:r>
        <w:rPr>
          <w:rFonts w:hint="eastAsia" w:ascii="仿宋_GB2312" w:eastAsia="仿宋_GB2312"/>
          <w:color w:val="000000" w:themeColor="text1"/>
          <w:sz w:val="32"/>
          <w:szCs w:val="32"/>
          <w:highlight w:val="none"/>
          <w:lang w:val="en-US" w:eastAsia="zh-CN"/>
          <w14:textFill>
            <w14:solidFill>
              <w14:schemeClr w14:val="tx1"/>
            </w14:solidFill>
          </w14:textFill>
        </w:rPr>
        <w:t>将</w:t>
      </w:r>
      <w:r>
        <w:rPr>
          <w:rFonts w:hint="eastAsia" w:ascii="仿宋_GB2312" w:eastAsia="仿宋_GB2312"/>
          <w:color w:val="000000" w:themeColor="text1"/>
          <w:sz w:val="32"/>
          <w:szCs w:val="32"/>
          <w:highlight w:val="none"/>
          <w14:textFill>
            <w14:solidFill>
              <w14:schemeClr w14:val="tx1"/>
            </w14:solidFill>
          </w14:textFill>
        </w:rPr>
        <w:t>是“十四五”期间卫生健康领域重点任务。</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151" w:name="_Toc3825"/>
      <w:bookmarkStart w:id="152" w:name="_Toc18644"/>
      <w:bookmarkStart w:id="153" w:name="_Toc5178"/>
      <w:bookmarkStart w:id="154" w:name="_Toc30724"/>
      <w:bookmarkStart w:id="155" w:name="_Toc30911"/>
      <w:bookmarkStart w:id="156" w:name="_Toc90318408"/>
      <w:bookmarkStart w:id="157" w:name="_Toc1578"/>
      <w:r>
        <w:rPr>
          <w:rFonts w:hint="eastAsia" w:ascii="楷体_GB2312" w:eastAsia="楷体_GB2312"/>
          <w:b w:val="0"/>
          <w:bCs w:val="0"/>
          <w:color w:val="000000" w:themeColor="text1"/>
          <w:highlight w:val="none"/>
          <w14:textFill>
            <w14:solidFill>
              <w14:schemeClr w14:val="tx1"/>
            </w14:solidFill>
          </w14:textFill>
        </w:rPr>
        <w:t>（六）深化医药卫生体制改革为区域卫生发展提出新愿景</w:t>
      </w:r>
      <w:bookmarkEnd w:id="151"/>
      <w:bookmarkEnd w:id="152"/>
      <w:bookmarkEnd w:id="153"/>
      <w:bookmarkEnd w:id="154"/>
      <w:bookmarkEnd w:id="155"/>
      <w:bookmarkEnd w:id="156"/>
      <w:bookmarkEnd w:id="157"/>
    </w:p>
    <w:p>
      <w:pPr>
        <w:pageBreakBefore w:val="0"/>
        <w:kinsoku/>
        <w:wordWrap/>
        <w:topLinePunct w:val="0"/>
        <w:autoSpaceDE/>
        <w:autoSpaceDN/>
        <w:bidi w:val="0"/>
        <w:spacing w:line="560" w:lineRule="exact"/>
        <w:ind w:firstLine="640" w:firstLineChars="200"/>
        <w:rPr>
          <w:rFonts w:hint="default" w:ascii="仿宋_GB2312"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党的十九届四中全会通过的《中共中央关于坚持和完善中国特色社会主义制度、推进国家治理体系和治理能力现代化若干重大问题的决定》，深刻回答了“坚持和巩固什么、完善和发展什么”这个重大政治问题，对推进国家治理体系和治理能力现代化作出重要部署，这是全系统今后一段时期的重要政治任务。</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深化医药卫生体制改革</w:t>
      </w:r>
      <w:r>
        <w:rPr>
          <w:rFonts w:hint="eastAsia" w:ascii="仿宋_GB2312" w:hAnsi="宋体" w:eastAsia="仿宋_GB2312"/>
          <w:color w:val="000000" w:themeColor="text1"/>
          <w:sz w:val="32"/>
          <w:szCs w:val="32"/>
          <w:highlight w:val="none"/>
          <w14:textFill>
            <w14:solidFill>
              <w14:schemeClr w14:val="tx1"/>
            </w14:solidFill>
          </w14:textFill>
        </w:rPr>
        <w:t>要加快</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医疗卫生治理体系和治理能力建设，</w:t>
      </w:r>
      <w:r>
        <w:rPr>
          <w:rFonts w:hint="eastAsia" w:ascii="仿宋_GB2312" w:hAnsi="宋体" w:eastAsia="仿宋_GB2312"/>
          <w:color w:val="000000" w:themeColor="text1"/>
          <w:sz w:val="32"/>
          <w:szCs w:val="32"/>
          <w:highlight w:val="none"/>
          <w14:textFill>
            <w14:solidFill>
              <w14:schemeClr w14:val="tx1"/>
            </w14:solidFill>
          </w14:textFill>
        </w:rPr>
        <w:t>推进现代医院管理制度建设，提高公立医院治理能力。现代医院管理制度具有丰富的内涵，包括章程制定、决策机制、医疗质量安全、人力资源管理、绩效考核、经济运行、文化建设、便民惠民等，几乎涵盖了医院治理和内部管理的方方面面。</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今后随着改革的推进，公立医疗机构的发展将呈现新的面貌。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5690B7-F179-486D-8A5B-0852859228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686CFA-CDCF-4E20-ADA2-D0BF55E49377}"/>
  </w:font>
  <w:font w:name="方正小标宋简体">
    <w:panose1 w:val="02000000000000000000"/>
    <w:charset w:val="86"/>
    <w:family w:val="auto"/>
    <w:pitch w:val="default"/>
    <w:sig w:usb0="00000001" w:usb1="08000000" w:usb2="00000000" w:usb3="00000000" w:csb0="00040000" w:csb1="00000000"/>
    <w:embedRegular r:id="rId3" w:fontKey="{78CD4A1A-8BEF-459B-A10A-E5AD9F98ADAB}"/>
  </w:font>
  <w:font w:name="仿宋_GB2312">
    <w:altName w:val="仿宋"/>
    <w:panose1 w:val="02010609030101010101"/>
    <w:charset w:val="86"/>
    <w:family w:val="modern"/>
    <w:pitch w:val="default"/>
    <w:sig w:usb0="00000000" w:usb1="00000000" w:usb2="00000000" w:usb3="00000000" w:csb0="00040000" w:csb1="00000000"/>
    <w:embedRegular r:id="rId4" w:fontKey="{5B52EAC5-CA04-4944-AE1F-81B4AD0571B7}"/>
  </w:font>
  <w:font w:name="楷体_GB2312">
    <w:altName w:val="楷体"/>
    <w:panose1 w:val="02010609030101010101"/>
    <w:charset w:val="86"/>
    <w:family w:val="modern"/>
    <w:pitch w:val="default"/>
    <w:sig w:usb0="00000000" w:usb1="00000000" w:usb2="00000000" w:usb3="00000000" w:csb0="00040000" w:csb1="00000000"/>
    <w:embedRegular r:id="rId5" w:fontKey="{862BA26A-2B0B-46D3-A01B-281580DC6857}"/>
  </w:font>
  <w:font w:name="仿宋">
    <w:panose1 w:val="02010609060101010101"/>
    <w:charset w:val="86"/>
    <w:family w:val="auto"/>
    <w:pitch w:val="default"/>
    <w:sig w:usb0="800002BF" w:usb1="38CF7CFA" w:usb2="00000016" w:usb3="00000000" w:csb0="00040001" w:csb1="00000000"/>
    <w:embedRegular r:id="rId6" w:fontKey="{572CB701-3A99-4FE1-908F-E165B72C93DA}"/>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rPr>
          <w:rFonts w:ascii="宋体" w:hAnsi="宋体" w:eastAsia="宋体"/>
          <w:sz w:val="18"/>
          <w:szCs w:val="18"/>
        </w:rPr>
      </w:pPr>
      <w:r>
        <w:rPr>
          <w:rStyle w:val="9"/>
          <w:rFonts w:ascii="Times New Roman" w:hAnsi="Times New Roman" w:eastAsia="宋体" w:cs="Times New Roman"/>
          <w:sz w:val="18"/>
          <w:szCs w:val="18"/>
        </w:rPr>
        <w:footnoteRef/>
      </w:r>
      <w:r>
        <w:rPr>
          <w:rFonts w:ascii="Times New Roman" w:hAnsi="Times New Roman" w:eastAsia="宋体" w:cs="Times New Roman"/>
          <w:sz w:val="18"/>
          <w:szCs w:val="18"/>
        </w:rPr>
        <w:t xml:space="preserve"> </w:t>
      </w:r>
      <w:r>
        <w:rPr>
          <w:rFonts w:ascii="Times New Roman" w:hAnsi="宋体" w:eastAsia="宋体" w:cs="Times New Roman"/>
          <w:sz w:val="18"/>
          <w:szCs w:val="18"/>
        </w:rPr>
        <w:t>此</w:t>
      </w:r>
      <w:r>
        <w:rPr>
          <w:rFonts w:hint="eastAsia" w:ascii="Times New Roman" w:hAnsi="宋体" w:eastAsia="宋体" w:cs="Times New Roman"/>
          <w:sz w:val="18"/>
          <w:szCs w:val="18"/>
        </w:rPr>
        <w:t>规划</w:t>
      </w:r>
      <w:r>
        <w:rPr>
          <w:rFonts w:ascii="Times New Roman" w:hAnsi="宋体" w:eastAsia="宋体" w:cs="Times New Roman"/>
          <w:sz w:val="18"/>
          <w:szCs w:val="18"/>
        </w:rPr>
        <w:t>涉及到的</w:t>
      </w:r>
      <w:r>
        <w:rPr>
          <w:rFonts w:hint="eastAsia" w:ascii="Times New Roman" w:hAnsi="宋体" w:eastAsia="宋体" w:cs="Times New Roman"/>
          <w:sz w:val="18"/>
          <w:szCs w:val="18"/>
        </w:rPr>
        <w:t>“十三五”时期</w:t>
      </w:r>
      <w:r>
        <w:rPr>
          <w:rFonts w:ascii="Times New Roman" w:hAnsi="宋体" w:eastAsia="宋体" w:cs="Times New Roman"/>
          <w:sz w:val="18"/>
          <w:szCs w:val="18"/>
        </w:rPr>
        <w:t>大兴区医疗卫生数据如无特</w:t>
      </w:r>
      <w:r>
        <w:rPr>
          <w:rFonts w:hint="eastAsia" w:ascii="宋体" w:hAnsi="宋体" w:eastAsia="宋体"/>
          <w:sz w:val="18"/>
          <w:szCs w:val="18"/>
        </w:rPr>
        <w:t>别说明均包括开发区。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50C44FB5"/>
    <w:rsid w:val="50C4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6">
    <w:name w:val="Body Text"/>
    <w:basedOn w:val="1"/>
    <w:qFormat/>
    <w:uiPriority w:val="0"/>
    <w:pPr>
      <w:spacing w:after="120"/>
    </w:pPr>
  </w:style>
  <w:style w:type="character" w:styleId="9">
    <w:name w:val="footnote reference"/>
    <w:basedOn w:val="8"/>
    <w:unhideWhenUsed/>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2022-07-18T07:40:00Z</dcterms:created>
  <dc:creator>米露露</dc:creator>
  <cp:lastModifiedBy>米露露</cp:lastModifiedBy>
  <dcterms:modified xsi:type="dcterms:W3CDTF">2022-07-18T07:41:12Z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F03CB84D42FE481B93B2732865FEF34A</vt:lpwstr>
  </property>
</Properties>
</file>