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contextualSpacing/>
        <w:jc w:val="center"/>
        <w:rPr>
          <w:rFonts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黑体" w:cs="Times New Roman"/>
          <w:sz w:val="36"/>
          <w:szCs w:val="36"/>
        </w:rPr>
        <w:t>目 录</w:t>
      </w:r>
      <w:bookmarkEnd w:id="0"/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fldChar w:fldCharType="begin"/>
      </w:r>
      <w:r>
        <w:rPr>
          <w:rFonts w:ascii="Times New Roman" w:hAnsi="Times New Roman" w:eastAsia="黑体"/>
          <w:sz w:val="32"/>
          <w:szCs w:val="32"/>
        </w:rPr>
        <w:instrText xml:space="preserve"> TOC \o "1-2" \h \z \u </w:instrText>
      </w:r>
      <w:r>
        <w:rPr>
          <w:rFonts w:ascii="Times New Roman" w:hAnsi="Times New Roman" w:eastAsia="黑体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"_Toc84868970" </w:instrText>
      </w:r>
      <w:r>
        <w:fldChar w:fldCharType="separate"/>
      </w:r>
      <w:r>
        <w:rPr>
          <w:rStyle w:val="5"/>
          <w:rFonts w:ascii="Times New Roman" w:hAnsi="Times New Roman" w:eastAsia="黑体"/>
          <w:sz w:val="32"/>
          <w:szCs w:val="32"/>
        </w:rPr>
        <w:t>一、“十三五”时期商业发展回顾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_Toc84868970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"_Toc84868971"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（一）取得主要成效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_Toc84868971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"_Toc84868972"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（二）发展存在问题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_Toc84868972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"_Toc84868973" </w:instrText>
      </w:r>
      <w:r>
        <w:fldChar w:fldCharType="separate"/>
      </w:r>
      <w:r>
        <w:rPr>
          <w:rStyle w:val="5"/>
          <w:rFonts w:ascii="Times New Roman" w:hAnsi="Times New Roman" w:eastAsia="黑体"/>
          <w:sz w:val="32"/>
          <w:szCs w:val="32"/>
        </w:rPr>
        <w:t>二、“十四五”时期商业发展环境研判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_Toc84868973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"_Toc84868974"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（一）消费成为双循环格局构建核心动力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_Toc84868974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"_Toc84868975"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（二）首都新国门区域发展位势显著提升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_Toc84868975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"_Toc84868976"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（三）城南地区高质量发展部署全面提速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_Toc84868976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"_Toc84868977"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（四）现代商业服务模式变革向纵深推进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_Toc84868977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"_Toc84868978"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（五）居民消费品质提升和结构升级加快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_Toc84868978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10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"_Toc84868979"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（六）疫情持续影响下消费形势不容乐观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_Toc84868979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11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"_Toc84868980" </w:instrText>
      </w:r>
      <w:r>
        <w:fldChar w:fldCharType="separate"/>
      </w:r>
      <w:r>
        <w:rPr>
          <w:rStyle w:val="5"/>
          <w:rFonts w:ascii="Times New Roman" w:hAnsi="Times New Roman" w:eastAsia="黑体"/>
          <w:sz w:val="32"/>
          <w:szCs w:val="32"/>
        </w:rPr>
        <w:t>三、“十四五”时期总体思路与发展目标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_Toc84868980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11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"_Toc84868981"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（一）指导思想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_Toc84868981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11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"_Toc84868982"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（二）基本原则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_Toc84868982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12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"_Toc84868983"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（三）主要目标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_Toc84868983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13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"_Toc84868984" </w:instrText>
      </w:r>
      <w:r>
        <w:fldChar w:fldCharType="separate"/>
      </w:r>
      <w:r>
        <w:rPr>
          <w:rStyle w:val="5"/>
          <w:rFonts w:ascii="Times New Roman" w:hAnsi="Times New Roman" w:eastAsia="黑体"/>
          <w:sz w:val="32"/>
          <w:szCs w:val="32"/>
        </w:rPr>
        <w:t>四、重点发展业态领域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_Toc84868984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13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"_Toc84868985"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（一）集聚高端商业业态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_Toc84868985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13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"_Toc84868986"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（二）培育特色临空商业业态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_Toc84868986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15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"_Toc84868987"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（三）提升生活性服务业品质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_Toc84868987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17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"_Toc84868988" </w:instrText>
      </w:r>
      <w:r>
        <w:fldChar w:fldCharType="separate"/>
      </w:r>
      <w:r>
        <w:rPr>
          <w:rStyle w:val="5"/>
          <w:rFonts w:ascii="Times New Roman" w:hAnsi="Times New Roman" w:eastAsia="黑体"/>
          <w:sz w:val="32"/>
          <w:szCs w:val="32"/>
        </w:rPr>
        <w:t>五、优化商业功能布局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_Toc84868988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19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"_Toc84868989"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（一）总体商业空间布局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_Toc84868989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19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"_Toc84868990"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（二）两大高端商业融合发展带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_Toc84868990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19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"_Toc84868991"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（三）两大新城商业升级引领区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_Toc84868991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"_Toc84868992"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（四）五大特色现代化重点商圈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_Toc84868992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22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"_Toc84868993"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（五）多个社区（镇区）商业中心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_Toc84868993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24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"_Toc84868994" </w:instrText>
      </w:r>
      <w:r>
        <w:fldChar w:fldCharType="separate"/>
      </w:r>
      <w:r>
        <w:rPr>
          <w:rStyle w:val="5"/>
          <w:rFonts w:ascii="Times New Roman" w:hAnsi="Times New Roman" w:eastAsia="黑体"/>
          <w:sz w:val="32"/>
          <w:szCs w:val="32"/>
        </w:rPr>
        <w:t>六、实施商业提升重点工程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_Toc84868994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26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"_Toc84868995"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（一）高端商业资源集聚工程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_Toc84868995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26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"_Toc84868996"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（二）商业服务创新升级工程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_Toc84868996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28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"_Toc84868997"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（三）商文旅体融合发展工程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_Toc84868997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29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"_Toc84868998"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（四）商业市场开放促进工程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_Toc84868998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32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"_Toc84868999"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（五）市场秩序环境提升工程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_Toc84868999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33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"_Toc84869000" </w:instrText>
      </w:r>
      <w:r>
        <w:fldChar w:fldCharType="separate"/>
      </w:r>
      <w:r>
        <w:rPr>
          <w:rStyle w:val="5"/>
          <w:rFonts w:ascii="Times New Roman" w:hAnsi="Times New Roman" w:eastAsia="黑体"/>
          <w:sz w:val="32"/>
          <w:szCs w:val="32"/>
        </w:rPr>
        <w:t>七、规划实施保障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_Toc84869000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34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"_Toc84869001"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（一）建立协调联动工作机制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_Toc84869001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34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"_Toc84869002"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（二）加强商业项目用地保障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_Toc84869002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35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"_Toc84869003"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（三）优化商业发展营商环境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_Toc84869003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35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pPr>
        <w:pStyle w:val="2"/>
        <w:tabs>
          <w:tab w:val="right" w:leader="dot" w:pos="8296"/>
        </w:tabs>
        <w:rPr>
          <w:rFonts w:ascii="Times New Roman" w:hAnsi="Times New Roman" w:eastAsiaTheme="minorEastAsia"/>
          <w:sz w:val="32"/>
          <w:szCs w:val="32"/>
        </w:rPr>
      </w:pPr>
      <w:r>
        <w:fldChar w:fldCharType="begin"/>
      </w:r>
      <w:r>
        <w:instrText xml:space="preserve"> HYPERLINK \l "_Toc84869004" </w:instrText>
      </w:r>
      <w:r>
        <w:fldChar w:fldCharType="separate"/>
      </w:r>
      <w:r>
        <w:rPr>
          <w:rStyle w:val="5"/>
          <w:rFonts w:ascii="Times New Roman" w:hAnsi="Times New Roman" w:eastAsia="楷体_GB2312"/>
          <w:sz w:val="32"/>
          <w:szCs w:val="32"/>
        </w:rPr>
        <w:t>（四）强化商业品牌宣传推介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 PAGEREF _Toc84869004 \h </w:instrText>
      </w:r>
      <w:r>
        <w:rPr>
          <w:rFonts w:ascii="Times New Roman" w:hAnsi="Times New Roman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35</w: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fldChar w:fldCharType="end"/>
      </w:r>
    </w:p>
    <w:p>
      <w:r>
        <w:rPr>
          <w:rFonts w:ascii="Times New Roman" w:hAnsi="Times New Roman" w:eastAsia="黑体"/>
          <w:sz w:val="32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755C1D08"/>
    <w:rsid w:val="755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2022-09-21T05:45:00Z</dcterms:created>
  <dc:creator>米露露</dc:creator>
  <cp:lastModifiedBy>米露露</cp:lastModifiedBy>
  <dcterms:modified xsi:type="dcterms:W3CDTF">2022-09-21T05:45:55Z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ED0DAB6EE77843619D77861393A6A6BB</vt:lpwstr>
  </property>
</Properties>
</file>