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0" w:firstLineChars="200"/>
        <w:jc w:val="left"/>
        <w:outlineLvl w:val="0"/>
        <w:rPr>
          <w:rFonts w:ascii="Times New Roman" w:hAnsi="Times New Roman" w:eastAsia="黑体" w:cs="Times New Roman"/>
          <w:sz w:val="32"/>
          <w:szCs w:val="32"/>
        </w:rPr>
      </w:pPr>
      <w:bookmarkStart w:id="0" w:name="_Toc84868970"/>
      <w:bookmarkStart w:id="19" w:name="_GoBack"/>
      <w:r>
        <w:rPr>
          <w:rFonts w:ascii="Times New Roman" w:hAnsi="Times New Roman" w:eastAsia="黑体" w:cs="Times New Roman"/>
          <w:sz w:val="32"/>
          <w:szCs w:val="32"/>
        </w:rPr>
        <w:t>一、“十三五”时期商业发展回顾</w:t>
      </w:r>
      <w:bookmarkEnd w:id="0"/>
    </w:p>
    <w:bookmarkEnd w:id="19"/>
    <w:p>
      <w:pPr>
        <w:spacing w:line="560" w:lineRule="exact"/>
        <w:ind w:firstLine="640" w:firstLineChars="200"/>
        <w:jc w:val="left"/>
        <w:outlineLvl w:val="0"/>
        <w:rPr>
          <w:rFonts w:ascii="Times New Roman" w:hAnsi="Times New Roman" w:eastAsia="楷体_GB2312" w:cs="Times New Roman"/>
          <w:sz w:val="32"/>
          <w:szCs w:val="32"/>
        </w:rPr>
      </w:pPr>
      <w:bookmarkStart w:id="1" w:name="_Toc84868971"/>
      <w:bookmarkStart w:id="2" w:name="_Toc37151766"/>
      <w:bookmarkStart w:id="3" w:name="_Toc40806023"/>
      <w:r>
        <w:rPr>
          <w:rFonts w:ascii="Times New Roman" w:hAnsi="Times New Roman" w:eastAsia="楷体_GB2312" w:cs="Times New Roman"/>
          <w:sz w:val="32"/>
          <w:szCs w:val="32"/>
        </w:rPr>
        <w:t>（一）取得主要成效</w:t>
      </w:r>
      <w:bookmarkEnd w:id="1"/>
      <w:bookmarkEnd w:id="2"/>
      <w:bookmarkEnd w:id="3"/>
    </w:p>
    <w:p>
      <w:pPr>
        <w:spacing w:line="560" w:lineRule="exact"/>
        <w:ind w:firstLine="643" w:firstLineChars="200"/>
        <w:jc w:val="left"/>
        <w:outlineLvl w:val="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bookmarkStart w:id="4" w:name="_Toc37665853"/>
      <w:bookmarkStart w:id="5" w:name="_Toc37151767"/>
      <w:bookmarkStart w:id="6" w:name="_Toc37698145"/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1.商业规模结构持续优化</w:t>
      </w:r>
      <w:bookmarkEnd w:id="4"/>
      <w:bookmarkEnd w:id="5"/>
      <w:bookmarkEnd w:id="6"/>
      <w:r>
        <w:rPr>
          <w:rFonts w:ascii="Times New Roman" w:hAnsi="Times New Roman" w:eastAsia="仿宋_GB2312" w:cs="Times New Roman"/>
          <w:snapToGrid w:val="0"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napToGrid w:val="0"/>
          <w:sz w:val="32"/>
        </w:rPr>
      </w:pPr>
      <w:r>
        <w:rPr>
          <w:rFonts w:ascii="Times New Roman" w:hAnsi="Times New Roman" w:eastAsia="仿宋_GB2312" w:cs="Times New Roman"/>
          <w:snapToGrid w:val="0"/>
          <w:sz w:val="32"/>
        </w:rPr>
        <w:t>“十三五”时期，随着居民收入水平和消费能力不断提升，全区商业规模不断扩大。2020年，全区社会消费品零售额达到618.6亿元，是“十二五”期末的1.6倍，“十三五”时期年均增速达到12.5%，明显高于全市平均水平。消费市场结构不断优化，商品消费与服务消费占比由2016年的61：39调整为“十三五”期末的53.9：46.1。</w:t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napToGrid w:val="0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867150" cy="2279650"/>
            <wp:effectExtent l="4445" t="4445" r="14605" b="14605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napToGrid w:val="0"/>
          <w:sz w:val="24"/>
          <w:szCs w:val="28"/>
        </w:rPr>
      </w:pPr>
      <w:r>
        <w:rPr>
          <w:rFonts w:ascii="Times New Roman" w:hAnsi="Times New Roman" w:eastAsia="黑体" w:cs="Times New Roman"/>
          <w:snapToGrid w:val="0"/>
          <w:sz w:val="24"/>
          <w:szCs w:val="28"/>
        </w:rPr>
        <w:t>图1  2016-2020年全区社会消费品零售额（亿元）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959225" cy="2084070"/>
            <wp:effectExtent l="4445" t="4445" r="11430" b="6985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napToGrid w:val="0"/>
          <w:sz w:val="24"/>
          <w:szCs w:val="28"/>
        </w:rPr>
      </w:pPr>
      <w:r>
        <w:rPr>
          <w:rFonts w:ascii="Times New Roman" w:hAnsi="Times New Roman" w:eastAsia="黑体" w:cs="Times New Roman"/>
          <w:snapToGrid w:val="0"/>
          <w:sz w:val="24"/>
          <w:szCs w:val="28"/>
        </w:rPr>
        <w:t>图 2  2016-2020年全区消费市场结构变化情况</w:t>
      </w:r>
    </w:p>
    <w:p>
      <w:pPr>
        <w:spacing w:line="560" w:lineRule="exact"/>
        <w:ind w:firstLine="643" w:firstLineChars="200"/>
        <w:jc w:val="left"/>
        <w:outlineLvl w:val="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bookmarkStart w:id="7" w:name="_Toc37665854"/>
      <w:bookmarkStart w:id="8" w:name="_Toc37698146"/>
      <w:bookmarkStart w:id="9" w:name="_Toc37151768"/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2.新兴商业模式快速发展</w:t>
      </w:r>
      <w:bookmarkEnd w:id="7"/>
      <w:bookmarkEnd w:id="8"/>
      <w:bookmarkEnd w:id="9"/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napToGrid w:val="0"/>
          <w:sz w:val="32"/>
          <w:szCs w:val="32"/>
        </w:rPr>
      </w:pP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依托北京电子商务中心区（CED）建设，全区以线上电子商务和线下商超融合为特征的新兴业态快速发展。</w:t>
      </w:r>
      <w:r>
        <w:rPr>
          <w:rFonts w:ascii="Times New Roman" w:hAnsi="Times New Roman" w:eastAsia="仿宋_GB2312" w:cs="Times New Roman"/>
          <w:sz w:val="32"/>
          <w:szCs w:val="32"/>
        </w:rPr>
        <w:t>2020年，全区限额以上商业企业网络零售额达到156.8亿元，同比增长30.1%，是“十二五”期末的近3倍；网络零售额占社会消费品零售额比重为25.3%，高于“十二五”期末约11个百分点。新零售业态加快布局，</w:t>
      </w: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盒马鲜生、多点便利店、便利蜂等品牌零售店数量不断扩张。</w:t>
      </w:r>
      <w:r>
        <w:rPr>
          <w:rFonts w:ascii="Times New Roman" w:hAnsi="Times New Roman" w:eastAsia="仿宋_GB2312" w:cs="Times New Roman"/>
          <w:sz w:val="32"/>
          <w:szCs w:val="32"/>
        </w:rPr>
        <w:t>线上线下融合体验式业态快速发展，京东之家、一条等一批品牌体验店、集成店相继在大兴落地。</w:t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173855" cy="2425065"/>
            <wp:effectExtent l="4445" t="4445" r="12700" b="8890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napToGrid w:val="0"/>
          <w:sz w:val="24"/>
          <w:szCs w:val="28"/>
        </w:rPr>
      </w:pPr>
      <w:r>
        <w:rPr>
          <w:rFonts w:ascii="Times New Roman" w:hAnsi="Times New Roman" w:eastAsia="黑体" w:cs="Times New Roman"/>
          <w:snapToGrid w:val="0"/>
          <w:sz w:val="24"/>
          <w:szCs w:val="28"/>
        </w:rPr>
        <w:t>图3  2016-2020年全区限额以上商业企业网上零售额情况</w:t>
      </w:r>
    </w:p>
    <w:p>
      <w:pPr>
        <w:spacing w:line="560" w:lineRule="exact"/>
        <w:ind w:firstLine="643" w:firstLineChars="200"/>
        <w:jc w:val="left"/>
        <w:outlineLvl w:val="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bookmarkStart w:id="10" w:name="_Toc37698147"/>
      <w:bookmarkStart w:id="11" w:name="_Toc37665855"/>
      <w:bookmarkStart w:id="12" w:name="_Toc37151769"/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3.商业设施体系日益完善</w:t>
      </w:r>
      <w:bookmarkEnd w:id="10"/>
      <w:bookmarkEnd w:id="11"/>
      <w:bookmarkEnd w:id="12"/>
    </w:p>
    <w:p>
      <w:pPr>
        <w:spacing w:line="560" w:lineRule="exact"/>
        <w:ind w:firstLine="640" w:firstLineChars="200"/>
        <w:jc w:val="both"/>
        <w:rPr>
          <w:rFonts w:ascii="Times New Roman" w:hAnsi="Times New Roman" w:eastAsia="黑体" w:cs="Times New Roman"/>
          <w:sz w:val="24"/>
          <w:szCs w:val="28"/>
        </w:rPr>
        <w:pPrChange w:id="0" w:author="esin" w:date="2021-11-29T10:50:12Z">
          <w:pPr>
            <w:spacing w:line="360" w:lineRule="auto"/>
            <w:jc w:val="center"/>
          </w:pPr>
        </w:pPrChange>
      </w:pP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“十三五”时期，全区加强高端商业设施规划布局，着力推进老旧商业设施改造，“区域级-地区级-社区级”的三级商业中心体系不断完善。截至2020年底，全区已建成商业建筑面积累计238.02万平米，建成三级商业中心总计19个，涵盖1个区域级商业中心、9个地区级商业中心以及9个社区级商业中心。荟聚购物中心区域影响力显著增强，已成为南城地区商业地标；大型商业综合体数量快速增长，相继落地了北京龙湖大兴天街购物中心、凯德购物中心、大悦春风里等一批品牌项目；社区商业设施规模不断扩大，天键广场、水晶港、彩虹新城商业街等一批新建或改造社区商业设施运行良好。</w:t>
      </w:r>
    </w:p>
    <w:p>
      <w:pPr>
        <w:spacing w:before="157" w:beforeLines="50" w:afterLines="0" w:line="360" w:lineRule="auto"/>
        <w:jc w:val="center"/>
        <w:rPr>
          <w:rFonts w:ascii="Times New Roman" w:hAnsi="Times New Roman" w:eastAsia="黑体" w:cs="Times New Roman"/>
          <w:sz w:val="24"/>
          <w:szCs w:val="28"/>
        </w:rPr>
      </w:pPr>
      <w:r>
        <w:rPr>
          <w:rFonts w:ascii="Times New Roman" w:hAnsi="Times New Roman" w:eastAsia="黑体" w:cs="Times New Roman"/>
          <w:sz w:val="24"/>
          <w:szCs w:val="28"/>
        </w:rPr>
        <w:t>表1 全区不同层级商业设施数量及名称</w:t>
      </w:r>
    </w:p>
    <w:tbl>
      <w:tblPr>
        <w:tblStyle w:val="3"/>
        <w:tblW w:w="7902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046"/>
        <w:gridCol w:w="761"/>
        <w:gridCol w:w="538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tblHeader/>
          <w:jc w:val="center"/>
        </w:trPr>
        <w:tc>
          <w:tcPr>
            <w:tcW w:w="709" w:type="dxa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8"/>
              </w:rPr>
              <w:t>序号</w:t>
            </w:r>
          </w:p>
        </w:tc>
        <w:tc>
          <w:tcPr>
            <w:tcW w:w="1046" w:type="dxa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8"/>
              </w:rPr>
              <w:t>类别</w:t>
            </w:r>
          </w:p>
        </w:tc>
        <w:tc>
          <w:tcPr>
            <w:tcW w:w="761" w:type="dxa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8"/>
              </w:rPr>
              <w:t>数量</w:t>
            </w:r>
          </w:p>
        </w:tc>
        <w:tc>
          <w:tcPr>
            <w:tcW w:w="5386" w:type="dxa"/>
            <w:shd w:val="clear" w:color="auto" w:fill="B4C6E7" w:themeFill="accent5" w:themeFillTint="66"/>
            <w:vAlign w:val="center"/>
          </w:tcPr>
          <w:p>
            <w:pPr>
              <w:tabs>
                <w:tab w:val="left" w:pos="1691"/>
                <w:tab w:val="center" w:pos="2585"/>
              </w:tabs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8"/>
              </w:rPr>
              <w:t>商业设施名称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709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1</w:t>
            </w:r>
          </w:p>
        </w:tc>
        <w:tc>
          <w:tcPr>
            <w:tcW w:w="1046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区域级</w:t>
            </w:r>
          </w:p>
        </w:tc>
        <w:tc>
          <w:tcPr>
            <w:tcW w:w="761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1</w:t>
            </w:r>
          </w:p>
        </w:tc>
        <w:tc>
          <w:tcPr>
            <w:tcW w:w="5386" w:type="dxa"/>
            <w:shd w:val="clear" w:color="auto" w:fill="FFFFFF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荟聚购物中心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709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2</w:t>
            </w:r>
          </w:p>
        </w:tc>
        <w:tc>
          <w:tcPr>
            <w:tcW w:w="1046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地区级</w:t>
            </w:r>
          </w:p>
        </w:tc>
        <w:tc>
          <w:tcPr>
            <w:tcW w:w="761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9</w:t>
            </w:r>
          </w:p>
        </w:tc>
        <w:tc>
          <w:tcPr>
            <w:tcW w:w="5386" w:type="dxa"/>
            <w:shd w:val="clear" w:color="auto" w:fill="FFFFFF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鸿坤购物中心、绿地缤纷城、玫瑰城购物中心、泰禾中央广场、北京龙湖大兴天街购物中心、凯德Mall、大悦春风里（原火神庙国际商业和中心）、世界之花假日广场、住总万科广场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4" w:hRule="atLeast"/>
          <w:jc w:val="center"/>
        </w:trPr>
        <w:tc>
          <w:tcPr>
            <w:tcW w:w="709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3</w:t>
            </w:r>
          </w:p>
        </w:tc>
        <w:tc>
          <w:tcPr>
            <w:tcW w:w="1046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社区级</w:t>
            </w:r>
          </w:p>
        </w:tc>
        <w:tc>
          <w:tcPr>
            <w:tcW w:w="761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9</w:t>
            </w:r>
          </w:p>
        </w:tc>
        <w:tc>
          <w:tcPr>
            <w:tcW w:w="5386" w:type="dxa"/>
            <w:shd w:val="clear" w:color="auto" w:fill="FFFFFF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napToGrid w:val="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8"/>
              </w:rPr>
              <w:t>亿发购物广场、水晶港、天键商业街、百联清城购物中心、星城商厦、北京帝园商城、广丰购物中心、彩虹新城商业街、旧宫商厦</w:t>
            </w:r>
          </w:p>
        </w:tc>
      </w:tr>
    </w:tbl>
    <w:p>
      <w:pPr>
        <w:spacing w:line="560" w:lineRule="exact"/>
        <w:ind w:firstLine="643" w:firstLineChars="200"/>
        <w:jc w:val="left"/>
        <w:outlineLvl w:val="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bookmarkStart w:id="13" w:name="_Toc37151770"/>
      <w:bookmarkStart w:id="14" w:name="_Toc37698148"/>
      <w:bookmarkStart w:id="15" w:name="_Toc37665856"/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4.便民商业服务品质提升</w:t>
      </w:r>
      <w:bookmarkEnd w:id="13"/>
      <w:bookmarkEnd w:id="14"/>
      <w:bookmarkEnd w:id="15"/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napToGrid w:val="0"/>
          <w:sz w:val="32"/>
        </w:rPr>
        <w:t>“十三五”</w:t>
      </w:r>
      <w:r>
        <w:rPr>
          <w:rFonts w:ascii="Times New Roman" w:hAnsi="Times New Roman" w:eastAsia="仿宋_GB2312" w:cs="Times New Roman"/>
          <w:sz w:val="32"/>
          <w:szCs w:val="32"/>
        </w:rPr>
        <w:t>时期，全区深化落实国家和市级生活服务业发展部署，加快基本便民商业网点规划布局，完善丰富便民商业业态，生活服务业品质全面提升。截至2020年底，全区基本便民商业网点达到6485个，基本便民商业服务功能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社区覆盖率达到100%。群众生活便利化程度不断提升</w:t>
      </w:r>
      <w:r>
        <w:rPr>
          <w:rFonts w:ascii="Times New Roman" w:hAnsi="Times New Roman" w:eastAsia="仿宋_GB2312" w:cs="Times New Roman"/>
          <w:sz w:val="32"/>
          <w:szCs w:val="32"/>
        </w:rPr>
        <w:t>，全区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开展早餐示范工程，实施家政、洗染等到家服务，完成阳阳早餐、嘉和一品等品牌企业改造提升，“一刻钟生活服务圈”覆盖率和服务品质显著提升。</w:t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12005" cy="2572385"/>
            <wp:effectExtent l="4445" t="4445" r="6350" b="13970"/>
            <wp:docPr id="48" name="图表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napToGrid w:val="0"/>
          <w:sz w:val="24"/>
          <w:szCs w:val="28"/>
        </w:rPr>
      </w:pPr>
      <w:r>
        <w:rPr>
          <w:rFonts w:ascii="Times New Roman" w:hAnsi="Times New Roman" w:eastAsia="黑体" w:cs="Times New Roman"/>
          <w:snapToGrid w:val="0"/>
          <w:sz w:val="24"/>
          <w:szCs w:val="28"/>
        </w:rPr>
        <w:t>图4 大兴区基本便民商业网点数量</w:t>
      </w:r>
    </w:p>
    <w:p>
      <w:pPr>
        <w:spacing w:line="560" w:lineRule="exact"/>
        <w:ind w:firstLine="640" w:firstLineChars="200"/>
        <w:jc w:val="left"/>
        <w:outlineLvl w:val="0"/>
        <w:rPr>
          <w:rFonts w:ascii="Times New Roman" w:hAnsi="Times New Roman" w:eastAsia="楷体_GB2312" w:cs="Times New Roman"/>
          <w:sz w:val="32"/>
          <w:szCs w:val="32"/>
        </w:rPr>
      </w:pPr>
      <w:bookmarkStart w:id="16" w:name="_Toc40806024"/>
      <w:bookmarkStart w:id="17" w:name="_Toc37151772"/>
      <w:bookmarkStart w:id="18" w:name="_Toc84868972"/>
      <w:r>
        <w:rPr>
          <w:rFonts w:ascii="Times New Roman" w:hAnsi="Times New Roman" w:eastAsia="楷体_GB2312" w:cs="Times New Roman"/>
          <w:sz w:val="32"/>
          <w:szCs w:val="32"/>
        </w:rPr>
        <w:t>（二）</w:t>
      </w:r>
      <w:bookmarkEnd w:id="16"/>
      <w:bookmarkEnd w:id="17"/>
      <w:r>
        <w:rPr>
          <w:rFonts w:ascii="Times New Roman" w:hAnsi="Times New Roman" w:eastAsia="楷体_GB2312" w:cs="Times New Roman"/>
          <w:sz w:val="32"/>
          <w:szCs w:val="32"/>
        </w:rPr>
        <w:t>发展存在问题</w:t>
      </w:r>
      <w:bookmarkEnd w:id="18"/>
    </w:p>
    <w:p>
      <w:pPr>
        <w:spacing w:line="560" w:lineRule="exact"/>
        <w:ind w:firstLine="643" w:firstLineChars="200"/>
        <w:jc w:val="left"/>
        <w:outlineLvl w:val="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1.商业市场规模偏小，产业增长动能有待培育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napToGrid w:val="0"/>
          <w:sz w:val="32"/>
          <w:szCs w:val="32"/>
        </w:rPr>
      </w:pP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“十三五”时期，全区商业蓬勃发展，但对比来看，商业规模仍然偏小。2020年，全区社会消费品零售额仅占全市总量的4.5%，大幅低于中心城区，且与昌平、通州等区具有一定差距；“十三五”时期社会消费品零售额年均增速与“十二五”时期相比呈现明显下滑趋势，增长动力减弱。从商业发展业态类型来看，全区仍以批发零售、住宿餐饮等传统业态为主，汽车、家电零售占据主导地位，融合型、体验型业态培育较为缓慢。</w:t>
      </w:r>
    </w:p>
    <w:p>
      <w:pPr>
        <w:spacing w:line="560" w:lineRule="exact"/>
        <w:ind w:firstLine="643" w:firstLineChars="200"/>
        <w:jc w:val="left"/>
        <w:outlineLvl w:val="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2.大型商业项目较少，空间布局不完善不均衡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napToGrid w:val="0"/>
          <w:sz w:val="32"/>
          <w:szCs w:val="32"/>
        </w:rPr>
      </w:pPr>
      <w:r>
        <w:rPr>
          <w:rFonts w:ascii="Times New Roman" w:hAnsi="Times New Roman" w:eastAsia="仿宋_GB2312" w:cs="Times New Roman"/>
          <w:snapToGrid w:val="0"/>
          <w:sz w:val="32"/>
        </w:rPr>
        <w:t>“十三五”时期，全区加强高端品质商业设施布局，10万平米以上超大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型商业项目达到6个，在全市各区中处于中等靠前水平。但总体来看，1万平米以上商业项目数量仍相对较少，</w:t>
      </w: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与朝阳、海淀、丰台等区相比仍具有较大差距，尤其老旧商业设施居多，</w:t>
      </w:r>
      <w:r>
        <w:rPr>
          <w:rFonts w:ascii="Times New Roman" w:hAnsi="Times New Roman" w:eastAsia="仿宋_GB2312" w:cs="Times New Roman"/>
          <w:snapToGrid w:val="0"/>
          <w:sz w:val="32"/>
        </w:rPr>
        <w:t>具有全市影响力的项目较少，</w:t>
      </w:r>
      <w:r>
        <w:rPr>
          <w:rFonts w:ascii="Times New Roman" w:hAnsi="Times New Roman" w:eastAsia="仿宋_GB2312" w:cs="Times New Roman"/>
          <w:sz w:val="32"/>
        </w:rPr>
        <w:t>高品质商业供给仍然不足。</w:t>
      </w: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从全区商业设施空间分布来看，“北重南轻、西重东轻”特点较为突出，目前大型商业设施主要分布在北部大兴新城，尤其在京开路以西地铁沿线区域高度集中，南部庞各庄、魏善庄等乡镇以及京开路以东观音寺街道、黄村镇孙村组团等区域高品质商业设施较为缺乏。</w:t>
      </w:r>
    </w:p>
    <w:p>
      <w:pPr>
        <w:spacing w:line="560" w:lineRule="exact"/>
        <w:ind w:firstLine="643" w:firstLineChars="200"/>
        <w:jc w:val="left"/>
        <w:outlineLvl w:val="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3.便民服务品质不高，部分区域存在较大缺口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napToGrid w:val="0"/>
          <w:sz w:val="32"/>
          <w:szCs w:val="32"/>
        </w:rPr>
      </w:pP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总体来看，全区便民商业业态发展、区域发展不平衡现象仍较为突出，“小、散、低、乱”网点数量较多，服务品质亟待进一步提升。从基本便民业态发展来看，全区蔬菜零售、早餐、超市（便利店）、美容美发、末端配送等网点均存在不同程度的缺失待补，尤其产业园区、部分小型社区、新建社区、老旧小区、农村地区规范的网点数量较少，无法有效满足居民生活服务需求。从便民商业服务品质来看，全区便民商业网点综合连锁化率仅为31.1%左右，低于全市平均水平，尤其超市和便利店连锁化率低至5.8%，便民商业品质亟待全面提升。</w:t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napToGrid w:val="0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927600" cy="2724150"/>
            <wp:effectExtent l="4445" t="4445" r="8255" b="14605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napToGrid w:val="0"/>
          <w:sz w:val="24"/>
          <w:szCs w:val="28"/>
        </w:rPr>
      </w:pPr>
      <w:r>
        <w:rPr>
          <w:rFonts w:ascii="Times New Roman" w:hAnsi="Times New Roman" w:eastAsia="黑体" w:cs="Times New Roman"/>
          <w:snapToGrid w:val="0"/>
          <w:sz w:val="24"/>
          <w:szCs w:val="28"/>
        </w:rPr>
        <w:t>图5 大兴区基本便民商业网点连锁化率</w:t>
      </w:r>
    </w:p>
    <w:p>
      <w:pPr>
        <w:spacing w:line="560" w:lineRule="exact"/>
        <w:ind w:firstLine="643" w:firstLineChars="200"/>
        <w:jc w:val="left"/>
        <w:outlineLvl w:val="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4.高端化品牌化不足，商业消费引流带动缺乏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napToGrid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</w:rPr>
        <w:t>“十三五”时期，全区商业品质加快升级，但重点领域高端化、规模化、品质化发展仍然不足。</w:t>
      </w: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2020年，全区</w:t>
      </w:r>
      <w:r>
        <w:rPr>
          <w:rFonts w:ascii="Times New Roman" w:hAnsi="Times New Roman" w:eastAsia="仿宋_GB2312" w:cs="Times New Roman"/>
          <w:snapToGrid w:val="0"/>
          <w:sz w:val="32"/>
        </w:rPr>
        <w:t>限额以上批发零售、住宿餐饮单位分别达到280家和43家，</w:t>
      </w:r>
      <w:r>
        <w:rPr>
          <w:rFonts w:ascii="Times New Roman" w:hAnsi="Times New Roman" w:eastAsia="仿宋_GB2312" w:cs="Times New Roman"/>
          <w:snapToGrid w:val="0"/>
          <w:sz w:val="32"/>
          <w:szCs w:val="32"/>
        </w:rPr>
        <w:t>数量与顺义、昌平等新城地区具有较大差距。全区高端住宿配套严重缺乏，星级饭店6家，数量仅为全市的1.5%左右，约为顺义、房山的一半，不足昌平的三分之一，发展短板突出。此外，全区商业品牌活动平台较少，缺乏王府井国际品牌节等具有影响力的活动，目前北京大兴西瓜节等活动对于商业消费的引流作用有限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esin">
    <w15:presenceInfo w15:providerId="None" w15:userId="es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mODEzMjhjYzAyOGQ2M2M1OWQ1ODAyZTg4N2UwN2UifQ=="/>
  </w:docVars>
  <w:rsids>
    <w:rsidRoot w:val="1E0C3D9C"/>
    <w:rsid w:val="1E0C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nhideWhenUsed/>
    <w:qFormat/>
    <w:uiPriority w:val="39"/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hart" Target="charts/chart5.xml"/><Relationship Id="rId7" Type="http://schemas.openxmlformats.org/officeDocument/2006/relationships/chart" Target="charts/chart4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microsoft.com/office/2011/relationships/people" Target="people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WeChat%20Files\wxid_000897dgz0a722\FileStorage\File\2021-03\2020&#24180;&#24635;&#28040;&#36153;&#25968;&#25454;&#20998;&#26376;&#32479;&#35745;(2)(1)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WeChat%20Files\wxid_000897dgz0a722\FileStorage\File\2021-03\2020.1-12&#26376;&#22823;&#20852;&#21306;&#38480;&#39069;&#20197;&#19978;&#25209;&#21457;&#21644;&#38646;&#21806;&#19994;&#12289;&#20303;&#23487;&#21644;&#39184;&#39278;&#19994;&#32463;&#33829;&#24773;&#20917;(1)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2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2.xml"/><Relationship Id="rId1" Type="http://schemas.openxmlformats.org/officeDocument/2006/relationships/package" Target="../embeddings/Workbook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Sheet1!$K$24</c:f>
              <c:strCache>
                <c:ptCount val="1"/>
                <c:pt idx="0">
                  <c:v>社零额（亿元）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Sheet1!$J$25:$J$29</c:f>
              <c:strCache>
                <c:ptCount val="5"/>
                <c:pt idx="0">
                  <c:v>2016年</c:v>
                </c:pt>
                <c:pt idx="1">
                  <c:v>2017年</c:v>
                </c:pt>
                <c:pt idx="2">
                  <c:v>2018年</c:v>
                </c:pt>
                <c:pt idx="3">
                  <c:v>2019年</c:v>
                </c:pt>
                <c:pt idx="4">
                  <c:v>2020年</c:v>
                </c:pt>
              </c:strCache>
            </c:strRef>
          </c:cat>
          <c:val>
            <c:numRef>
              <c:f>Sheet1!$K$25:$K$29</c:f>
              <c:numCache>
                <c:formatCode>General</c:formatCode>
                <c:ptCount val="5"/>
                <c:pt idx="0">
                  <c:v>386.4</c:v>
                </c:pt>
                <c:pt idx="1">
                  <c:v>413.7</c:v>
                </c:pt>
                <c:pt idx="2">
                  <c:v>437.8</c:v>
                </c:pt>
                <c:pt idx="3">
                  <c:v>465.3</c:v>
                </c:pt>
                <c:pt idx="4">
                  <c:v>618.6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2883072"/>
        <c:axId val="502884608"/>
      </c:barChart>
      <c:catAx>
        <c:axId val="502883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502884608"/>
        <c:crosses val="autoZero"/>
        <c:auto val="1"/>
        <c:lblAlgn val="ctr"/>
        <c:lblOffset val="100"/>
        <c:noMultiLvlLbl val="0"/>
      </c:catAx>
      <c:valAx>
        <c:axId val="502884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502883072"/>
        <c:crosses val="autoZero"/>
        <c:crossBetween val="between"/>
      </c:valAx>
      <c:spPr>
        <a:solidFill>
          <a:srgbClr val="FFFFFF"/>
        </a:solidFill>
      </c:spPr>
    </c:plotArea>
    <c:plotVisOnly val="1"/>
    <c:dispBlanksAs val="gap"/>
    <c:showDLblsOverMax val="0"/>
  </c:chart>
  <c:spPr>
    <a:solidFill>
      <a:srgbClr val="FFFFFF"/>
    </a:solidFill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072033771444"/>
          <c:y val="0.0736229221347332"/>
          <c:w val="0.794569743420856"/>
          <c:h val="0.7085686789151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Sheet1!$G$52</c:f>
              <c:strCache>
                <c:ptCount val="1"/>
                <c:pt idx="0">
                  <c:v>商品性消费占总消费比重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Sheet1!$F$53:$F$57</c:f>
              <c:strCache>
                <c:ptCount val="5"/>
                <c:pt idx="0">
                  <c:v>2016年</c:v>
                </c:pt>
                <c:pt idx="1">
                  <c:v>2017年</c:v>
                </c:pt>
                <c:pt idx="2">
                  <c:v>2018年</c:v>
                </c:pt>
                <c:pt idx="3">
                  <c:v>2019年</c:v>
                </c:pt>
                <c:pt idx="4">
                  <c:v>2020年</c:v>
                </c:pt>
              </c:strCache>
            </c:strRef>
          </c:cat>
          <c:val>
            <c:numRef>
              <c:f>Sheet1!$G$53:$G$57</c:f>
              <c:numCache>
                <c:formatCode>0.0%</c:formatCode>
                <c:ptCount val="5"/>
                <c:pt idx="0">
                  <c:v>0.61</c:v>
                </c:pt>
                <c:pt idx="1">
                  <c:v>0.592</c:v>
                </c:pt>
                <c:pt idx="2">
                  <c:v>0.576</c:v>
                </c:pt>
                <c:pt idx="3">
                  <c:v>0.512</c:v>
                </c:pt>
                <c:pt idx="4">
                  <c:v>0.539</c:v>
                </c:pt>
              </c:numCache>
            </c:numRef>
          </c:val>
        </c:ser>
        <c:ser>
          <c:idx val="1"/>
          <c:order val="1"/>
          <c:tx>
            <c:strRef>
              <c:f>Sheet1!$H$52</c:f>
              <c:strCache>
                <c:ptCount val="1"/>
                <c:pt idx="0">
                  <c:v>服务性消费占总消费比重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Sheet1!$F$53:$F$57</c:f>
              <c:strCache>
                <c:ptCount val="5"/>
                <c:pt idx="0">
                  <c:v>2016年</c:v>
                </c:pt>
                <c:pt idx="1">
                  <c:v>2017年</c:v>
                </c:pt>
                <c:pt idx="2">
                  <c:v>2018年</c:v>
                </c:pt>
                <c:pt idx="3">
                  <c:v>2019年</c:v>
                </c:pt>
                <c:pt idx="4">
                  <c:v>2020年</c:v>
                </c:pt>
              </c:strCache>
            </c:strRef>
          </c:cat>
          <c:val>
            <c:numRef>
              <c:f>Sheet1!$H$53:$H$57</c:f>
              <c:numCache>
                <c:formatCode>0.0%</c:formatCode>
                <c:ptCount val="5"/>
                <c:pt idx="0">
                  <c:v>0.39</c:v>
                </c:pt>
                <c:pt idx="1">
                  <c:v>0.408</c:v>
                </c:pt>
                <c:pt idx="2">
                  <c:v>0.424</c:v>
                </c:pt>
                <c:pt idx="3">
                  <c:v>0.488</c:v>
                </c:pt>
                <c:pt idx="4">
                  <c:v>0.461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2774784"/>
        <c:axId val="502809344"/>
      </c:barChart>
      <c:catAx>
        <c:axId val="502774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502809344"/>
        <c:crosses val="autoZero"/>
        <c:auto val="1"/>
        <c:lblAlgn val="ctr"/>
        <c:lblOffset val="100"/>
        <c:noMultiLvlLbl val="0"/>
      </c:catAx>
      <c:valAx>
        <c:axId val="50280934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502774784"/>
        <c:crosses val="autoZero"/>
        <c:crossBetween val="between"/>
      </c:valAx>
      <c:spPr>
        <a:solidFill>
          <a:srgbClr val="FFFFFF"/>
        </a:solidFill>
      </c:spPr>
    </c:plotArea>
    <c:legend>
      <c:legendPos val="r"/>
      <c:layout>
        <c:manualLayout>
          <c:xMode val="edge"/>
          <c:yMode val="edge"/>
          <c:x val="0.111154199475066"/>
          <c:y val="0.892750801983085"/>
          <c:w val="0.791623578302712"/>
          <c:h val="0.075609507144940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</c:spPr>
  <c:txPr>
    <a:bodyPr/>
    <a:lstStyle/>
    <a:p>
      <a:pPr>
        <a:defRPr lang="zh-CN" sz="900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88495188101487"/>
          <c:y val="0.069919072615923"/>
          <c:w val="0.803759186351706"/>
          <c:h val="0.702989938757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Sheet2!$H$28</c:f>
              <c:strCache>
                <c:ptCount val="1"/>
                <c:pt idx="0">
                  <c:v>网络零售额（亿元）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Sheet2!$G$29:$G$33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Sheet2!$H$29:$H$33</c:f>
              <c:numCache>
                <c:formatCode>General</c:formatCode>
                <c:ptCount val="5"/>
                <c:pt idx="0">
                  <c:v>55.7</c:v>
                </c:pt>
                <c:pt idx="1">
                  <c:v>48.1</c:v>
                </c:pt>
                <c:pt idx="2">
                  <c:v>62.3</c:v>
                </c:pt>
                <c:pt idx="3">
                  <c:v>109.8</c:v>
                </c:pt>
                <c:pt idx="4">
                  <c:v>156.8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2967296"/>
        <c:axId val="502973184"/>
      </c:barChart>
      <c:lineChart>
        <c:grouping val="standard"/>
        <c:varyColors val="0"/>
        <c:ser>
          <c:idx val="1"/>
          <c:order val="1"/>
          <c:tx>
            <c:strRef>
              <c:f>Sheet2!$I$28</c:f>
              <c:strCache>
                <c:ptCount val="1"/>
                <c:pt idx="0">
                  <c:v>占社会消费品零售额比重</c:v>
                </c:pt>
              </c:strCache>
            </c:strRef>
          </c:tx>
          <c:spPr>
            <a:ln w="28575" cap="rnd" cmpd="sng" algn="ctr">
              <a:solidFill>
                <a:schemeClr val="accent6">
                  <a:lumMod val="75000"/>
                </a:schemeClr>
              </a:solidFill>
              <a:prstDash val="solid"/>
              <a:round/>
            </a:ln>
          </c:spPr>
          <c:marker>
            <c:spPr>
              <a:solidFill>
                <a:schemeClr val="accent6">
                  <a:lumMod val="75000"/>
                </a:schemeClr>
              </a:solidFill>
              <a:ln w="9525" cap="flat" cmpd="sng" algn="ctr">
                <a:solidFill>
                  <a:schemeClr val="accent6">
                    <a:lumMod val="75000"/>
                  </a:schemeClr>
                </a:solidFill>
                <a:prstDash val="solid"/>
                <a:round/>
              </a:ln>
            </c:spPr>
          </c:marker>
          <c:dLbls>
            <c:dLbl>
              <c:idx val="0"/>
              <c:layout>
                <c:manualLayout>
                  <c:x val="-0.0583333333333334"/>
                  <c:y val="-0.069444444444444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444444444444444"/>
                  <c:y val="-0.050925925925925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27777777777778"/>
                  <c:y val="-0.064814814814814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0416666666666667"/>
                  <c:y val="-0.050925925925925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Sheet2!$G$29:$G$33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Sheet2!$I$29:$I$33</c:f>
              <c:numCache>
                <c:formatCode>0.0%</c:formatCode>
                <c:ptCount val="5"/>
                <c:pt idx="0">
                  <c:v>0.144</c:v>
                </c:pt>
                <c:pt idx="1">
                  <c:v>0.116</c:v>
                </c:pt>
                <c:pt idx="2">
                  <c:v>0.142</c:v>
                </c:pt>
                <c:pt idx="3">
                  <c:v>0.236</c:v>
                </c:pt>
                <c:pt idx="4">
                  <c:v>0.253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974720"/>
        <c:axId val="502980608"/>
      </c:lineChart>
      <c:catAx>
        <c:axId val="50296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502973184"/>
        <c:crosses val="autoZero"/>
        <c:auto val="1"/>
        <c:lblAlgn val="ctr"/>
        <c:lblOffset val="100"/>
        <c:noMultiLvlLbl val="0"/>
      </c:catAx>
      <c:valAx>
        <c:axId val="502973184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502967296"/>
        <c:crosses val="autoZero"/>
        <c:crossBetween val="between"/>
        <c:majorUnit val="30"/>
      </c:valAx>
      <c:catAx>
        <c:axId val="502974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502980608"/>
        <c:crosses val="autoZero"/>
        <c:auto val="1"/>
        <c:lblAlgn val="ctr"/>
        <c:lblOffset val="100"/>
        <c:noMultiLvlLbl val="0"/>
      </c:catAx>
      <c:valAx>
        <c:axId val="502980608"/>
        <c:scaling>
          <c:orientation val="minMax"/>
        </c:scaling>
        <c:delete val="0"/>
        <c:axPos val="r"/>
        <c:numFmt formatCode="0%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502974720"/>
        <c:crosses val="max"/>
        <c:crossBetween val="between"/>
      </c:valAx>
      <c:spPr>
        <a:solidFill>
          <a:srgbClr val="FFFFFF"/>
        </a:solidFill>
      </c:spPr>
    </c:plotArea>
    <c:legend>
      <c:legendPos val="r"/>
      <c:layout>
        <c:manualLayout>
          <c:xMode val="edge"/>
          <c:yMode val="edge"/>
          <c:x val="0.100017626276947"/>
          <c:y val="0.878861913094197"/>
          <c:w val="0.87565356247402"/>
          <c:h val="0.075609507144940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345605462399"/>
          <c:y val="0.096519377931375"/>
          <c:w val="0.830877993601349"/>
          <c:h val="0.5261416934090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便民商业网点!$B$27</c:f>
              <c:strCache>
                <c:ptCount val="1"/>
                <c:pt idx="0">
                  <c:v>网点数量（个）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便民商业网点!$A$28:$A$34</c:f>
              <c:strCache>
                <c:ptCount val="7"/>
                <c:pt idx="0">
                  <c:v>社区超市（便利店）</c:v>
                </c:pt>
                <c:pt idx="1">
                  <c:v>早餐</c:v>
                </c:pt>
                <c:pt idx="2">
                  <c:v>美容美发</c:v>
                </c:pt>
                <c:pt idx="3">
                  <c:v>末端配送</c:v>
                </c:pt>
                <c:pt idx="4">
                  <c:v>蔬菜零售</c:v>
                </c:pt>
                <c:pt idx="5">
                  <c:v>洗染</c:v>
                </c:pt>
                <c:pt idx="6">
                  <c:v>家政</c:v>
                </c:pt>
              </c:strCache>
            </c:strRef>
          </c:cat>
          <c:val>
            <c:numRef>
              <c:f>便民商业网点!$B$28:$B$34</c:f>
              <c:numCache>
                <c:formatCode>General</c:formatCode>
                <c:ptCount val="7"/>
                <c:pt idx="0">
                  <c:v>1629</c:v>
                </c:pt>
                <c:pt idx="1">
                  <c:v>717</c:v>
                </c:pt>
                <c:pt idx="2">
                  <c:v>598</c:v>
                </c:pt>
                <c:pt idx="3">
                  <c:v>388</c:v>
                </c:pt>
                <c:pt idx="4">
                  <c:v>363</c:v>
                </c:pt>
                <c:pt idx="5">
                  <c:v>101</c:v>
                </c:pt>
                <c:pt idx="6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2988160"/>
        <c:axId val="503018624"/>
      </c:barChart>
      <c:catAx>
        <c:axId val="50298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rgbClr val="FFFFFF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03018624"/>
        <c:crosses val="autoZero"/>
        <c:auto val="1"/>
        <c:lblAlgn val="ctr"/>
        <c:lblOffset val="100"/>
        <c:noMultiLvlLbl val="0"/>
      </c:catAx>
      <c:valAx>
        <c:axId val="50301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0298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FFFF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50">
          <a:solidFill>
            <a:sysClr val="windowText" lastClr="000000"/>
          </a:solidFill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980975962851403"/>
          <c:y val="0.0610652375677375"/>
          <c:w val="0.828948575371378"/>
          <c:h val="0.56745884037222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连锁!$C$1</c:f>
              <c:strCache>
                <c:ptCount val="1"/>
                <c:pt idx="0">
                  <c:v>网点数量（含搭载）</c:v>
                </c:pt>
              </c:strCache>
            </c:strRef>
          </c:tx>
          <c:spPr>
            <a:solidFill>
              <a:srgbClr val="ED7D31"/>
            </a:solidFill>
            <a:ln w="25391">
              <a:noFill/>
            </a:ln>
          </c:spPr>
          <c:invertIfNegative val="0"/>
          <c:dLbls>
            <c:delete val="1"/>
          </c:dLbls>
          <c:cat>
            <c:strRef>
              <c:f>连锁!$A$2:$A$7</c:f>
              <c:strCache>
                <c:ptCount val="6"/>
                <c:pt idx="0">
                  <c:v>社区超市（便利店）</c:v>
                </c:pt>
                <c:pt idx="1">
                  <c:v>美容美发</c:v>
                </c:pt>
                <c:pt idx="2">
                  <c:v>早餐</c:v>
                </c:pt>
                <c:pt idx="3">
                  <c:v>蔬菜零售</c:v>
                </c:pt>
                <c:pt idx="4">
                  <c:v>家政</c:v>
                </c:pt>
                <c:pt idx="5">
                  <c:v>洗染</c:v>
                </c:pt>
              </c:strCache>
            </c:strRef>
          </c:cat>
          <c:val>
            <c:numRef>
              <c:f>连锁!$C$2:$C$7</c:f>
              <c:numCache>
                <c:formatCode>General</c:formatCode>
                <c:ptCount val="6"/>
                <c:pt idx="0">
                  <c:v>1629</c:v>
                </c:pt>
                <c:pt idx="1">
                  <c:v>598</c:v>
                </c:pt>
                <c:pt idx="2">
                  <c:v>717</c:v>
                </c:pt>
                <c:pt idx="3">
                  <c:v>363</c:v>
                </c:pt>
                <c:pt idx="4">
                  <c:v>21</c:v>
                </c:pt>
                <c:pt idx="5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2880896"/>
        <c:axId val="502944128"/>
      </c:barChart>
      <c:lineChart>
        <c:grouping val="standard"/>
        <c:varyColors val="0"/>
        <c:ser>
          <c:idx val="0"/>
          <c:order val="0"/>
          <c:tx>
            <c:strRef>
              <c:f>连锁!$B$1</c:f>
              <c:strCache>
                <c:ptCount val="1"/>
                <c:pt idx="0">
                  <c:v>连锁化率</c:v>
                </c:pt>
              </c:strCache>
            </c:strRef>
          </c:tx>
          <c:spPr>
            <a:ln w="19043" cap="rnd" cmpd="sng" algn="ctr">
              <a:noFill/>
              <a:prstDash val="solid"/>
              <a:round/>
            </a:ln>
          </c:spPr>
          <c:marker>
            <c:symbol val="diamond"/>
            <c:size val="6"/>
            <c:spPr>
              <a:solidFill>
                <a:schemeClr val="accent1"/>
              </a:solidFill>
              <a:ln w="9522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 w="25391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连锁!$A$2:$A$7</c:f>
              <c:strCache>
                <c:ptCount val="6"/>
                <c:pt idx="0">
                  <c:v>社区超市（便利店）</c:v>
                </c:pt>
                <c:pt idx="1">
                  <c:v>美容美发</c:v>
                </c:pt>
                <c:pt idx="2">
                  <c:v>早餐</c:v>
                </c:pt>
                <c:pt idx="3">
                  <c:v>蔬菜零售</c:v>
                </c:pt>
                <c:pt idx="4">
                  <c:v>家政</c:v>
                </c:pt>
                <c:pt idx="5">
                  <c:v>洗染</c:v>
                </c:pt>
              </c:strCache>
            </c:strRef>
          </c:cat>
          <c:val>
            <c:numRef>
              <c:f>连锁!$B$2:$B$7</c:f>
              <c:numCache>
                <c:formatCode>0.0%</c:formatCode>
                <c:ptCount val="6"/>
                <c:pt idx="0">
                  <c:v>0.058</c:v>
                </c:pt>
                <c:pt idx="1">
                  <c:v>0.0769230769230769</c:v>
                </c:pt>
                <c:pt idx="2">
                  <c:v>0.139470013947001</c:v>
                </c:pt>
                <c:pt idx="3">
                  <c:v>0.253443526170799</c:v>
                </c:pt>
                <c:pt idx="4">
                  <c:v>0.285714285714286</c:v>
                </c:pt>
                <c:pt idx="5">
                  <c:v>0.306930693069307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945664"/>
        <c:axId val="502947200"/>
      </c:lineChart>
      <c:catAx>
        <c:axId val="50288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2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02944128"/>
        <c:crosses val="autoZero"/>
        <c:auto val="1"/>
        <c:lblAlgn val="ctr"/>
        <c:lblOffset val="100"/>
        <c:noMultiLvlLbl val="0"/>
      </c:catAx>
      <c:valAx>
        <c:axId val="502944128"/>
        <c:scaling>
          <c:orientation val="minMax"/>
        </c:scaling>
        <c:delete val="0"/>
        <c:axPos val="l"/>
        <c:majorGridlines>
          <c:spPr>
            <a:ln w="9522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8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02880896"/>
        <c:crosses val="autoZero"/>
        <c:crossBetween val="between"/>
      </c:valAx>
      <c:catAx>
        <c:axId val="502945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02947200"/>
        <c:crosses val="autoZero"/>
        <c:auto val="1"/>
        <c:lblAlgn val="ctr"/>
        <c:lblOffset val="100"/>
        <c:noMultiLvlLbl val="0"/>
      </c:catAx>
      <c:valAx>
        <c:axId val="502947200"/>
        <c:scaling>
          <c:orientation val="minMax"/>
        </c:scaling>
        <c:delete val="0"/>
        <c:axPos val="r"/>
        <c:numFmt formatCode="0%" sourceLinked="0"/>
        <c:majorTickMark val="out"/>
        <c:minorTickMark val="none"/>
        <c:tickLblPos val="nextTo"/>
        <c:spPr>
          <a:ln w="6348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02945664"/>
        <c:crosses val="max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275725593667546"/>
          <c:y val="0.888349514563107"/>
          <c:w val="0.448548812664908"/>
          <c:h val="0.0752427184466019"/>
        </c:manualLayout>
      </c:layout>
      <c:overlay val="0"/>
      <c:spPr>
        <a:noFill/>
        <a:ln w="25391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9522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>
          <a:solidFill>
            <a:schemeClr val="tx1"/>
          </a:solidFill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2022-09-21T05:46:00Z</dcterms:created>
  <dc:creator>米露露</dc:creator>
  <cp:lastModifiedBy>米露露</cp:lastModifiedBy>
  <dcterms:modified xsi:type="dcterms:W3CDTF">2022-09-21T05:47:29Z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7F73365965D64DCBB50899A973D27C8E</vt:lpwstr>
  </property>
</Properties>
</file>