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黑体" w:cs="Times New Roman"/>
          <w:sz w:val="32"/>
          <w:szCs w:val="32"/>
        </w:rPr>
      </w:pPr>
      <w:bookmarkStart w:id="0" w:name="_Toc37151792"/>
      <w:bookmarkStart w:id="1" w:name="_Toc40806032"/>
      <w:bookmarkStart w:id="2" w:name="_Toc84868984"/>
      <w:bookmarkStart w:id="28" w:name="_GoBack"/>
      <w:r>
        <w:rPr>
          <w:rFonts w:ascii="Times New Roman" w:hAnsi="Times New Roman" w:eastAsia="黑体" w:cs="Times New Roman"/>
          <w:sz w:val="32"/>
          <w:szCs w:val="32"/>
        </w:rPr>
        <w:t>四、</w:t>
      </w:r>
      <w:bookmarkEnd w:id="0"/>
      <w:bookmarkEnd w:id="1"/>
      <w:r>
        <w:rPr>
          <w:rFonts w:ascii="Times New Roman" w:hAnsi="Times New Roman" w:eastAsia="黑体" w:cs="Times New Roman"/>
          <w:sz w:val="32"/>
          <w:szCs w:val="32"/>
        </w:rPr>
        <w:t>重点发展业态领域</w:t>
      </w:r>
      <w:bookmarkEnd w:id="2"/>
    </w:p>
    <w:bookmarkEnd w:id="28"/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3" w:name="_Toc84868985"/>
      <w:r>
        <w:rPr>
          <w:rFonts w:ascii="Times New Roman" w:hAnsi="Times New Roman" w:eastAsia="楷体_GB2312" w:cs="Times New Roman"/>
          <w:sz w:val="32"/>
          <w:szCs w:val="32"/>
        </w:rPr>
        <w:t>（一）集聚高端商业业态</w:t>
      </w:r>
      <w:bookmarkEnd w:id="3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围绕北京国际消费中心城市重要节点建设，聚焦国际化、品牌化、体验化、智慧化，全面推动商业发展提质增效，加快形成品牌汇集、品质高端、智慧融合的多层次商品和服务供给体系，打造全市国际消费、高端消费新目的地。</w:t>
      </w:r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4" w:name="_Toc37665881"/>
      <w:bookmarkStart w:id="5" w:name="_Toc37698173"/>
      <w:bookmarkStart w:id="6" w:name="_Toc37151794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1.扩大品牌商业供给</w:t>
      </w:r>
      <w:bookmarkEnd w:id="4"/>
      <w:bookmarkEnd w:id="5"/>
      <w:bookmarkEnd w:id="6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紧跟全球商业风向标，以全区商业新开发空间及现有大型商业设施为核心承载，聚焦零售、餐饮、住宿等重点领域，着力实施品牌化战略，扩大优质商业供给。</w:t>
      </w:r>
      <w:r>
        <w:rPr>
          <w:rFonts w:ascii="Times New Roman" w:hAnsi="Times New Roman" w:eastAsia="仿宋_GB2312" w:cs="Times New Roman"/>
          <w:sz w:val="32"/>
        </w:rPr>
        <w:t>做强区域首店特</w:t>
      </w:r>
      <w:r>
        <w:rPr>
          <w:rFonts w:ascii="Times New Roman" w:hAnsi="Times New Roman" w:eastAsia="仿宋_GB2312" w:cs="Times New Roman"/>
          <w:sz w:val="32"/>
          <w:szCs w:val="32"/>
        </w:rPr>
        <w:t>色，支持引进国内外品牌的亚洲首店、中国（内地）首店、北京首店，鼓励国际知名品牌举办新品首发活动，打造全市首店经济新高地。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推动品牌零售业发展，鼓励大型商业主体聚焦顶奢、轻奢、高阶服饰、箱包、手表、珠宝、美妆等品类，加强全球知名品牌</w:t>
      </w:r>
      <w:r>
        <w:rPr>
          <w:rFonts w:ascii="Times New Roman" w:hAnsi="Times New Roman" w:eastAsia="仿宋_GB2312" w:cs="Times New Roman"/>
          <w:sz w:val="32"/>
          <w:szCs w:val="32"/>
        </w:rPr>
        <w:t>旗舰店、定制店、潮牌店、新锐网红店等业态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聚集。加强品牌餐饮业态聚集，聚焦高精尖产业人群服务及居民消费升级需求，支持引入</w:t>
      </w:r>
      <w:r>
        <w:rPr>
          <w:rFonts w:ascii="Times New Roman" w:hAnsi="Times New Roman" w:eastAsia="仿宋_GB2312" w:cs="Times New Roman"/>
          <w:sz w:val="32"/>
        </w:rPr>
        <w:t>米其林餐厅、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商务</w:t>
      </w:r>
      <w:r>
        <w:rPr>
          <w:rFonts w:ascii="Times New Roman" w:hAnsi="Times New Roman" w:eastAsia="仿宋_GB2312" w:cs="Times New Roman"/>
          <w:sz w:val="32"/>
        </w:rPr>
        <w:t>会所式餐厅、品牌西餐厅、私人定制餐厅以及艺术咖啡厅等。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提升住宿业发展品质，聚焦商务办公、旅游休闲等各类人群服务需求，积极发展五星级商务会展酒店、休闲度假酒店、特色主题酒店等业态。</w:t>
      </w:r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7" w:name="_Toc37151795"/>
      <w:bookmarkStart w:id="8" w:name="_Toc37665882"/>
      <w:bookmarkStart w:id="9" w:name="_Toc37698174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2.加强体验商业布局</w:t>
      </w:r>
      <w:bookmarkEnd w:id="7"/>
      <w:bookmarkEnd w:id="8"/>
      <w:bookmarkEnd w:id="9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kern w:val="0"/>
          <w:sz w:val="32"/>
          <w:szCs w:val="32"/>
        </w:rPr>
      </w:pPr>
      <w:r>
        <w:rPr>
          <w:rFonts w:ascii="Times New Roman" w:hAnsi="Times New Roman" w:eastAsia="仿宋_GB2312" w:cs="Times New Roman"/>
          <w:kern w:val="0"/>
          <w:sz w:val="32"/>
          <w:szCs w:val="32"/>
        </w:rPr>
        <w:t>瞄准新兴中产阶级全新休闲生活方式，突出生活情境与社交功能，着力发展体验式、定制化、场景化的商业新业态、新模式，引领生活方式变革与商业消费新潮流。积极发展科技体验型业态，支持传统商业应用AI、VR、AR等前沿技术拓展体验功能，鼓励商业设施加强电子竞技、科幻体验、情境模拟等新兴热点引入。丰富文化休闲体验业态，支持大型商业设施构建人文与建筑、商业与艺术、生活与美学融合的体验空间，引入文化生活馆、艺术创作工坊、演艺剧场、文创潮玩体验店、城市书房等体验型业态。瞄准亲子消费、健康消费巨大市场，加强娱乐休闲体验业态布局，积极发展儿童主题娱乐、亲子游憩、康体理疗、体育健身等休闲体验型商业业态。</w:t>
      </w:r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10" w:name="_Toc37698175"/>
      <w:bookmarkStart w:id="11" w:name="_Toc37151796"/>
      <w:bookmarkStart w:id="12" w:name="_Toc37665883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3.培育发展智慧商业</w:t>
      </w:r>
      <w:bookmarkEnd w:id="10"/>
      <w:bookmarkEnd w:id="11"/>
      <w:bookmarkEnd w:id="12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发挥区域电子商务平台聚集优势，强化物联网、大数据、人工智能等前沿科技对商业经营模式、服务内容的支撑，积极培育智慧商业业态，推动商业价值重构与发展方式变革。推动新零售发展，</w:t>
      </w:r>
      <w:r>
        <w:rPr>
          <w:rFonts w:ascii="Times New Roman" w:hAnsi="Times New Roman" w:eastAsia="仿宋_GB2312" w:cs="Times New Roman"/>
          <w:sz w:val="32"/>
          <w:szCs w:val="32"/>
        </w:rPr>
        <w:t>聚焦家居生活、餐饮休闲、数码科技等领域，加强智慧零售、无人零售、跨界零售等新兴业态聚集，引导医药和医疗器械、文化艺术传媒等优势领域向新零售拓展，落地一批特色领域智慧体验门店。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围绕大型居住社区规划建设，拓展品牌新零售门店布局，支持现有大型商业设施引进品牌超市。加强智慧融合型商业业态培育，支持企业开展线上线下、多样化触点、全场景互动业务。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13" w:name="_Toc40806034"/>
      <w:bookmarkStart w:id="14" w:name="_Toc84868986"/>
      <w:bookmarkStart w:id="15" w:name="_Toc37151797"/>
      <w:r>
        <w:rPr>
          <w:rFonts w:ascii="Times New Roman" w:hAnsi="Times New Roman" w:eastAsia="楷体_GB2312" w:cs="Times New Roman"/>
          <w:sz w:val="32"/>
          <w:szCs w:val="32"/>
        </w:rPr>
        <w:t>（二）培育特色临空商业业态</w:t>
      </w:r>
      <w:bookmarkEnd w:id="13"/>
      <w:bookmarkEnd w:id="14"/>
      <w:bookmarkEnd w:id="15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Cs/>
          <w:sz w:val="32"/>
          <w:szCs w:val="28"/>
        </w:rPr>
        <w:t>充分发挥北京大兴国际机场国际航空枢纽优势，依托机场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临空经济区、综合保税区和自贸区</w:t>
      </w:r>
      <w:r>
        <w:rPr>
          <w:rFonts w:ascii="Times New Roman" w:hAnsi="Times New Roman" w:eastAsia="仿宋_GB2312" w:cs="Times New Roman"/>
          <w:bCs/>
          <w:sz w:val="32"/>
          <w:szCs w:val="28"/>
        </w:rPr>
        <w:t>以及北京电子商务中心区建设，着力发展临空经济特征突出的免税商业、跨境电子商务等业态，提升物流现代化、数字化服务水平，打造“商通天下”的临空高端商业集散地。</w:t>
      </w:r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16" w:name="_Toc37151798"/>
      <w:bookmarkStart w:id="17" w:name="_Toc37698177"/>
      <w:bookmarkStart w:id="18" w:name="_Toc37665885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1.打造免税商业特色</w:t>
      </w:r>
      <w:bookmarkEnd w:id="16"/>
      <w:bookmarkEnd w:id="17"/>
      <w:bookmarkEnd w:id="18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Cs/>
          <w:sz w:val="32"/>
          <w:szCs w:val="28"/>
        </w:rPr>
        <w:t>聚焦引导国际消费回流，扩大大兴国际机场免税店规模，支持机场引入免税经营企业增设口岸出境免税店，推动免税店设立市内免税店离境提货点。支持品牌商业主体申请离境退税商店经营资质，推进离境退税商店和“即买即退”试点商店建设，提高市内离境退税商店覆盖率。支持创建离境退税示范商圈或街区，鼓励探索多种退税渠道和手段。</w:t>
      </w:r>
    </w:p>
    <w:p>
      <w:pPr>
        <w:spacing w:line="560" w:lineRule="exact"/>
        <w:ind w:firstLine="643" w:firstLineChars="200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19" w:name="_Toc37665886"/>
      <w:bookmarkStart w:id="20" w:name="_Toc37151799"/>
      <w:bookmarkStart w:id="21" w:name="_Toc37698178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2.做大做强跨境电商</w:t>
      </w:r>
      <w:bookmarkEnd w:id="19"/>
      <w:bookmarkEnd w:id="20"/>
      <w:bookmarkEnd w:id="21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Cs/>
          <w:sz w:val="32"/>
          <w:szCs w:val="28"/>
        </w:rPr>
        <w:t>围绕跨境电商生态链构建，加强国内外有影响力的跨境电商企业引进培育，着力打造北京跨境电商综合试验区核心引领区。依托</w:t>
      </w:r>
      <w:r>
        <w:rPr>
          <w:rFonts w:ascii="Times New Roman" w:hAnsi="Times New Roman" w:eastAsia="仿宋_GB2312" w:cs="Times New Roman"/>
          <w:sz w:val="32"/>
          <w:szCs w:val="32"/>
        </w:rPr>
        <w:t>北京电子商务中心区建设，打造</w:t>
      </w:r>
      <w:r>
        <w:rPr>
          <w:rFonts w:ascii="Times New Roman" w:hAnsi="Times New Roman" w:eastAsia="仿宋_GB2312" w:cs="Times New Roman"/>
          <w:bCs/>
          <w:sz w:val="32"/>
          <w:szCs w:val="28"/>
        </w:rPr>
        <w:t>跨境电子商务产业园区（基地），完善仓储物流、展示交易、金融服务、信用保险、研发创新等综合服务体系，吸引跨境电商企业入驻，提升产业集聚和示范效应。支持品牌跨境电商零售出口企业通过建立海外运营中心、海外仓、线上线下体验店和配送网点等模式，加速融入境外零售体系。依托保税区建设，鼓励保税商品展示体验、保税进口等跨境电商与传统零售相结合的业态创新，支持跨境电商企业试点“前店后仓”式的体验店+保税仓新模式，打造“极速”购买体验。</w:t>
      </w:r>
    </w:p>
    <w:p>
      <w:pPr>
        <w:spacing w:line="560" w:lineRule="exact"/>
        <w:ind w:firstLine="643" w:firstLineChars="200"/>
        <w:jc w:val="left"/>
        <w:outlineLvl w:val="2"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bookmarkStart w:id="22" w:name="_Toc37665887"/>
      <w:bookmarkStart w:id="23" w:name="_Toc37151800"/>
      <w:bookmarkStart w:id="24" w:name="_Toc37698179"/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3.提升发展现代物流</w:t>
      </w:r>
      <w:bookmarkEnd w:id="22"/>
      <w:bookmarkEnd w:id="23"/>
      <w:bookmarkEnd w:id="24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Cs/>
          <w:sz w:val="32"/>
          <w:szCs w:val="28"/>
        </w:rPr>
        <w:t>优化商业流通网络体系，完善物流基地、物流配送中心、末端配送网点的分级物流基础设施网络布局，加强物流配送停靠、装卸等作业设施配置。着力发展空港物流，依托保税区、自贸区建设，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发展“卡车航班”“空空中转”通关模式，构建高价值商品出入境的快捷口岸物流服务网络。完善京南物流基地交易办公、集中结算、金融服务、质量监测功能，推动多级温控冷库、恒温恒湿仓库和大型分拨配送中心建设，支持开展多式联运模式示范应用，打造面向华北、辐射全国的流通集散地。加强与天津港、唐山港等联动，提升京津冀区域多式联运服务能力。</w:t>
      </w:r>
      <w:r>
        <w:fldChar w:fldCharType="begin"/>
      </w:r>
      <w:r>
        <w:instrText xml:space="preserve"> HYPERLINK "http://www.baidu.com/link?url=l2Q0Vd3G0oAN-Vw7KX8iOK9ho9LHkyfFEhJsWBbX6R0GGNY3bQii36uDc2QPXbRK1p-qlfDLwsqVv_vbv3rOdq" \t "_blank" </w:instrText>
      </w:r>
      <w:r>
        <w:fldChar w:fldCharType="separate"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完善物流末端配送体系</w:t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fldChar w:fldCharType="end"/>
      </w:r>
      <w:r>
        <w:rPr>
          <w:rFonts w:ascii="Times New Roman" w:hAnsi="Times New Roman" w:eastAsia="仿宋_GB2312" w:cs="Times New Roman"/>
          <w:kern w:val="0"/>
          <w:sz w:val="32"/>
          <w:szCs w:val="32"/>
        </w:rPr>
        <w:t>，加强专业网点设立，强化农村地区末端配送网点建设，实现“十四五”期末全区末端配送网点全覆盖。</w:t>
      </w:r>
    </w:p>
    <w:p>
      <w:pPr>
        <w:spacing w:line="560" w:lineRule="exact"/>
        <w:ind w:firstLine="640" w:firstLineChars="200"/>
        <w:jc w:val="left"/>
        <w:outlineLvl w:val="0"/>
        <w:rPr>
          <w:rFonts w:ascii="Times New Roman" w:hAnsi="Times New Roman" w:eastAsia="楷体_GB2312" w:cs="Times New Roman"/>
          <w:sz w:val="32"/>
          <w:szCs w:val="32"/>
        </w:rPr>
      </w:pPr>
      <w:bookmarkStart w:id="25" w:name="_Toc40806035"/>
      <w:bookmarkStart w:id="26" w:name="_Toc84868987"/>
      <w:r>
        <w:rPr>
          <w:rFonts w:ascii="Times New Roman" w:hAnsi="Times New Roman" w:eastAsia="楷体_GB2312" w:cs="Times New Roman"/>
          <w:sz w:val="32"/>
          <w:szCs w:val="32"/>
        </w:rPr>
        <w:t>（三）提升生活性服务业品质</w:t>
      </w:r>
      <w:bookmarkEnd w:id="25"/>
      <w:bookmarkEnd w:id="26"/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Cs/>
          <w:sz w:val="32"/>
          <w:szCs w:val="28"/>
        </w:rPr>
        <w:t>围绕全区生活服务业发展不平衡、不充分问题，</w:t>
      </w:r>
      <w:r>
        <w:rPr>
          <w:rFonts w:ascii="Times New Roman" w:hAnsi="Times New Roman" w:eastAsia="仿宋_GB2312" w:cs="Times New Roman"/>
          <w:sz w:val="32"/>
          <w:szCs w:val="32"/>
        </w:rPr>
        <w:t>坚持以“保基本、提品质、有特色”为基本原则，加快完善便民商业网点布局，积极培育新业态、新模式，</w:t>
      </w:r>
      <w:r>
        <w:rPr>
          <w:rFonts w:ascii="Times New Roman" w:hAnsi="Times New Roman" w:eastAsia="仿宋_GB2312" w:cs="Times New Roman"/>
          <w:bCs/>
          <w:sz w:val="32"/>
          <w:szCs w:val="28"/>
        </w:rPr>
        <w:t>整体提升全区生活服务功能品质，增强人民群众获得感、幸福感。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1.提升便民商业便利化水平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28"/>
        </w:rPr>
        <w:t>实施基本便民商业网点增补计划，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加强便民网点跟踪核验，</w:t>
      </w:r>
      <w:r>
        <w:rPr>
          <w:rFonts w:ascii="Times New Roman" w:hAnsi="Times New Roman" w:eastAsia="仿宋_GB2312" w:cs="Times New Roman"/>
          <w:bCs/>
          <w:sz w:val="32"/>
          <w:szCs w:val="28"/>
        </w:rPr>
        <w:t>补齐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蔬菜零售、早餐、超市（便利店）、美容美发、末端配送等缺失网点，实现基本便民网点覆盖率达到市级标准</w:t>
      </w:r>
      <w:r>
        <w:rPr>
          <w:rFonts w:ascii="Times New Roman" w:hAnsi="Times New Roman" w:eastAsia="仿宋_GB2312" w:cs="Times New Roman"/>
          <w:bCs/>
          <w:sz w:val="32"/>
          <w:szCs w:val="28"/>
        </w:rPr>
        <w:t>。加强社区便民商业发展，按照市级要求科学配置</w:t>
      </w:r>
      <w:r>
        <w:rPr>
          <w:rFonts w:ascii="Times New Roman" w:hAnsi="Times New Roman" w:eastAsia="仿宋_GB2312" w:cs="Times New Roman"/>
          <w:sz w:val="32"/>
          <w:szCs w:val="32"/>
        </w:rPr>
        <w:t>新建社区基本便民服务设施规模、位置和业态构成，创新老旧小区便民商业发展模式，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实现社区</w:t>
      </w:r>
      <w:r>
        <w:rPr>
          <w:rFonts w:ascii="Times New Roman" w:hAnsi="Times New Roman" w:eastAsia="仿宋_GB2312" w:cs="Times New Roman"/>
          <w:bCs/>
          <w:sz w:val="32"/>
          <w:szCs w:val="28"/>
        </w:rPr>
        <w:t>便民网点全覆盖。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提升产业园区便民商业服务功能，聚焦科技人才、商务人才办公及生活服务需求，发展休闲社交、文化体验、体育健身、宠物服务等业态。推进农村地区便民商业发展，结合“美丽乡村”建设，以镇域中心地区商业街、集贸市场为依托，完善菜市场、超市、便利店、餐饮店等便民服务业态布局。 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2.推动便民商业品质化升级</w:t>
      </w:r>
    </w:p>
    <w:p>
      <w:pPr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提高生活服务业准入门槛，加强区企合作，重点引进优质品牌商资源库企业以及连锁化、品牌化企业，创建一批标准化生活性服务业门店。加强连锁化、品牌化超市和便利店布局，在有条件区域发展精品社区超市和生鲜超市。发挥区内品牌便民商业企业引领作用，支持企业开展连锁化经营，拓展品牌分店。加强现有便民商业业态整合、集成与提升，鼓励电商平台企业、支付型企业、物流配送企业以品牌授权、金融扶持等方式跨界整合“小散”社区小店。加强集超市、理发店、洗衣店、药店、末端配送点等功能于一体的一站式便民服务综合体和服务E中心布局，挂牌一批示范性强的</w:t>
      </w:r>
      <w:r>
        <w:rPr>
          <w:rFonts w:ascii="Times New Roman" w:hAnsi="Times New Roman" w:eastAsia="仿宋_GB2312" w:cs="Times New Roman"/>
          <w:sz w:val="32"/>
          <w:szCs w:val="32"/>
        </w:rPr>
        <w:t>“一站式”生活服务</w:t>
      </w: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中心。</w:t>
      </w:r>
    </w:p>
    <w:p>
      <w:pPr>
        <w:spacing w:line="560" w:lineRule="exact"/>
        <w:ind w:firstLine="643" w:firstLineChars="200"/>
        <w:outlineLvl w:val="2"/>
        <w:rPr>
          <w:rFonts w:ascii="Times New Roman" w:hAnsi="Times New Roman" w:eastAsia="仿宋_GB2312" w:cs="Times New Roman"/>
          <w:b/>
          <w:bCs/>
          <w:sz w:val="32"/>
          <w:szCs w:val="28"/>
        </w:rPr>
      </w:pPr>
      <w:bookmarkStart w:id="27" w:name="_Toc37151802"/>
      <w:r>
        <w:rPr>
          <w:rFonts w:ascii="Times New Roman" w:hAnsi="Times New Roman" w:eastAsia="仿宋_GB2312" w:cs="Times New Roman"/>
          <w:b/>
          <w:bCs/>
          <w:sz w:val="32"/>
          <w:szCs w:val="28"/>
        </w:rPr>
        <w:t>3.增强便民商业智慧化体验</w:t>
      </w: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napToGrid w:val="0"/>
          <w:sz w:val="32"/>
          <w:szCs w:val="32"/>
        </w:rPr>
      </w:pPr>
      <w:r>
        <w:rPr>
          <w:rFonts w:ascii="Times New Roman" w:hAnsi="Times New Roman" w:eastAsia="仿宋_GB2312" w:cs="Times New Roman"/>
          <w:snapToGrid w:val="0"/>
          <w:sz w:val="32"/>
          <w:szCs w:val="32"/>
        </w:rPr>
        <w:t>聚焦生活服务业重点领域，支持传统零售和渠道电商整合资源，搭建线上超市、智慧微菜场，加强线下无人超市、无人便利店、智能售货机、无人回收站等智慧服务终端配置，积极发展人脸识别、指纹支付、无感支付等新型支付结算，打造“24小时响应”的便民服务体系。鼓励企业构建云服务智慧社区平台，支持开发社区购物和服务应用软件、小程序，整合社区商业资源，打通电子商务、社区网点及配送平台信息链，提供线上下单、便捷支付、网订店取、配送到家的便捷服务。积极推动“无接触”配送模式，鼓励物业与快递企业建立市场化协作机制，支持社区、产业园区、商务楼宇加强智能储物柜、末端配送服务站和配送自提点布局，保障“最后一公里”送达。</w:t>
      </w:r>
    </w:p>
    <w:bookmarkEnd w:id="27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mODEzMjhjYzAyOGQ2M2M1OWQ1ODAyZTg4N2UwN2UifQ=="/>
  </w:docVars>
  <w:rsids>
    <w:rsidRoot w:val="7C205A1C"/>
    <w:rsid w:val="7C205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2022-09-21T05:48:00Z</dcterms:created>
  <dc:creator>米露露</dc:creator>
  <cp:lastModifiedBy>米露露</cp:lastModifiedBy>
  <dcterms:modified xsi:type="dcterms:W3CDTF">2022-09-21T05:49:03Z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4D9F4ED08F85440D99A4D44E02C2EDD0</vt:lpwstr>
  </property>
</Properties>
</file>