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Toc84869000"/>
      <w:bookmarkStart w:id="1" w:name="_Toc40806048"/>
      <w:bookmarkStart w:id="2" w:name="_Toc37151835"/>
      <w:bookmarkStart w:id="13" w:name="_GoBack"/>
      <w:r>
        <w:rPr>
          <w:rFonts w:ascii="Times New Roman" w:hAnsi="Times New Roman" w:eastAsia="黑体" w:cs="Times New Roman"/>
          <w:sz w:val="32"/>
          <w:szCs w:val="32"/>
        </w:rPr>
        <w:t>七、规划实施保障</w:t>
      </w:r>
      <w:bookmarkEnd w:id="0"/>
      <w:bookmarkEnd w:id="1"/>
      <w:bookmarkEnd w:id="2"/>
    </w:p>
    <w:bookmarkEnd w:id="13"/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3" w:name="_Toc40806049"/>
      <w:bookmarkStart w:id="4" w:name="_Toc84869001"/>
      <w:bookmarkStart w:id="5" w:name="_Toc37151836"/>
      <w:r>
        <w:rPr>
          <w:rFonts w:ascii="Times New Roman" w:hAnsi="Times New Roman" w:eastAsia="楷体_GB2312" w:cs="Times New Roman"/>
          <w:sz w:val="32"/>
          <w:szCs w:val="32"/>
        </w:rPr>
        <w:t>（一）建立协调联动工作机制</w:t>
      </w:r>
      <w:bookmarkEnd w:id="3"/>
      <w:bookmarkEnd w:id="4"/>
    </w:p>
    <w:bookmarkEnd w:id="5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28"/>
        </w:rPr>
        <w:t>建立由</w:t>
      </w:r>
      <w:r>
        <w:fldChar w:fldCharType="begin"/>
      </w:r>
      <w:r>
        <w:instrText xml:space="preserve"> HYPERLINK "http://www.baidu.com/link?url=a_vSXDsbz_F5NX6iixvY1gbf0W_m7BPg_RSYtcGhZrFTgMPq3nZzyrXAER_TJEfdgsmHMqQXZ4Imm8E5MVYP5F0mgpl1nAW10fPIgbUSldC"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28"/>
        </w:rPr>
        <w:t>区级统筹、各相关部门和街镇“上下一体、协同推进”的</w:t>
      </w:r>
      <w:r>
        <w:rPr>
          <w:rFonts w:ascii="Times New Roman" w:hAnsi="Times New Roman" w:eastAsia="仿宋_GB2312" w:cs="Times New Roman"/>
          <w:sz w:val="32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28"/>
        </w:rPr>
        <w:t>促进商业发展工作机制，抓好商业规划主要指标以及重点任务、重大项目和工程的落地实施，推动全区商业发展规划全面落实。建立健全商业发展联席会议制度，对重点项目规划、大型商业设施立项、商业支持政策等重大事项进行协商，研究制定解决方案，协调解决规划实施过程中跨领域、跨部门、跨层级的突出问题和重大难题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6" w:name="_Toc40806050"/>
      <w:bookmarkStart w:id="7" w:name="_Toc84869002"/>
      <w:r>
        <w:rPr>
          <w:rFonts w:ascii="Times New Roman" w:hAnsi="Times New Roman" w:eastAsia="楷体_GB2312" w:cs="Times New Roman"/>
          <w:sz w:val="32"/>
          <w:szCs w:val="32"/>
        </w:rPr>
        <w:t>（二）加强商业项目用地保障</w:t>
      </w:r>
      <w:bookmarkEnd w:id="6"/>
      <w:bookmarkEnd w:id="7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面落实分区规划，优化全区土地供应协调机制，合理确定用地供给，做好自贸区、临空区、南中轴沿线区域等重点区域商业用地保障。加强规划统筹，推动重大商业设施与周边区域产业、交通、生态、公共服务的一体化规划建设，整体打造高品质商业空间。进一步推动农村集体经营性建设用地入市，强化对重大商业品牌项目的用地保障。落实全市对</w:t>
      </w:r>
      <w:r>
        <w:rPr>
          <w:rFonts w:ascii="Times New Roman" w:hAnsi="Times New Roman" w:eastAsia="仿宋_GB2312" w:cs="Times New Roman"/>
          <w:sz w:val="32"/>
        </w:rPr>
        <w:t>居住配套商业服务设施规划建设、街区商业生态配置指标要求，</w:t>
      </w:r>
      <w:r>
        <w:rPr>
          <w:rFonts w:ascii="Times New Roman" w:hAnsi="Times New Roman" w:eastAsia="仿宋_GB2312" w:cs="Times New Roman"/>
          <w:sz w:val="32"/>
          <w:szCs w:val="32"/>
        </w:rPr>
        <w:t>完善社区商业用地保障和</w:t>
      </w:r>
      <w:r>
        <w:rPr>
          <w:rFonts w:ascii="Times New Roman" w:hAnsi="Times New Roman" w:eastAsia="仿宋_GB2312" w:cs="Times New Roman"/>
          <w:sz w:val="32"/>
        </w:rPr>
        <w:t>配置比例。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8" w:name="_Toc40806051"/>
      <w:bookmarkStart w:id="9" w:name="_Toc84869003"/>
      <w:r>
        <w:rPr>
          <w:rFonts w:ascii="Times New Roman" w:hAnsi="Times New Roman" w:eastAsia="楷体_GB2312" w:cs="Times New Roman"/>
          <w:sz w:val="32"/>
          <w:szCs w:val="32"/>
        </w:rPr>
        <w:t>（三）优化商业发展营商环境</w:t>
      </w:r>
      <w:bookmarkEnd w:id="8"/>
      <w:bookmarkEnd w:id="9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落实全市优化营商环境任务部署，持续深化商业领域放管服改革，精减审批事项、简化审批流程，加强政务服务、投资贸易、市场秩序等方面的改革部署。鼓励商业流通领域新业态、新模式的发展，采取开放包容审慎的产业监管模式。完善商业发展政策环境，加强商业设施改造、重点商圈升级、新兴业态模式培育、品牌首店落地等方面的资金支持力度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10" w:name="_Toc84869004"/>
      <w:bookmarkStart w:id="11" w:name="_Toc40806052"/>
      <w:bookmarkStart w:id="12" w:name="_Toc37151837"/>
      <w:r>
        <w:rPr>
          <w:rFonts w:ascii="Times New Roman" w:hAnsi="Times New Roman" w:eastAsia="楷体_GB2312" w:cs="Times New Roman"/>
          <w:sz w:val="32"/>
          <w:szCs w:val="32"/>
        </w:rPr>
        <w:t>（四）强化商业品牌宣传推介</w:t>
      </w:r>
      <w:bookmarkEnd w:id="10"/>
      <w:bookmarkEnd w:id="11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挖掘区域商业特色，凸显新国门形象，以大兴国际消费中心城市重要节点打造为契机，制定整体营销推广方案，实施品牌推广年度计划。搭建多元活动推广平台，组织策划京南品牌商业消费节，积极举办跨境电商、医药及医疗器械等特色领域的商业活动，提升大兴商业品牌影响力。实施多渠道营销推介，通过门户网站及微博、微信、短视频、直播等新兴媒体平台加强区域商业品牌及重大项目推广。</w:t>
      </w:r>
      <w:bookmarkEnd w:id="12"/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3393207"/>
    <w:rsid w:val="233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2022-09-21T05:50:00Z</dcterms:created>
  <dc:creator>米露露</dc:creator>
  <cp:lastModifiedBy>米露露</cp:lastModifiedBy>
  <dcterms:modified xsi:type="dcterms:W3CDTF">2022-09-21T05:50:21Z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D51470A8D65C4DF09A860AF7086DAADA</vt:lpwstr>
  </property>
</Properties>
</file>