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1"/>
        </w:numPr>
        <w:wordWrap/>
        <w:adjustRightInd/>
        <w:snapToGrid/>
        <w:spacing w:line="560" w:lineRule="exact"/>
        <w:jc w:val="center"/>
        <w:textAlignment w:val="auto"/>
        <w:outlineLvl w:val="0"/>
        <w:rPr>
          <w:rFonts w:hint="eastAsia" w:ascii="方正小标宋简体" w:hAnsi="方正小标宋简体" w:eastAsia="方正小标宋简体" w:cs="方正小标宋简体"/>
          <w:color w:val="auto"/>
          <w:sz w:val="44"/>
          <w:szCs w:val="44"/>
          <w:lang w:val="en-US" w:eastAsia="zh-CN"/>
        </w:rPr>
      </w:pPr>
      <w:bookmarkStart w:id="139" w:name="_GoBack"/>
      <w:bookmarkStart w:id="0" w:name="_Toc6916_WPSOffice_Level1"/>
      <w:bookmarkStart w:id="1" w:name="_Toc20611_WPSOffice_Level1"/>
      <w:bookmarkStart w:id="2" w:name="_Toc15293"/>
      <w:bookmarkStart w:id="3" w:name="_Toc7089"/>
      <w:bookmarkStart w:id="4" w:name="_Toc11973"/>
      <w:bookmarkStart w:id="5" w:name="_Toc30612"/>
      <w:bookmarkStart w:id="6" w:name="_Toc3103"/>
      <w:bookmarkStart w:id="7" w:name="_Toc18523"/>
      <w:bookmarkStart w:id="8" w:name="_Toc24162"/>
      <w:bookmarkStart w:id="9" w:name="_Toc13577"/>
      <w:bookmarkStart w:id="10" w:name="_Toc23230"/>
      <w:bookmarkStart w:id="11" w:name="_Toc4847"/>
      <w:r>
        <w:rPr>
          <w:rFonts w:hint="eastAsia" w:ascii="方正小标宋简体" w:hAnsi="方正小标宋简体" w:eastAsia="方正小标宋简体" w:cs="方正小标宋简体"/>
          <w:color w:val="auto"/>
          <w:sz w:val="44"/>
          <w:szCs w:val="44"/>
          <w:lang w:val="en-US" w:eastAsia="zh-CN"/>
        </w:rPr>
        <w:t>发</w:t>
      </w:r>
      <w:bookmarkEnd w:id="0"/>
      <w:bookmarkEnd w:id="1"/>
      <w:r>
        <w:rPr>
          <w:rFonts w:hint="eastAsia" w:ascii="方正小标宋简体" w:hAnsi="方正小标宋简体" w:eastAsia="方正小标宋简体" w:cs="方正小标宋简体"/>
          <w:color w:val="auto"/>
          <w:sz w:val="44"/>
          <w:szCs w:val="44"/>
          <w:lang w:val="en-US" w:eastAsia="zh-CN"/>
        </w:rPr>
        <w:t>展基础和面临的形势</w:t>
      </w:r>
      <w:bookmarkEnd w:id="2"/>
      <w:bookmarkEnd w:id="3"/>
      <w:bookmarkEnd w:id="4"/>
      <w:bookmarkEnd w:id="5"/>
      <w:bookmarkEnd w:id="6"/>
      <w:bookmarkEnd w:id="7"/>
      <w:bookmarkEnd w:id="8"/>
      <w:bookmarkEnd w:id="9"/>
      <w:bookmarkEnd w:id="10"/>
      <w:bookmarkEnd w:id="11"/>
    </w:p>
    <w:bookmarkEnd w:id="139"/>
    <w:p>
      <w:pPr>
        <w:pStyle w:val="2"/>
        <w:widowControl w:val="0"/>
        <w:numPr>
          <w:ilvl w:val="0"/>
          <w:numId w:val="0"/>
        </w:numPr>
        <w:wordWrap/>
        <w:adjustRightInd/>
        <w:snapToGrid/>
        <w:textAlignment w:val="auto"/>
        <w:rPr>
          <w:rFonts w:hint="eastAsia" w:ascii="方正小标宋简体" w:hAnsi="方正小标宋简体" w:eastAsia="方正小标宋简体" w:cs="方正小标宋简体"/>
          <w:sz w:val="44"/>
          <w:szCs w:val="44"/>
          <w:lang w:val="en-US" w:eastAsia="zh-CN"/>
        </w:rPr>
      </w:pPr>
    </w:p>
    <w:p>
      <w:pPr>
        <w:widowControl w:val="0"/>
        <w:wordWrap/>
        <w:adjustRightInd/>
        <w:snapToGrid/>
        <w:spacing w:line="560" w:lineRule="exact"/>
        <w:ind w:firstLine="640" w:firstLineChars="200"/>
        <w:textAlignment w:val="auto"/>
        <w:outlineLvl w:val="0"/>
        <w:rPr>
          <w:rFonts w:ascii="Times New Roman" w:hAnsi="Times New Roman" w:eastAsia="黑体" w:cs="Times New Roman"/>
          <w:color w:val="auto"/>
          <w:sz w:val="32"/>
          <w:szCs w:val="32"/>
        </w:rPr>
      </w:pPr>
      <w:bookmarkStart w:id="12" w:name="_Toc24231_WPSOffice_Level2"/>
      <w:bookmarkStart w:id="13" w:name="_Toc1520"/>
      <w:bookmarkStart w:id="14" w:name="_Toc26710"/>
      <w:bookmarkStart w:id="15" w:name="_Toc28121_WPSOffice_Level2"/>
      <w:bookmarkStart w:id="16" w:name="_Toc61515250"/>
      <w:bookmarkStart w:id="17" w:name="_Toc31377"/>
      <w:bookmarkStart w:id="18" w:name="_Toc9094"/>
      <w:bookmarkStart w:id="19" w:name="_Toc28900"/>
      <w:bookmarkStart w:id="20" w:name="_Toc31035"/>
      <w:bookmarkStart w:id="21" w:name="_Toc20562"/>
      <w:bookmarkStart w:id="22" w:name="_Toc5841"/>
      <w:bookmarkStart w:id="23" w:name="_Toc18701"/>
      <w:bookmarkStart w:id="24" w:name="_Toc27153"/>
      <w:r>
        <w:rPr>
          <w:rFonts w:ascii="Times New Roman" w:hAnsi="Times New Roman" w:eastAsia="黑体" w:cs="Times New Roman"/>
          <w:color w:val="auto"/>
          <w:sz w:val="32"/>
          <w:szCs w:val="32"/>
        </w:rPr>
        <w:t>一、“十三五”</w:t>
      </w:r>
      <w:r>
        <w:rPr>
          <w:rFonts w:hint="eastAsia" w:ascii="Times New Roman" w:hAnsi="Times New Roman" w:eastAsia="黑体" w:cs="Times New Roman"/>
          <w:color w:val="auto"/>
          <w:sz w:val="32"/>
          <w:szCs w:val="32"/>
        </w:rPr>
        <w:t>时期能源发展成效</w:t>
      </w:r>
      <w:bookmarkEnd w:id="12"/>
      <w:bookmarkEnd w:id="13"/>
      <w:bookmarkEnd w:id="14"/>
      <w:bookmarkEnd w:id="15"/>
      <w:bookmarkEnd w:id="16"/>
      <w:bookmarkEnd w:id="17"/>
      <w:bookmarkEnd w:id="18"/>
      <w:bookmarkEnd w:id="19"/>
      <w:bookmarkEnd w:id="20"/>
      <w:bookmarkEnd w:id="21"/>
      <w:bookmarkEnd w:id="22"/>
      <w:bookmarkEnd w:id="23"/>
      <w:bookmarkEnd w:id="24"/>
    </w:p>
    <w:p>
      <w:pPr>
        <w:widowControl w:val="0"/>
        <w:wordWrap/>
        <w:adjustRightInd/>
        <w:snapToGrid/>
        <w:spacing w:line="560" w:lineRule="exact"/>
        <w:ind w:firstLine="640" w:firstLineChars="200"/>
        <w:textAlignment w:val="auto"/>
        <w:outlineLvl w:val="1"/>
        <w:rPr>
          <w:rFonts w:hint="eastAsia" w:ascii="楷体_GB2312" w:hAnsi="楷体_GB2312" w:eastAsia="楷体_GB2312" w:cs="楷体_GB2312"/>
          <w:b w:val="0"/>
          <w:color w:val="auto"/>
          <w:sz w:val="32"/>
          <w:szCs w:val="32"/>
        </w:rPr>
      </w:pPr>
      <w:bookmarkStart w:id="25" w:name="_Toc20748"/>
      <w:bookmarkStart w:id="26" w:name="_Toc12949"/>
      <w:bookmarkStart w:id="27" w:name="_Toc31865"/>
      <w:bookmarkStart w:id="28" w:name="_Toc2044"/>
      <w:bookmarkStart w:id="29" w:name="_Toc12447"/>
      <w:bookmarkStart w:id="30" w:name="_Toc19841"/>
      <w:bookmarkStart w:id="31" w:name="_Toc720"/>
      <w:bookmarkStart w:id="32" w:name="_Toc23049"/>
      <w:bookmarkStart w:id="33" w:name="_Toc13994"/>
      <w:bookmarkStart w:id="34" w:name="_Toc26645"/>
      <w:bookmarkStart w:id="35" w:name="_Toc11335"/>
      <w:r>
        <w:rPr>
          <w:rFonts w:hint="eastAsia" w:ascii="楷体_GB2312" w:hAnsi="楷体_GB2312" w:eastAsia="楷体_GB2312" w:cs="楷体_GB2312"/>
          <w:b w:val="0"/>
          <w:color w:val="auto"/>
          <w:sz w:val="32"/>
          <w:szCs w:val="32"/>
        </w:rPr>
        <w:t>（一）</w:t>
      </w:r>
      <w:r>
        <w:rPr>
          <w:rFonts w:hint="eastAsia" w:ascii="楷体_GB2312" w:hAnsi="楷体_GB2312" w:eastAsia="楷体_GB2312" w:cs="楷体_GB2312"/>
          <w:b w:val="0"/>
          <w:color w:val="auto"/>
          <w:sz w:val="32"/>
          <w:szCs w:val="32"/>
          <w:lang w:val="en-US" w:eastAsia="zh-CN"/>
        </w:rPr>
        <w:t>能源转型</w:t>
      </w:r>
      <w:r>
        <w:rPr>
          <w:rFonts w:hint="eastAsia" w:ascii="楷体_GB2312" w:hAnsi="楷体_GB2312" w:eastAsia="楷体_GB2312" w:cs="楷体_GB2312"/>
          <w:b w:val="0"/>
          <w:color w:val="auto"/>
          <w:sz w:val="32"/>
          <w:szCs w:val="32"/>
        </w:rPr>
        <w:t>稳步推进</w:t>
      </w:r>
      <w:bookmarkEnd w:id="25"/>
      <w:bookmarkEnd w:id="26"/>
      <w:bookmarkEnd w:id="27"/>
      <w:bookmarkEnd w:id="28"/>
      <w:bookmarkEnd w:id="29"/>
      <w:bookmarkEnd w:id="30"/>
      <w:bookmarkEnd w:id="31"/>
      <w:bookmarkEnd w:id="32"/>
      <w:bookmarkEnd w:id="33"/>
      <w:bookmarkEnd w:id="34"/>
      <w:bookmarkEnd w:id="35"/>
    </w:p>
    <w:p>
      <w:pPr>
        <w:widowControl w:val="0"/>
        <w:wordWrap/>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能源消费总量稳中有增。</w:t>
      </w:r>
      <w:r>
        <w:rPr>
          <w:rFonts w:hint="eastAsia" w:ascii="仿宋_GB2312" w:hAnsi="仿宋_GB2312" w:eastAsia="仿宋_GB2312" w:cs="仿宋_GB2312"/>
          <w:b w:val="0"/>
          <w:color w:val="auto"/>
          <w:sz w:val="32"/>
          <w:szCs w:val="32"/>
        </w:rPr>
        <w:t>“十三五”时期</w:t>
      </w:r>
      <w:r>
        <w:rPr>
          <w:rFonts w:hint="eastAsia" w:ascii="仿宋_GB2312" w:hAnsi="仿宋_GB2312" w:eastAsia="仿宋_GB2312" w:cs="仿宋_GB2312"/>
          <w:b w:val="0"/>
          <w:color w:val="auto"/>
          <w:sz w:val="32"/>
          <w:szCs w:val="32"/>
          <w:lang w:eastAsia="zh-CN"/>
        </w:rPr>
        <w:t>大兴</w:t>
      </w:r>
      <w:r>
        <w:rPr>
          <w:rFonts w:hint="eastAsia" w:ascii="仿宋_GB2312" w:hAnsi="仿宋_GB2312" w:eastAsia="仿宋_GB2312" w:cs="仿宋_GB2312"/>
          <w:b w:val="0"/>
          <w:color w:val="auto"/>
          <w:sz w:val="32"/>
          <w:szCs w:val="32"/>
        </w:rPr>
        <w:t>区经济社会绿色转型发展持续深化。</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eastAsia="zh-CN"/>
        </w:rPr>
        <w:t>6</w:t>
      </w:r>
      <w:r>
        <w:rPr>
          <w:rFonts w:hint="eastAsia" w:ascii="仿宋_GB2312" w:hAnsi="仿宋_GB2312" w:eastAsia="仿宋_GB2312" w:cs="仿宋_GB2312"/>
          <w:color w:val="auto"/>
          <w:sz w:val="32"/>
          <w:szCs w:val="32"/>
        </w:rPr>
        <w:t>年-2019年，大兴区能源消费总量由</w:t>
      </w: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92.9</w:t>
      </w:r>
      <w:r>
        <w:rPr>
          <w:rFonts w:hint="eastAsia" w:ascii="仿宋_GB2312" w:hAnsi="仿宋_GB2312" w:eastAsia="仿宋_GB2312" w:cs="仿宋_GB2312"/>
          <w:color w:val="auto"/>
          <w:sz w:val="32"/>
          <w:szCs w:val="32"/>
        </w:rPr>
        <w:t>万吨标准煤增长至</w:t>
      </w:r>
      <w:r>
        <w:rPr>
          <w:rFonts w:hint="eastAsia" w:ascii="仿宋_GB2312" w:hAnsi="仿宋_GB2312" w:eastAsia="仿宋_GB2312" w:cs="仿宋_GB2312"/>
          <w:color w:val="auto"/>
          <w:sz w:val="32"/>
          <w:szCs w:val="32"/>
          <w:lang w:val="en-US" w:eastAsia="zh-CN"/>
        </w:rPr>
        <w:t>330.3</w:t>
      </w:r>
      <w:r>
        <w:rPr>
          <w:rFonts w:hint="eastAsia" w:ascii="仿宋_GB2312" w:hAnsi="仿宋_GB2312" w:eastAsia="仿宋_GB2312" w:cs="仿宋_GB2312"/>
          <w:color w:val="auto"/>
          <w:sz w:val="32"/>
          <w:szCs w:val="32"/>
        </w:rPr>
        <w:t>万吨标准煤，年均增长4</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%。2020年受新冠肺炎疫情影响，能源需求整体偏弱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能源消费总量为300.5万吨标准煤，</w:t>
      </w:r>
      <w:r>
        <w:rPr>
          <w:rFonts w:hint="eastAsia" w:ascii="仿宋_GB2312" w:hAnsi="仿宋_GB2312" w:eastAsia="仿宋_GB2312" w:cs="仿宋_GB2312"/>
          <w:color w:val="auto"/>
          <w:sz w:val="32"/>
          <w:szCs w:val="32"/>
        </w:rPr>
        <w:t>呈下降态势。</w:t>
      </w:r>
    </w:p>
    <w:p>
      <w:pPr>
        <w:pStyle w:val="2"/>
        <w:spacing w:line="240" w:lineRule="auto"/>
        <w:ind w:firstLine="0" w:firstLineChars="0"/>
        <w:jc w:val="center"/>
        <w:rPr>
          <w:rFonts w:hint="eastAsia"/>
        </w:rPr>
      </w:pPr>
      <w:r>
        <w:drawing>
          <wp:inline distT="0" distB="0" distL="114300" distR="114300">
            <wp:extent cx="4792980" cy="3147060"/>
            <wp:effectExtent l="0" t="0" r="7620" b="254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7"/>
                    <a:stretch>
                      <a:fillRect/>
                    </a:stretch>
                  </pic:blipFill>
                  <pic:spPr>
                    <a:xfrm>
                      <a:off x="0" y="0"/>
                      <a:ext cx="4792980" cy="3147060"/>
                    </a:xfrm>
                    <a:prstGeom prst="rect">
                      <a:avLst/>
                    </a:prstGeom>
                    <a:noFill/>
                    <a:ln>
                      <a:noFill/>
                    </a:ln>
                  </pic:spPr>
                </pic:pic>
              </a:graphicData>
            </a:graphic>
          </wp:inline>
        </w:drawing>
      </w:r>
    </w:p>
    <w:p>
      <w:pPr>
        <w:pStyle w:val="2"/>
        <w:jc w:val="center"/>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rPr>
        <w:t>图1大兴区201</w:t>
      </w:r>
      <w:r>
        <w:rPr>
          <w:rFonts w:hint="eastAsia" w:ascii="仿宋_GB2312" w:hAnsi="仿宋_GB2312" w:eastAsia="仿宋_GB2312" w:cs="仿宋_GB2312"/>
          <w:b/>
          <w:bCs/>
          <w:color w:val="auto"/>
          <w:sz w:val="28"/>
          <w:szCs w:val="28"/>
          <w:highlight w:val="none"/>
          <w:lang w:eastAsia="zh-CN"/>
        </w:rPr>
        <w:t>6</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val="en-US" w:eastAsia="zh-CN"/>
        </w:rPr>
        <w:t>2020</w:t>
      </w:r>
      <w:r>
        <w:rPr>
          <w:rFonts w:hint="eastAsia" w:ascii="仿宋_GB2312" w:hAnsi="仿宋_GB2312" w:eastAsia="仿宋_GB2312" w:cs="仿宋_GB2312"/>
          <w:b/>
          <w:bCs/>
          <w:color w:val="auto"/>
          <w:sz w:val="28"/>
          <w:szCs w:val="28"/>
          <w:highlight w:val="none"/>
        </w:rPr>
        <w:t>年能源消费总量</w:t>
      </w:r>
      <w:r>
        <w:rPr>
          <w:rFonts w:hint="eastAsia" w:ascii="仿宋_GB2312" w:hAnsi="仿宋_GB2312" w:eastAsia="仿宋_GB2312" w:cs="仿宋_GB2312"/>
          <w:b/>
          <w:bCs/>
          <w:color w:val="auto"/>
          <w:sz w:val="28"/>
          <w:szCs w:val="28"/>
          <w:highlight w:val="none"/>
          <w:lang w:val="en-US" w:eastAsia="zh-CN"/>
        </w:rPr>
        <w:t>情况</w:t>
      </w:r>
    </w:p>
    <w:p>
      <w:pPr>
        <w:widowControl w:val="0"/>
        <w:wordWrap/>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能源消费结构转型升级</w:t>
      </w:r>
      <w:r>
        <w:rPr>
          <w:rFonts w:hint="eastAsia" w:ascii="仿宋_GB2312" w:hAnsi="仿宋_GB2312" w:eastAsia="仿宋_GB2312" w:cs="仿宋_GB2312"/>
          <w:b/>
          <w:color w:val="auto"/>
          <w:sz w:val="32"/>
          <w:szCs w:val="32"/>
          <w:lang w:eastAsia="zh-CN"/>
        </w:rPr>
        <w:t>。</w:t>
      </w:r>
      <w:r>
        <w:rPr>
          <w:rFonts w:hint="eastAsia" w:ascii="仿宋_GB2312" w:hAnsi="仿宋_GB2312" w:eastAsia="仿宋_GB2312" w:cs="仿宋_GB2312"/>
          <w:color w:val="auto"/>
          <w:sz w:val="32"/>
          <w:szCs w:val="32"/>
        </w:rPr>
        <w:t>受非首都功能疏解政策影响，部分企业生产外迁、业务量减少，规模以上工业能耗持续下降，第二产业能耗占比逐年下降；随着大兴区商业、服务业的发展，第三产业能耗占比</w:t>
      </w:r>
      <w:r>
        <w:rPr>
          <w:rFonts w:hint="eastAsia" w:ascii="仿宋_GB2312" w:hAnsi="仿宋_GB2312" w:eastAsia="仿宋_GB2312" w:cs="仿宋_GB2312"/>
          <w:color w:val="auto"/>
          <w:sz w:val="32"/>
          <w:szCs w:val="32"/>
          <w:lang w:val="en-US" w:eastAsia="zh-CN"/>
        </w:rPr>
        <w:t>呈上升趋势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2020年占比为42.6%</w:t>
      </w:r>
      <w:r>
        <w:rPr>
          <w:rFonts w:hint="eastAsia" w:ascii="仿宋_GB2312" w:hAnsi="仿宋_GB2312" w:eastAsia="仿宋_GB2312" w:cs="仿宋_GB2312"/>
          <w:color w:val="auto"/>
          <w:sz w:val="32"/>
          <w:szCs w:val="32"/>
        </w:rPr>
        <w:t>；由于生活水平不断提高，居民生活能耗占比呈刚性增长，</w:t>
      </w:r>
      <w:r>
        <w:rPr>
          <w:rFonts w:hint="eastAsia" w:ascii="仿宋_GB2312" w:hAnsi="仿宋_GB2312" w:eastAsia="仿宋_GB2312" w:cs="仿宋_GB2312"/>
          <w:color w:val="auto"/>
          <w:sz w:val="32"/>
          <w:szCs w:val="32"/>
          <w:lang w:val="en-US" w:eastAsia="zh-CN"/>
        </w:rPr>
        <w:t>2020年</w:t>
      </w:r>
      <w:r>
        <w:rPr>
          <w:rFonts w:hint="eastAsia" w:ascii="仿宋_GB2312" w:hAnsi="仿宋_GB2312" w:eastAsia="仿宋_GB2312" w:cs="仿宋_GB2312"/>
          <w:color w:val="auto"/>
          <w:sz w:val="32"/>
          <w:szCs w:val="32"/>
        </w:rPr>
        <w:t>达</w:t>
      </w:r>
      <w:r>
        <w:rPr>
          <w:rFonts w:hint="eastAsia" w:ascii="仿宋_GB2312" w:hAnsi="仿宋_GB2312" w:eastAsia="仿宋_GB2312" w:cs="仿宋_GB2312"/>
          <w:color w:val="auto"/>
          <w:sz w:val="32"/>
          <w:szCs w:val="32"/>
          <w:lang w:val="en-US" w:eastAsia="zh-CN"/>
        </w:rPr>
        <w:t>37.8%</w:t>
      </w:r>
      <w:r>
        <w:rPr>
          <w:rFonts w:hint="eastAsia" w:ascii="仿宋_GB2312" w:hAnsi="仿宋_GB2312" w:eastAsia="仿宋_GB2312" w:cs="仿宋_GB2312"/>
          <w:color w:val="auto"/>
          <w:sz w:val="32"/>
          <w:szCs w:val="32"/>
        </w:rPr>
        <w:t>。第三产业和居民生活用能占比</w:t>
      </w:r>
      <w:r>
        <w:rPr>
          <w:rFonts w:hint="eastAsia" w:ascii="仿宋_GB2312" w:hAnsi="仿宋_GB2312" w:eastAsia="仿宋_GB2312" w:cs="仿宋_GB2312"/>
          <w:color w:val="auto"/>
          <w:sz w:val="32"/>
          <w:szCs w:val="32"/>
          <w:lang w:eastAsia="zh-CN"/>
        </w:rPr>
        <w:t>达到</w:t>
      </w:r>
      <w:r>
        <w:rPr>
          <w:rFonts w:hint="eastAsia" w:ascii="仿宋_GB2312" w:hAnsi="仿宋_GB2312" w:eastAsia="仿宋_GB2312" w:cs="仿宋_GB2312"/>
          <w:color w:val="auto"/>
          <w:sz w:val="32"/>
          <w:szCs w:val="32"/>
        </w:rPr>
        <w:t>全区能源消费总量的</w:t>
      </w:r>
      <w:r>
        <w:rPr>
          <w:rFonts w:hint="eastAsia" w:ascii="仿宋_GB2312" w:hAnsi="仿宋_GB2312" w:eastAsia="仿宋_GB2312" w:cs="仿宋_GB2312"/>
          <w:color w:val="auto"/>
          <w:sz w:val="32"/>
          <w:szCs w:val="32"/>
          <w:lang w:val="en-US" w:eastAsia="zh-CN"/>
        </w:rPr>
        <w:t>80.4</w:t>
      </w:r>
      <w:r>
        <w:rPr>
          <w:rFonts w:hint="eastAsia" w:ascii="仿宋_GB2312" w:hAnsi="仿宋_GB2312" w:eastAsia="仿宋_GB2312" w:cs="仿宋_GB2312"/>
          <w:color w:val="auto"/>
          <w:sz w:val="32"/>
          <w:szCs w:val="32"/>
        </w:rPr>
        <w:t>%，已成为</w:t>
      </w:r>
      <w:r>
        <w:rPr>
          <w:rFonts w:hint="eastAsia" w:ascii="仿宋_GB2312" w:hAnsi="仿宋_GB2312" w:eastAsia="仿宋_GB2312" w:cs="仿宋_GB2312"/>
          <w:color w:val="auto"/>
          <w:sz w:val="32"/>
          <w:szCs w:val="32"/>
          <w:lang w:val="en-US" w:eastAsia="zh-CN"/>
        </w:rPr>
        <w:t>大兴</w:t>
      </w:r>
      <w:r>
        <w:rPr>
          <w:rFonts w:hint="eastAsia" w:ascii="仿宋_GB2312" w:hAnsi="仿宋_GB2312" w:eastAsia="仿宋_GB2312" w:cs="仿宋_GB2312"/>
          <w:color w:val="auto"/>
          <w:sz w:val="32"/>
          <w:szCs w:val="32"/>
        </w:rPr>
        <w:t>区能源消费总量的最主要贡献者。</w:t>
      </w:r>
    </w:p>
    <w:p>
      <w:pPr>
        <w:pStyle w:val="2"/>
        <w:jc w:val="center"/>
        <w:rPr>
          <w:rFonts w:hint="eastAsia" w:ascii="仿宋_GB2312" w:hAnsi="仿宋_GB2312" w:eastAsia="仿宋_GB2312" w:cs="仿宋_GB2312"/>
          <w:color w:val="auto"/>
          <w:sz w:val="32"/>
          <w:szCs w:val="32"/>
        </w:rPr>
      </w:pPr>
      <w:r>
        <w:drawing>
          <wp:anchor distT="0" distB="0" distL="114300" distR="114300" simplePos="0" relativeHeight="251659264" behindDoc="0" locked="0" layoutInCell="1" allowOverlap="1">
            <wp:simplePos x="0" y="0"/>
            <wp:positionH relativeFrom="column">
              <wp:posOffset>109220</wp:posOffset>
            </wp:positionH>
            <wp:positionV relativeFrom="paragraph">
              <wp:posOffset>44450</wp:posOffset>
            </wp:positionV>
            <wp:extent cx="4989830" cy="3020695"/>
            <wp:effectExtent l="0" t="0" r="1270" b="1905"/>
            <wp:wrapTopAndBottom/>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8"/>
                    <a:stretch>
                      <a:fillRect/>
                    </a:stretch>
                  </pic:blipFill>
                  <pic:spPr>
                    <a:xfrm>
                      <a:off x="0" y="0"/>
                      <a:ext cx="4989830" cy="3020695"/>
                    </a:xfrm>
                    <a:prstGeom prst="rect">
                      <a:avLst/>
                    </a:prstGeom>
                    <a:noFill/>
                    <a:ln>
                      <a:noFill/>
                    </a:ln>
                  </pic:spPr>
                </pic:pic>
              </a:graphicData>
            </a:graphic>
          </wp:anchor>
        </w:drawing>
      </w:r>
      <w:r>
        <w:rPr>
          <w:rFonts w:hint="eastAsia" w:ascii="仿宋_GB2312" w:hAnsi="仿宋_GB2312" w:eastAsia="仿宋_GB2312" w:cs="仿宋_GB2312"/>
          <w:b/>
          <w:bCs/>
          <w:color w:val="auto"/>
          <w:sz w:val="28"/>
          <w:szCs w:val="28"/>
        </w:rPr>
        <w:t>图2大兴区201</w:t>
      </w:r>
      <w:r>
        <w:rPr>
          <w:rFonts w:hint="eastAsia" w:ascii="仿宋_GB2312" w:hAnsi="仿宋_GB2312" w:eastAsia="仿宋_GB2312" w:cs="仿宋_GB2312"/>
          <w:b/>
          <w:bCs/>
          <w:color w:val="auto"/>
          <w:sz w:val="28"/>
          <w:szCs w:val="28"/>
          <w:lang w:eastAsia="zh-CN"/>
        </w:rPr>
        <w:t>6</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2020</w:t>
      </w:r>
      <w:r>
        <w:rPr>
          <w:rFonts w:hint="eastAsia" w:ascii="仿宋_GB2312" w:hAnsi="仿宋_GB2312" w:eastAsia="仿宋_GB2312" w:cs="仿宋_GB2312"/>
          <w:b/>
          <w:bCs/>
          <w:color w:val="auto"/>
          <w:sz w:val="28"/>
          <w:szCs w:val="28"/>
        </w:rPr>
        <w:t>年三次产业及居民能源消费情况</w:t>
      </w:r>
    </w:p>
    <w:p>
      <w:pPr>
        <w:widowControl w:val="0"/>
        <w:wordWrap/>
        <w:adjustRightInd/>
        <w:snapToGrid/>
        <w:spacing w:line="560" w:lineRule="atLeas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lang w:val="en-US" w:eastAsia="zh-CN"/>
        </w:rPr>
        <w:t>能源清洁化程度</w:t>
      </w:r>
      <w:r>
        <w:rPr>
          <w:rFonts w:hint="eastAsia" w:ascii="仿宋_GB2312" w:hAnsi="仿宋_GB2312" w:eastAsia="仿宋_GB2312" w:cs="仿宋_GB2312"/>
          <w:b/>
          <w:color w:val="auto"/>
          <w:sz w:val="32"/>
          <w:szCs w:val="32"/>
        </w:rPr>
        <w:t>持续</w:t>
      </w:r>
      <w:r>
        <w:rPr>
          <w:rFonts w:hint="eastAsia" w:ascii="仿宋_GB2312" w:hAnsi="仿宋_GB2312" w:eastAsia="仿宋_GB2312" w:cs="仿宋_GB2312"/>
          <w:b/>
          <w:color w:val="auto"/>
          <w:sz w:val="32"/>
          <w:szCs w:val="32"/>
          <w:lang w:val="en-US" w:eastAsia="zh-CN"/>
        </w:rPr>
        <w:t>提升</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lang w:eastAsia="zh-CN"/>
        </w:rPr>
        <w:t>积极落实全市压减燃煤工作部署，聚焦锅炉用煤和民用散煤两大领域，推进燃煤锅炉清洁能源改造以及节能技术和产品的推广应用，完成燃煤锅炉清洁能源改造，完成农村地区158个村庄煤改清洁能源或农民搬迁上楼，全区完成压减燃煤160.</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万吨，</w:t>
      </w:r>
      <w:r>
        <w:rPr>
          <w:rFonts w:hint="eastAsia" w:ascii="仿宋_GB2312" w:hAnsi="仿宋_GB2312" w:eastAsia="仿宋_GB2312" w:cs="仿宋_GB2312"/>
          <w:color w:val="auto"/>
          <w:sz w:val="32"/>
          <w:szCs w:val="32"/>
          <w:lang w:val="en-US" w:eastAsia="zh-CN"/>
        </w:rPr>
        <w:t>2017年底</w:t>
      </w:r>
      <w:r>
        <w:rPr>
          <w:rFonts w:hint="eastAsia" w:ascii="仿宋_GB2312" w:hAnsi="仿宋_GB2312" w:eastAsia="仿宋_GB2312" w:cs="仿宋_GB2312"/>
          <w:color w:val="auto"/>
          <w:sz w:val="32"/>
          <w:szCs w:val="32"/>
          <w:lang w:eastAsia="zh-CN"/>
        </w:rPr>
        <w:t>全区基本实现“无煤化”。</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年全区电力消费比重达到</w:t>
      </w:r>
      <w:r>
        <w:rPr>
          <w:rFonts w:hint="eastAsia" w:ascii="仿宋_GB2312" w:hAnsi="仿宋_GB2312" w:eastAsia="仿宋_GB2312" w:cs="仿宋_GB2312"/>
          <w:color w:val="auto"/>
          <w:sz w:val="32"/>
          <w:szCs w:val="32"/>
          <w:lang w:val="en-US" w:eastAsia="zh-CN"/>
        </w:rPr>
        <w:t>41.8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天然气消费比重达到</w:t>
      </w:r>
      <w:r>
        <w:rPr>
          <w:rFonts w:hint="eastAsia" w:ascii="仿宋_GB2312" w:hAnsi="仿宋_GB2312" w:eastAsia="仿宋_GB2312" w:cs="仿宋_GB2312"/>
          <w:color w:val="auto"/>
          <w:sz w:val="32"/>
          <w:szCs w:val="32"/>
          <w:lang w:val="en-US" w:eastAsia="zh-CN"/>
        </w:rPr>
        <w:t>20.1</w:t>
      </w:r>
      <w:r>
        <w:rPr>
          <w:rFonts w:hint="eastAsia" w:ascii="仿宋_GB2312" w:hAnsi="仿宋_GB2312" w:eastAsia="仿宋_GB2312" w:cs="仿宋_GB2312"/>
          <w:color w:val="auto"/>
          <w:sz w:val="32"/>
          <w:szCs w:val="32"/>
        </w:rPr>
        <w:t>%，比201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年提高</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个百分点。</w:t>
      </w:r>
      <w:r>
        <w:rPr>
          <w:rFonts w:hint="eastAsia" w:ascii="仿宋_GB2312" w:hAnsi="仿宋_GB2312" w:eastAsia="仿宋_GB2312" w:cs="仿宋_GB2312"/>
          <w:color w:val="auto"/>
          <w:sz w:val="32"/>
          <w:szCs w:val="32"/>
          <w:lang w:eastAsia="zh-CN"/>
        </w:rPr>
        <w:t>可再生能源应用不断深化</w:t>
      </w:r>
      <w:r>
        <w:rPr>
          <w:rFonts w:hint="eastAsia" w:ascii="仿宋_GB2312" w:hAnsi="仿宋_GB2312" w:eastAsia="仿宋_GB2312" w:cs="仿宋_GB2312"/>
          <w:color w:val="auto"/>
          <w:sz w:val="32"/>
          <w:szCs w:val="32"/>
        </w:rPr>
        <w:t>，新能源和可再生能源利用比例达到</w:t>
      </w:r>
      <w:r>
        <w:rPr>
          <w:rFonts w:hint="eastAsia" w:ascii="仿宋_GB2312" w:hAnsi="仿宋_GB2312" w:eastAsia="仿宋_GB2312" w:cs="仿宋_GB2312"/>
          <w:color w:val="auto"/>
          <w:sz w:val="32"/>
          <w:szCs w:val="32"/>
          <w:lang w:val="en-US" w:eastAsia="zh-CN"/>
        </w:rPr>
        <w:t>13.13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高于全市平均水平</w:t>
      </w:r>
      <w:r>
        <w:rPr>
          <w:rFonts w:hint="eastAsia" w:ascii="仿宋_GB2312" w:hAnsi="仿宋_GB2312" w:eastAsia="仿宋_GB2312" w:cs="仿宋_GB2312"/>
          <w:color w:val="auto"/>
          <w:sz w:val="32"/>
          <w:szCs w:val="32"/>
        </w:rPr>
        <w:t>。</w:t>
      </w: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ascii="仿宋_GB2312" w:hAnsi="仿宋_GB2312" w:eastAsia="仿宋_GB2312" w:cs="仿宋_GB2312"/>
          <w:b/>
          <w:color w:val="auto"/>
          <w:sz w:val="28"/>
          <w:szCs w:val="28"/>
          <w:lang w:eastAsia="zh-CN"/>
        </w:rPr>
      </w:pPr>
      <w:r>
        <w:rPr>
          <w:rFonts w:hint="eastAsia" w:ascii="仿宋_GB2312" w:hAnsi="仿宋_GB2312" w:eastAsia="仿宋_GB2312" w:cs="仿宋_GB2312"/>
          <w:b/>
          <w:color w:val="auto"/>
          <w:sz w:val="28"/>
          <w:szCs w:val="28"/>
        </w:rPr>
        <w:t>表1 201</w:t>
      </w:r>
      <w:r>
        <w:rPr>
          <w:rFonts w:hint="eastAsia" w:ascii="仿宋_GB2312" w:hAnsi="仿宋_GB2312" w:eastAsia="仿宋_GB2312" w:cs="仿宋_GB2312"/>
          <w:b/>
          <w:color w:val="auto"/>
          <w:sz w:val="28"/>
          <w:szCs w:val="28"/>
          <w:lang w:eastAsia="zh-CN"/>
        </w:rPr>
        <w:t>6</w:t>
      </w:r>
      <w:r>
        <w:rPr>
          <w:rFonts w:hint="eastAsia" w:ascii="仿宋_GB2312" w:hAnsi="仿宋_GB2312" w:eastAsia="仿宋_GB2312" w:cs="仿宋_GB2312"/>
          <w:b/>
          <w:color w:val="auto"/>
          <w:sz w:val="28"/>
          <w:szCs w:val="28"/>
        </w:rPr>
        <w:t>年-20</w:t>
      </w:r>
      <w:r>
        <w:rPr>
          <w:rFonts w:hint="eastAsia" w:ascii="仿宋_GB2312" w:hAnsi="仿宋_GB2312" w:eastAsia="仿宋_GB2312" w:cs="仿宋_GB2312"/>
          <w:b/>
          <w:color w:val="auto"/>
          <w:sz w:val="28"/>
          <w:szCs w:val="28"/>
          <w:lang w:eastAsia="zh-CN"/>
        </w:rPr>
        <w:t>2</w:t>
      </w:r>
      <w:r>
        <w:rPr>
          <w:rFonts w:hint="eastAsia" w:ascii="仿宋_GB2312" w:hAnsi="仿宋_GB2312" w:eastAsia="仿宋_GB2312" w:cs="仿宋_GB2312"/>
          <w:b/>
          <w:color w:val="auto"/>
          <w:sz w:val="28"/>
          <w:szCs w:val="28"/>
          <w:lang w:val="en-US" w:eastAsia="zh-CN"/>
        </w:rPr>
        <w:t>0</w:t>
      </w:r>
      <w:r>
        <w:rPr>
          <w:rFonts w:hint="eastAsia" w:ascii="仿宋_GB2312" w:hAnsi="仿宋_GB2312" w:eastAsia="仿宋_GB2312" w:cs="仿宋_GB2312"/>
          <w:b/>
          <w:color w:val="auto"/>
          <w:sz w:val="28"/>
          <w:szCs w:val="28"/>
        </w:rPr>
        <w:t>年分品种能源占比变化</w:t>
      </w:r>
      <w:r>
        <w:rPr>
          <w:rFonts w:hint="eastAsia" w:ascii="仿宋_GB2312" w:hAnsi="仿宋_GB2312" w:eastAsia="仿宋_GB2312" w:cs="仿宋_GB2312"/>
          <w:b/>
          <w:color w:val="auto"/>
          <w:sz w:val="28"/>
          <w:szCs w:val="28"/>
          <w:lang w:val="en-US" w:eastAsia="zh-CN"/>
        </w:rPr>
        <w:t>情况</w:t>
      </w:r>
    </w:p>
    <w:tbl>
      <w:tblPr>
        <w:tblStyle w:val="6"/>
        <w:tblW w:w="7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395"/>
        <w:gridCol w:w="1134"/>
        <w:gridCol w:w="1275"/>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417" w:type="dxa"/>
            <w:vAlign w:val="center"/>
          </w:tcPr>
          <w:p>
            <w:pPr>
              <w:spacing w:line="240" w:lineRule="auto"/>
              <w:ind w:firstLine="0" w:firstLineChars="0"/>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能源品种</w:t>
            </w:r>
          </w:p>
        </w:tc>
        <w:tc>
          <w:tcPr>
            <w:tcW w:w="1395" w:type="dxa"/>
            <w:vAlign w:val="center"/>
          </w:tcPr>
          <w:p>
            <w:pPr>
              <w:spacing w:line="240" w:lineRule="auto"/>
              <w:ind w:firstLine="0" w:firstLineChars="0"/>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2016年</w:t>
            </w:r>
          </w:p>
        </w:tc>
        <w:tc>
          <w:tcPr>
            <w:tcW w:w="1134" w:type="dxa"/>
            <w:vAlign w:val="center"/>
          </w:tcPr>
          <w:p>
            <w:pPr>
              <w:spacing w:line="240" w:lineRule="auto"/>
              <w:ind w:firstLine="0" w:firstLineChars="0"/>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2017年</w:t>
            </w:r>
          </w:p>
        </w:tc>
        <w:tc>
          <w:tcPr>
            <w:tcW w:w="1275" w:type="dxa"/>
            <w:vAlign w:val="center"/>
          </w:tcPr>
          <w:p>
            <w:pPr>
              <w:spacing w:line="240" w:lineRule="auto"/>
              <w:ind w:firstLine="0" w:firstLineChars="0"/>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2018年</w:t>
            </w:r>
          </w:p>
        </w:tc>
        <w:tc>
          <w:tcPr>
            <w:tcW w:w="1276" w:type="dxa"/>
            <w:vAlign w:val="center"/>
          </w:tcPr>
          <w:p>
            <w:pPr>
              <w:spacing w:line="240" w:lineRule="auto"/>
              <w:ind w:firstLine="0" w:firstLineChars="0"/>
              <w:jc w:val="center"/>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2019年</w:t>
            </w:r>
          </w:p>
        </w:tc>
        <w:tc>
          <w:tcPr>
            <w:tcW w:w="1276" w:type="dxa"/>
            <w:vAlign w:val="center"/>
          </w:tcPr>
          <w:p>
            <w:pPr>
              <w:spacing w:line="240" w:lineRule="auto"/>
              <w:ind w:firstLine="0" w:firstLineChars="0"/>
              <w:jc w:val="center"/>
              <w:rPr>
                <w:rFonts w:hint="eastAsia"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bCs/>
                <w:color w:val="auto"/>
                <w:kern w:val="0"/>
                <w:sz w:val="24"/>
                <w:szCs w:val="24"/>
                <w:highlight w:val="none"/>
                <w:lang w:val="en-US" w:eastAsia="zh-CN"/>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Align w:val="center"/>
          </w:tcPr>
          <w:p>
            <w:pPr>
              <w:spacing w:line="240" w:lineRule="auto"/>
              <w:ind w:firstLine="0" w:firstLineChar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电力</w:t>
            </w:r>
          </w:p>
        </w:tc>
        <w:tc>
          <w:tcPr>
            <w:tcW w:w="1395" w:type="dxa"/>
            <w:vAlign w:val="center"/>
          </w:tcPr>
          <w:p>
            <w:pPr>
              <w:spacing w:line="240" w:lineRule="auto"/>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40.9%</w:t>
            </w:r>
          </w:p>
        </w:tc>
        <w:tc>
          <w:tcPr>
            <w:tcW w:w="1134" w:type="dxa"/>
            <w:vAlign w:val="center"/>
          </w:tcPr>
          <w:p>
            <w:pPr>
              <w:spacing w:line="240" w:lineRule="auto"/>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44.5%</w:t>
            </w:r>
          </w:p>
        </w:tc>
        <w:tc>
          <w:tcPr>
            <w:tcW w:w="1275" w:type="dxa"/>
            <w:vAlign w:val="center"/>
          </w:tcPr>
          <w:p>
            <w:pPr>
              <w:spacing w:line="240" w:lineRule="auto"/>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42.4%</w:t>
            </w:r>
          </w:p>
        </w:tc>
        <w:tc>
          <w:tcPr>
            <w:tcW w:w="1276" w:type="dxa"/>
            <w:vAlign w:val="center"/>
          </w:tcPr>
          <w:p>
            <w:pPr>
              <w:spacing w:line="240" w:lineRule="auto"/>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39.2%</w:t>
            </w:r>
          </w:p>
        </w:tc>
        <w:tc>
          <w:tcPr>
            <w:tcW w:w="1276" w:type="dxa"/>
            <w:vAlign w:val="center"/>
          </w:tcPr>
          <w:p>
            <w:pPr>
              <w:spacing w:line="240" w:lineRule="auto"/>
              <w:ind w:firstLine="0" w:firstLineChars="0"/>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Align w:val="center"/>
          </w:tcPr>
          <w:p>
            <w:pPr>
              <w:spacing w:line="240" w:lineRule="auto"/>
              <w:ind w:firstLine="0" w:firstLineChar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天然气</w:t>
            </w:r>
          </w:p>
        </w:tc>
        <w:tc>
          <w:tcPr>
            <w:tcW w:w="1395" w:type="dxa"/>
            <w:vAlign w:val="center"/>
          </w:tcPr>
          <w:p>
            <w:pPr>
              <w:spacing w:line="240" w:lineRule="auto"/>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14</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w:t>
            </w:r>
          </w:p>
        </w:tc>
        <w:tc>
          <w:tcPr>
            <w:tcW w:w="1134" w:type="dxa"/>
            <w:vAlign w:val="center"/>
          </w:tcPr>
          <w:p>
            <w:pPr>
              <w:spacing w:line="240" w:lineRule="auto"/>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rPr>
              <w:t>20.2</w:t>
            </w:r>
            <w:r>
              <w:rPr>
                <w:rFonts w:hint="eastAsia" w:ascii="仿宋_GB2312" w:hAnsi="仿宋_GB2312" w:eastAsia="仿宋_GB2312" w:cs="仿宋_GB2312"/>
                <w:color w:val="auto"/>
                <w:kern w:val="0"/>
                <w:sz w:val="24"/>
                <w:szCs w:val="24"/>
              </w:rPr>
              <w:t>%</w:t>
            </w:r>
          </w:p>
        </w:tc>
        <w:tc>
          <w:tcPr>
            <w:tcW w:w="1275" w:type="dxa"/>
            <w:vAlign w:val="center"/>
          </w:tcPr>
          <w:p>
            <w:pPr>
              <w:spacing w:line="240" w:lineRule="auto"/>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21.</w:t>
            </w:r>
            <w:r>
              <w:rPr>
                <w:rFonts w:hint="eastAsia" w:ascii="仿宋_GB2312" w:hAnsi="仿宋_GB2312" w:eastAsia="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rPr>
              <w:t>%</w:t>
            </w:r>
          </w:p>
        </w:tc>
        <w:tc>
          <w:tcPr>
            <w:tcW w:w="1276" w:type="dxa"/>
            <w:vAlign w:val="center"/>
          </w:tcPr>
          <w:p>
            <w:pPr>
              <w:spacing w:line="240" w:lineRule="auto"/>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20.5%</w:t>
            </w:r>
          </w:p>
        </w:tc>
        <w:tc>
          <w:tcPr>
            <w:tcW w:w="1276" w:type="dxa"/>
            <w:vAlign w:val="center"/>
          </w:tcPr>
          <w:p>
            <w:pPr>
              <w:spacing w:line="240" w:lineRule="auto"/>
              <w:ind w:firstLine="0" w:firstLineChars="0"/>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Align w:val="center"/>
          </w:tcPr>
          <w:p>
            <w:pPr>
              <w:spacing w:line="240" w:lineRule="auto"/>
              <w:ind w:firstLine="0" w:firstLineChar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煤炭</w:t>
            </w:r>
          </w:p>
        </w:tc>
        <w:tc>
          <w:tcPr>
            <w:tcW w:w="1395" w:type="dxa"/>
            <w:vAlign w:val="center"/>
          </w:tcPr>
          <w:p>
            <w:pPr>
              <w:spacing w:line="240" w:lineRule="auto"/>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13.7%</w:t>
            </w:r>
          </w:p>
        </w:tc>
        <w:tc>
          <w:tcPr>
            <w:tcW w:w="1134" w:type="dxa"/>
            <w:vAlign w:val="center"/>
          </w:tcPr>
          <w:p>
            <w:pPr>
              <w:spacing w:line="240" w:lineRule="auto"/>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5%</w:t>
            </w:r>
          </w:p>
        </w:tc>
        <w:tc>
          <w:tcPr>
            <w:tcW w:w="1275" w:type="dxa"/>
            <w:vAlign w:val="center"/>
          </w:tcPr>
          <w:p>
            <w:pPr>
              <w:spacing w:line="240" w:lineRule="auto"/>
              <w:ind w:firstLine="0" w:firstLineChars="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kern w:val="0"/>
                <w:sz w:val="24"/>
                <w:szCs w:val="24"/>
                <w:lang w:val="en-US" w:eastAsia="zh-CN"/>
              </w:rPr>
              <w:t>0</w:t>
            </w:r>
          </w:p>
        </w:tc>
        <w:tc>
          <w:tcPr>
            <w:tcW w:w="1276" w:type="dxa"/>
            <w:vAlign w:val="center"/>
          </w:tcPr>
          <w:p>
            <w:pPr>
              <w:spacing w:line="240" w:lineRule="auto"/>
              <w:ind w:firstLine="0" w:firstLineChars="0"/>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val="en-US" w:eastAsia="zh-CN"/>
              </w:rPr>
              <w:t>0</w:t>
            </w:r>
          </w:p>
        </w:tc>
        <w:tc>
          <w:tcPr>
            <w:tcW w:w="1276" w:type="dxa"/>
            <w:vAlign w:val="center"/>
          </w:tcPr>
          <w:p>
            <w:pPr>
              <w:spacing w:line="240" w:lineRule="auto"/>
              <w:ind w:firstLine="0" w:firstLineChars="0"/>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Align w:val="center"/>
          </w:tcPr>
          <w:p>
            <w:pPr>
              <w:spacing w:line="240" w:lineRule="auto"/>
              <w:ind w:firstLine="0" w:firstLineChar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汽油</w:t>
            </w:r>
          </w:p>
        </w:tc>
        <w:tc>
          <w:tcPr>
            <w:tcW w:w="1395" w:type="dxa"/>
            <w:vAlign w:val="center"/>
          </w:tcPr>
          <w:p>
            <w:pPr>
              <w:spacing w:line="240" w:lineRule="auto"/>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15.9%</w:t>
            </w:r>
          </w:p>
        </w:tc>
        <w:tc>
          <w:tcPr>
            <w:tcW w:w="1134" w:type="dxa"/>
            <w:vAlign w:val="center"/>
          </w:tcPr>
          <w:p>
            <w:pPr>
              <w:spacing w:line="240" w:lineRule="auto"/>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16.5%</w:t>
            </w:r>
          </w:p>
        </w:tc>
        <w:tc>
          <w:tcPr>
            <w:tcW w:w="1275" w:type="dxa"/>
            <w:vAlign w:val="center"/>
          </w:tcPr>
          <w:p>
            <w:pPr>
              <w:spacing w:line="240" w:lineRule="auto"/>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18.2%</w:t>
            </w:r>
          </w:p>
        </w:tc>
        <w:tc>
          <w:tcPr>
            <w:tcW w:w="1276" w:type="dxa"/>
            <w:vAlign w:val="center"/>
          </w:tcPr>
          <w:p>
            <w:pPr>
              <w:spacing w:line="240" w:lineRule="auto"/>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14.5%</w:t>
            </w:r>
          </w:p>
        </w:tc>
        <w:tc>
          <w:tcPr>
            <w:tcW w:w="1276" w:type="dxa"/>
            <w:vAlign w:val="center"/>
          </w:tcPr>
          <w:p>
            <w:pPr>
              <w:spacing w:line="240" w:lineRule="auto"/>
              <w:ind w:firstLine="0" w:firstLineChars="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Align w:val="center"/>
          </w:tcPr>
          <w:p>
            <w:pPr>
              <w:spacing w:line="240" w:lineRule="auto"/>
              <w:ind w:firstLine="0" w:firstLineChar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柴油</w:t>
            </w:r>
          </w:p>
        </w:tc>
        <w:tc>
          <w:tcPr>
            <w:tcW w:w="1395" w:type="dxa"/>
            <w:vAlign w:val="center"/>
          </w:tcPr>
          <w:p>
            <w:pPr>
              <w:spacing w:line="240" w:lineRule="auto"/>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9.1%</w:t>
            </w:r>
          </w:p>
        </w:tc>
        <w:tc>
          <w:tcPr>
            <w:tcW w:w="1134" w:type="dxa"/>
            <w:vAlign w:val="center"/>
          </w:tcPr>
          <w:p>
            <w:pPr>
              <w:spacing w:line="240" w:lineRule="auto"/>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6.7%</w:t>
            </w:r>
          </w:p>
        </w:tc>
        <w:tc>
          <w:tcPr>
            <w:tcW w:w="1275" w:type="dxa"/>
            <w:vAlign w:val="center"/>
          </w:tcPr>
          <w:p>
            <w:pPr>
              <w:spacing w:line="240" w:lineRule="auto"/>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7.4%</w:t>
            </w:r>
          </w:p>
        </w:tc>
        <w:tc>
          <w:tcPr>
            <w:tcW w:w="1276" w:type="dxa"/>
            <w:vAlign w:val="center"/>
          </w:tcPr>
          <w:p>
            <w:pPr>
              <w:spacing w:line="240" w:lineRule="auto"/>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8.5%</w:t>
            </w:r>
          </w:p>
        </w:tc>
        <w:tc>
          <w:tcPr>
            <w:tcW w:w="1276" w:type="dxa"/>
            <w:vAlign w:val="center"/>
          </w:tcPr>
          <w:p>
            <w:pPr>
              <w:spacing w:line="240" w:lineRule="auto"/>
              <w:ind w:firstLine="0" w:firstLineChars="0"/>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Align w:val="center"/>
          </w:tcPr>
          <w:p>
            <w:pPr>
              <w:spacing w:line="240" w:lineRule="auto"/>
              <w:ind w:firstLine="0" w:firstLineChars="0"/>
              <w:jc w:val="center"/>
              <w:rPr>
                <w:rFonts w:hint="eastAsia" w:ascii="仿宋_GB2312" w:hAnsi="仿宋_GB2312" w:eastAsia="仿宋_GB2312" w:cs="仿宋_GB2312"/>
                <w:b/>
                <w:color w:val="auto"/>
                <w:sz w:val="24"/>
                <w:szCs w:val="24"/>
                <w:lang w:val="en-US" w:eastAsia="zh-CN"/>
              </w:rPr>
            </w:pPr>
            <w:r>
              <w:rPr>
                <w:rFonts w:hint="eastAsia" w:ascii="仿宋_GB2312" w:hAnsi="仿宋_GB2312" w:eastAsia="仿宋_GB2312" w:cs="仿宋_GB2312"/>
                <w:b/>
                <w:color w:val="auto"/>
                <w:sz w:val="24"/>
                <w:szCs w:val="24"/>
                <w:lang w:val="en-US" w:eastAsia="zh-CN"/>
              </w:rPr>
              <w:t>煤油</w:t>
            </w:r>
          </w:p>
        </w:tc>
        <w:tc>
          <w:tcPr>
            <w:tcW w:w="1395" w:type="dxa"/>
            <w:vAlign w:val="center"/>
          </w:tcPr>
          <w:p>
            <w:pPr>
              <w:spacing w:line="240" w:lineRule="auto"/>
              <w:ind w:firstLine="0" w:firstLine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w:t>
            </w:r>
          </w:p>
        </w:tc>
        <w:tc>
          <w:tcPr>
            <w:tcW w:w="1134" w:type="dxa"/>
            <w:vAlign w:val="center"/>
          </w:tcPr>
          <w:p>
            <w:pPr>
              <w:spacing w:line="240" w:lineRule="auto"/>
              <w:ind w:firstLine="0" w:firstLine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w:t>
            </w:r>
          </w:p>
        </w:tc>
        <w:tc>
          <w:tcPr>
            <w:tcW w:w="1275" w:type="dxa"/>
            <w:vAlign w:val="center"/>
          </w:tcPr>
          <w:p>
            <w:pPr>
              <w:spacing w:line="240" w:lineRule="auto"/>
              <w:ind w:firstLine="0" w:firstLine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1.9%</w:t>
            </w:r>
          </w:p>
        </w:tc>
        <w:tc>
          <w:tcPr>
            <w:tcW w:w="1276" w:type="dxa"/>
            <w:vAlign w:val="center"/>
          </w:tcPr>
          <w:p>
            <w:pPr>
              <w:spacing w:line="240" w:lineRule="auto"/>
              <w:ind w:firstLine="0" w:firstLineChars="0"/>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8.4%</w:t>
            </w:r>
          </w:p>
        </w:tc>
        <w:tc>
          <w:tcPr>
            <w:tcW w:w="1276" w:type="dxa"/>
            <w:vAlign w:val="center"/>
          </w:tcPr>
          <w:p>
            <w:pPr>
              <w:spacing w:line="240" w:lineRule="auto"/>
              <w:ind w:firstLine="0" w:firstLineChars="0"/>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7" w:type="dxa"/>
            <w:vAlign w:val="center"/>
          </w:tcPr>
          <w:p>
            <w:pPr>
              <w:spacing w:line="240" w:lineRule="auto"/>
              <w:ind w:firstLine="0" w:firstLineChar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小计</w:t>
            </w:r>
          </w:p>
        </w:tc>
        <w:tc>
          <w:tcPr>
            <w:tcW w:w="1395" w:type="dxa"/>
            <w:vAlign w:val="center"/>
          </w:tcPr>
          <w:p>
            <w:pPr>
              <w:spacing w:line="240" w:lineRule="auto"/>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93.</w:t>
            </w: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w:t>
            </w:r>
          </w:p>
        </w:tc>
        <w:tc>
          <w:tcPr>
            <w:tcW w:w="1134" w:type="dxa"/>
            <w:vAlign w:val="center"/>
          </w:tcPr>
          <w:p>
            <w:pPr>
              <w:spacing w:line="240" w:lineRule="auto"/>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92.</w:t>
            </w: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w:t>
            </w:r>
          </w:p>
        </w:tc>
        <w:tc>
          <w:tcPr>
            <w:tcW w:w="1275" w:type="dxa"/>
            <w:vAlign w:val="center"/>
          </w:tcPr>
          <w:p>
            <w:pPr>
              <w:spacing w:line="240" w:lineRule="auto"/>
              <w:ind w:firstLine="0" w:firstLineChar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89.3%</w:t>
            </w:r>
          </w:p>
        </w:tc>
        <w:tc>
          <w:tcPr>
            <w:tcW w:w="1276" w:type="dxa"/>
            <w:vAlign w:val="center"/>
          </w:tcPr>
          <w:p>
            <w:pPr>
              <w:spacing w:line="240" w:lineRule="auto"/>
              <w:ind w:firstLine="0" w:firstLineChars="0"/>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82.7%</w:t>
            </w:r>
          </w:p>
        </w:tc>
        <w:tc>
          <w:tcPr>
            <w:tcW w:w="1276" w:type="dxa"/>
            <w:vAlign w:val="center"/>
          </w:tcPr>
          <w:p>
            <w:pPr>
              <w:spacing w:line="240" w:lineRule="auto"/>
              <w:ind w:firstLine="0" w:firstLineChars="0"/>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87.4%</w:t>
            </w:r>
          </w:p>
        </w:tc>
      </w:tr>
    </w:tbl>
    <w:p>
      <w:pPr>
        <w:widowControl w:val="0"/>
        <w:wordWrap/>
        <w:adjustRightInd/>
        <w:snapToGrid/>
        <w:spacing w:line="560" w:lineRule="exact"/>
        <w:ind w:firstLine="643" w:firstLineChars="200"/>
        <w:textAlignment w:val="auto"/>
        <w:rPr>
          <w:rFonts w:ascii="Calibri" w:hAnsi="Calibri" w:eastAsia="宋体" w:cs="Times New Roman"/>
          <w:sz w:val="21"/>
          <w:szCs w:val="32"/>
        </w:rPr>
      </w:pPr>
      <w:bookmarkStart w:id="36" w:name="_Toc53221975"/>
      <w:bookmarkStart w:id="37" w:name="_Toc61515254"/>
      <w:bookmarkStart w:id="38" w:name="_Toc50988047"/>
      <w:r>
        <w:rPr>
          <w:rFonts w:hint="eastAsia" w:ascii="仿宋_GB2312" w:hAnsi="仿宋_GB2312" w:eastAsia="仿宋_GB2312" w:cs="仿宋_GB2312"/>
          <w:b/>
          <w:bCs/>
          <w:color w:val="auto"/>
          <w:sz w:val="32"/>
          <w:szCs w:val="32"/>
          <w:lang w:val="en-US" w:eastAsia="zh-CN"/>
        </w:rPr>
        <w:t>能源利用效率显著提高。</w:t>
      </w:r>
      <w:r>
        <w:rPr>
          <w:rFonts w:hint="eastAsia" w:ascii="仿宋_GB2312" w:hAnsi="仿宋_GB2312" w:eastAsia="仿宋_GB2312" w:cs="仿宋_GB2312"/>
          <w:color w:val="auto"/>
          <w:sz w:val="32"/>
          <w:szCs w:val="32"/>
        </w:rPr>
        <w:t>节能降耗工作稳步推进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“十三五”时期，</w:t>
      </w:r>
      <w:r>
        <w:rPr>
          <w:rFonts w:hint="eastAsia" w:ascii="仿宋_GB2312" w:hAnsi="仿宋_GB2312" w:eastAsia="仿宋_GB2312" w:cs="仿宋_GB2312"/>
          <w:color w:val="auto"/>
          <w:sz w:val="32"/>
          <w:szCs w:val="32"/>
          <w:lang w:val="en-US" w:eastAsia="zh-CN"/>
        </w:rPr>
        <w:t>大兴区</w:t>
      </w:r>
      <w:r>
        <w:rPr>
          <w:rFonts w:hint="eastAsia" w:ascii="仿宋_GB2312" w:hAnsi="仿宋_GB2312" w:eastAsia="仿宋_GB2312" w:cs="仿宋_GB2312"/>
          <w:color w:val="auto"/>
          <w:sz w:val="32"/>
          <w:szCs w:val="32"/>
        </w:rPr>
        <w:t>在实现地区生产总值显著增长的同时，能源消费总量得到有效控制，全区单位地区生产总值能耗</w:t>
      </w:r>
      <w:r>
        <w:rPr>
          <w:rFonts w:hint="eastAsia" w:ascii="仿宋_GB2312" w:hAnsi="仿宋_GB2312" w:eastAsia="仿宋_GB2312" w:cs="仿宋_GB2312"/>
          <w:color w:val="auto"/>
          <w:sz w:val="32"/>
          <w:szCs w:val="32"/>
          <w:lang w:val="en-US" w:eastAsia="zh-CN"/>
        </w:rPr>
        <w:t>呈</w:t>
      </w:r>
      <w:r>
        <w:rPr>
          <w:rFonts w:hint="eastAsia" w:ascii="仿宋_GB2312" w:hAnsi="仿宋_GB2312" w:eastAsia="仿宋_GB2312" w:cs="仿宋_GB2312"/>
          <w:color w:val="auto"/>
          <w:sz w:val="32"/>
          <w:szCs w:val="32"/>
        </w:rPr>
        <w:t>下降</w:t>
      </w:r>
      <w:r>
        <w:rPr>
          <w:rFonts w:hint="eastAsia" w:ascii="仿宋_GB2312" w:hAnsi="仿宋_GB2312" w:eastAsia="仿宋_GB2312" w:cs="仿宋_GB2312"/>
          <w:color w:val="auto"/>
          <w:sz w:val="32"/>
          <w:szCs w:val="32"/>
          <w:lang w:val="en-US" w:eastAsia="zh-CN"/>
        </w:rPr>
        <w:t>趋势</w:t>
      </w:r>
      <w:r>
        <w:rPr>
          <w:rFonts w:hint="eastAsia" w:ascii="仿宋_GB2312" w:hAnsi="仿宋_GB2312" w:eastAsia="仿宋_GB2312" w:cs="仿宋_GB2312"/>
          <w:color w:val="auto"/>
          <w:sz w:val="32"/>
          <w:szCs w:val="32"/>
        </w:rPr>
        <w:t>，能源利用效率不断提升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顺利完成了市政府下达的节能目标。全区有序疏解非首都功能，加快产业结构优化升级，构建节能低碳的产业体系</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“十三五”期间</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lang w:eastAsia="zh-CN"/>
        </w:rPr>
        <w:t>累计</w:t>
      </w:r>
      <w:r>
        <w:rPr>
          <w:rFonts w:hint="eastAsia" w:ascii="仿宋_GB2312" w:hAnsi="仿宋_GB2312" w:eastAsia="仿宋_GB2312" w:cs="仿宋_GB2312"/>
          <w:color w:val="auto"/>
          <w:sz w:val="32"/>
          <w:szCs w:val="32"/>
        </w:rPr>
        <w:t>疏解退出一般制造业企业</w:t>
      </w:r>
      <w:r>
        <w:rPr>
          <w:rFonts w:hint="eastAsia" w:ascii="仿宋_GB2312" w:hAnsi="仿宋_GB2312" w:eastAsia="仿宋_GB2312" w:cs="仿宋_GB2312"/>
          <w:color w:val="auto"/>
          <w:sz w:val="32"/>
          <w:szCs w:val="32"/>
          <w:lang w:val="en-US" w:eastAsia="zh-CN"/>
        </w:rPr>
        <w:t>151</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color w:val="auto"/>
          <w:sz w:val="32"/>
          <w:szCs w:val="32"/>
          <w:lang w:eastAsia="zh-CN"/>
        </w:rPr>
        <w:t>“散乱污”企业</w:t>
      </w:r>
      <w:r>
        <w:rPr>
          <w:rFonts w:hint="eastAsia" w:ascii="仿宋_GB2312" w:hAnsi="仿宋_GB2312" w:eastAsia="仿宋_GB2312" w:cs="仿宋_GB2312"/>
          <w:color w:val="auto"/>
          <w:sz w:val="32"/>
          <w:szCs w:val="32"/>
          <w:lang w:val="en-US" w:eastAsia="zh-CN"/>
        </w:rPr>
        <w:t>1514</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color w:val="auto"/>
          <w:sz w:val="32"/>
          <w:szCs w:val="32"/>
          <w:lang w:eastAsia="zh-CN"/>
        </w:rPr>
        <w:t>，持续助力并巩固全区能源结构清洁化转型成效。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仿宋" w:cs="Times New Roman"/>
          <w:b/>
          <w:color w:val="auto"/>
          <w:sz w:val="28"/>
          <w:szCs w:val="28"/>
          <w:highlight w:val="none"/>
        </w:rPr>
      </w:pPr>
      <w:r>
        <w:drawing>
          <wp:inline distT="0" distB="0" distL="114300" distR="114300">
            <wp:extent cx="4498975" cy="2743835"/>
            <wp:effectExtent l="0" t="0" r="15875" b="18415"/>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9"/>
                    <a:stretch>
                      <a:fillRect/>
                    </a:stretch>
                  </pic:blipFill>
                  <pic:spPr>
                    <a:xfrm>
                      <a:off x="0" y="0"/>
                      <a:ext cx="4498975" cy="2743835"/>
                    </a:xfrm>
                    <a:prstGeom prst="rect">
                      <a:avLst/>
                    </a:prstGeom>
                    <a:noFill/>
                    <a:ln>
                      <a:noFill/>
                    </a:ln>
                  </pic:spPr>
                </pic:pic>
              </a:graphicData>
            </a:graphic>
          </wp:inline>
        </w:drawing>
      </w:r>
    </w:p>
    <w:p>
      <w:pPr>
        <w:widowControl w:val="0"/>
        <w:wordWrap/>
        <w:adjustRightInd/>
        <w:snapToGrid/>
        <w:spacing w:line="560" w:lineRule="exact"/>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图3 2016-</w:t>
      </w:r>
      <w:r>
        <w:rPr>
          <w:rFonts w:hint="eastAsia" w:ascii="仿宋_GB2312" w:hAnsi="仿宋_GB2312" w:eastAsia="仿宋_GB2312" w:cs="仿宋_GB2312"/>
          <w:b/>
          <w:color w:val="auto"/>
          <w:sz w:val="28"/>
          <w:szCs w:val="28"/>
          <w:highlight w:val="none"/>
          <w:lang w:val="en-US" w:eastAsia="zh-CN"/>
        </w:rPr>
        <w:t>2020</w:t>
      </w:r>
      <w:r>
        <w:rPr>
          <w:rFonts w:hint="eastAsia" w:ascii="仿宋_GB2312" w:hAnsi="仿宋_GB2312" w:eastAsia="仿宋_GB2312" w:cs="仿宋_GB2312"/>
          <w:b/>
          <w:color w:val="auto"/>
          <w:sz w:val="28"/>
          <w:szCs w:val="28"/>
          <w:highlight w:val="none"/>
        </w:rPr>
        <w:t>年大兴区万元GDP能耗及下降率</w:t>
      </w:r>
    </w:p>
    <w:p>
      <w:pPr>
        <w:widowControl w:val="0"/>
        <w:wordWrap/>
        <w:adjustRightInd/>
        <w:snapToGrid/>
        <w:spacing w:line="560" w:lineRule="exact"/>
        <w:ind w:firstLine="640" w:firstLineChars="200"/>
        <w:textAlignment w:val="auto"/>
        <w:outlineLvl w:val="1"/>
        <w:rPr>
          <w:rFonts w:hint="eastAsia" w:ascii="楷体_GB2312" w:hAnsi="楷体_GB2312" w:eastAsia="楷体_GB2312" w:cs="楷体_GB2312"/>
          <w:b w:val="0"/>
          <w:color w:val="auto"/>
          <w:sz w:val="32"/>
          <w:szCs w:val="32"/>
        </w:rPr>
      </w:pPr>
      <w:bookmarkStart w:id="39" w:name="_Toc14847"/>
      <w:bookmarkStart w:id="40" w:name="_Toc25099"/>
      <w:bookmarkStart w:id="41" w:name="_Toc11473"/>
      <w:bookmarkStart w:id="42" w:name="_Toc24220"/>
      <w:bookmarkStart w:id="43" w:name="_Toc17243"/>
      <w:bookmarkStart w:id="44" w:name="_Toc9134"/>
      <w:bookmarkStart w:id="45" w:name="_Toc8183"/>
      <w:bookmarkStart w:id="46" w:name="_Toc10058"/>
      <w:bookmarkStart w:id="47" w:name="_Toc3863"/>
      <w:bookmarkStart w:id="48" w:name="_Toc2106"/>
      <w:bookmarkStart w:id="49" w:name="_Toc12102"/>
      <w:r>
        <w:rPr>
          <w:rFonts w:hint="eastAsia" w:ascii="楷体_GB2312" w:hAnsi="楷体_GB2312" w:eastAsia="楷体_GB2312" w:cs="楷体_GB2312"/>
          <w:b w:val="0"/>
          <w:color w:val="auto"/>
          <w:sz w:val="32"/>
          <w:szCs w:val="32"/>
        </w:rPr>
        <w:t>（</w:t>
      </w:r>
      <w:r>
        <w:rPr>
          <w:rFonts w:hint="eastAsia" w:ascii="楷体_GB2312" w:hAnsi="楷体_GB2312" w:eastAsia="楷体_GB2312" w:cs="楷体_GB2312"/>
          <w:b w:val="0"/>
          <w:color w:val="auto"/>
          <w:sz w:val="32"/>
          <w:szCs w:val="32"/>
          <w:lang w:val="en-US" w:eastAsia="zh-CN"/>
        </w:rPr>
        <w:t>二</w:t>
      </w:r>
      <w:r>
        <w:rPr>
          <w:rFonts w:hint="eastAsia" w:ascii="楷体_GB2312" w:hAnsi="楷体_GB2312" w:eastAsia="楷体_GB2312" w:cs="楷体_GB2312"/>
          <w:b w:val="0"/>
          <w:color w:val="auto"/>
          <w:sz w:val="32"/>
          <w:szCs w:val="32"/>
        </w:rPr>
        <w:t>）能源设施保障能力不断提升</w:t>
      </w:r>
      <w:bookmarkEnd w:id="36"/>
      <w:bookmarkEnd w:id="37"/>
      <w:bookmarkEnd w:id="38"/>
      <w:bookmarkEnd w:id="39"/>
      <w:bookmarkEnd w:id="40"/>
      <w:bookmarkEnd w:id="41"/>
      <w:bookmarkEnd w:id="42"/>
      <w:bookmarkEnd w:id="43"/>
      <w:bookmarkEnd w:id="44"/>
      <w:bookmarkEnd w:id="45"/>
      <w:bookmarkEnd w:id="46"/>
      <w:bookmarkEnd w:id="47"/>
      <w:bookmarkEnd w:id="48"/>
      <w:bookmarkEnd w:id="49"/>
    </w:p>
    <w:p>
      <w:pPr>
        <w:widowControl w:val="0"/>
        <w:wordWrap/>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电网结构逐步完善，供电可靠性不断增强。</w:t>
      </w:r>
      <w:r>
        <w:rPr>
          <w:rFonts w:hint="eastAsia" w:ascii="仿宋_GB2312" w:hAnsi="仿宋_GB2312" w:eastAsia="仿宋_GB2312" w:cs="仿宋_GB2312"/>
          <w:color w:val="auto"/>
          <w:spacing w:val="-6"/>
          <w:kern w:val="0"/>
          <w:sz w:val="32"/>
          <w:szCs w:val="32"/>
        </w:rPr>
        <w:t>新、扩建500千伏变电站2座、220千伏变电站5座、110千伏变电站11座，新增变电容量666.4万千伏安，地区总体供电能力同比提升66.1%。</w:t>
      </w:r>
      <w:r>
        <w:rPr>
          <w:rFonts w:hint="eastAsia" w:ascii="仿宋_GB2312" w:hAnsi="仿宋_GB2312" w:eastAsia="仿宋_GB2312" w:cs="仿宋_GB2312"/>
          <w:color w:val="auto"/>
          <w:sz w:val="32"/>
          <w:szCs w:val="32"/>
        </w:rPr>
        <w:t>全区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不含亦庄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现有500千伏变电站3座，220千伏变电站9座，110千伏变电站36座，电网网架结构得到增强，配电网供电能力有效提升，电力保障水平得到改善。2020年底全区电网最大负荷147.1万千瓦，2016年以来累计供电量达到293.</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亿千瓦时。2020年大兴区全社会用电量6</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亿</w:t>
      </w:r>
      <w:r>
        <w:rPr>
          <w:rFonts w:hint="eastAsia" w:ascii="仿宋_GB2312" w:hAnsi="仿宋_GB2312" w:eastAsia="仿宋_GB2312" w:cs="仿宋_GB2312"/>
          <w:color w:val="auto"/>
          <w:sz w:val="32"/>
          <w:szCs w:val="32"/>
          <w:lang w:eastAsia="zh-CN"/>
        </w:rPr>
        <w:t>千瓦时</w:t>
      </w:r>
      <w:r>
        <w:rPr>
          <w:rFonts w:hint="eastAsia" w:ascii="仿宋_GB2312" w:hAnsi="仿宋_GB2312" w:eastAsia="仿宋_GB2312" w:cs="仿宋_GB2312"/>
          <w:color w:val="auto"/>
          <w:sz w:val="32"/>
          <w:szCs w:val="32"/>
        </w:rPr>
        <w:t>，供电可靠率为99.976%。城网户均停电时间16.3小时，农网户均停电时间45.1小时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电力保障能力水平得到有力增强。</w:t>
      </w:r>
    </w:p>
    <w:p>
      <w:pPr>
        <w:widowControl w:val="0"/>
        <w:wordWrap/>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燃气输配系统持续完善。</w:t>
      </w:r>
      <w:r>
        <w:rPr>
          <w:rFonts w:hint="eastAsia" w:ascii="仿宋_GB2312" w:hAnsi="仿宋_GB2312" w:eastAsia="仿宋_GB2312" w:cs="仿宋_GB2312"/>
          <w:color w:val="auto"/>
          <w:sz w:val="32"/>
          <w:szCs w:val="32"/>
        </w:rPr>
        <w:t>持续完善燃气输配管网体系建设，有效提升区域燃气供给保障能力。</w:t>
      </w:r>
      <w:r>
        <w:rPr>
          <w:rFonts w:hint="eastAsia" w:ascii="仿宋_GB2312" w:hAnsi="仿宋_GB2312" w:eastAsia="仿宋_GB2312" w:cs="仿宋_GB2312"/>
          <w:color w:val="auto"/>
          <w:sz w:val="32"/>
          <w:szCs w:val="32"/>
          <w:lang w:val="en-US" w:eastAsia="zh-CN"/>
        </w:rPr>
        <w:t>截至2020年底，全区已建天然气门站1座，高压A调压站4座，</w:t>
      </w:r>
      <w:r>
        <w:rPr>
          <w:rFonts w:hint="eastAsia" w:ascii="仿宋_GB2312" w:hAnsi="仿宋_GB2312" w:eastAsia="仿宋_GB2312" w:cs="仿宋_GB2312"/>
          <w:color w:val="auto"/>
          <w:sz w:val="32"/>
          <w:szCs w:val="32"/>
        </w:rPr>
        <w:t>高压B调压站（箱）</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次高压A调压站（箱）</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3座，</w:t>
      </w:r>
      <w:r>
        <w:rPr>
          <w:rFonts w:hint="eastAsia" w:ascii="仿宋_GB2312" w:hAnsi="仿宋_GB2312" w:eastAsia="仿宋_GB2312" w:cs="仿宋_GB2312"/>
          <w:bCs/>
          <w:color w:val="auto"/>
          <w:sz w:val="32"/>
          <w:szCs w:val="32"/>
        </w:rPr>
        <w:t>全区天然气输配五级供气系统</w:t>
      </w:r>
      <w:r>
        <w:rPr>
          <w:rFonts w:hint="eastAsia" w:ascii="仿宋_GB2312" w:hAnsi="仿宋_GB2312" w:eastAsia="仿宋_GB2312" w:cs="仿宋_GB2312"/>
          <w:bCs/>
          <w:color w:val="auto"/>
          <w:sz w:val="32"/>
          <w:szCs w:val="32"/>
          <w:lang w:val="en-US" w:eastAsia="zh-CN"/>
        </w:rPr>
        <w:t>基本</w:t>
      </w:r>
      <w:r>
        <w:rPr>
          <w:rFonts w:hint="eastAsia" w:ascii="仿宋_GB2312" w:hAnsi="仿宋_GB2312" w:eastAsia="仿宋_GB2312" w:cs="仿宋_GB2312"/>
          <w:bCs/>
          <w:color w:val="auto"/>
          <w:sz w:val="32"/>
          <w:szCs w:val="32"/>
        </w:rPr>
        <w:t>形成。</w:t>
      </w:r>
      <w:r>
        <w:rPr>
          <w:rFonts w:hint="eastAsia" w:ascii="仿宋_GB2312" w:hAnsi="仿宋_GB2312" w:eastAsia="仿宋_GB2312" w:cs="仿宋_GB2312"/>
          <w:color w:val="auto"/>
          <w:sz w:val="32"/>
          <w:szCs w:val="32"/>
        </w:rPr>
        <w:t>供气范围覆盖</w:t>
      </w:r>
      <w:r>
        <w:rPr>
          <w:rFonts w:hint="eastAsia" w:ascii="仿宋_GB2312" w:hAnsi="仿宋_GB2312" w:eastAsia="仿宋_GB2312" w:cs="仿宋_GB2312"/>
          <w:color w:val="auto"/>
          <w:sz w:val="32"/>
          <w:szCs w:val="32"/>
          <w:lang w:val="en-US" w:eastAsia="zh-CN"/>
        </w:rPr>
        <w:t>北京</w:t>
      </w:r>
      <w:r>
        <w:rPr>
          <w:rFonts w:hint="eastAsia" w:ascii="仿宋_GB2312" w:hAnsi="仿宋_GB2312" w:eastAsia="仿宋_GB2312" w:cs="仿宋_GB2312"/>
          <w:color w:val="auto"/>
          <w:sz w:val="32"/>
          <w:szCs w:val="32"/>
        </w:rPr>
        <w:t>大兴国际机场、</w:t>
      </w:r>
      <w:r>
        <w:rPr>
          <w:rFonts w:hint="eastAsia" w:ascii="仿宋_GB2312" w:hAnsi="仿宋_GB2312" w:eastAsia="仿宋_GB2312" w:cs="仿宋_GB2312"/>
          <w:color w:val="auto"/>
          <w:sz w:val="32"/>
          <w:szCs w:val="32"/>
          <w:lang w:val="en-US" w:eastAsia="zh-CN"/>
        </w:rPr>
        <w:t>北京</w:t>
      </w:r>
      <w:r>
        <w:rPr>
          <w:rFonts w:hint="eastAsia" w:ascii="仿宋_GB2312" w:hAnsi="仿宋_GB2312" w:eastAsia="仿宋_GB2312" w:cs="仿宋_GB2312"/>
          <w:color w:val="auto"/>
          <w:sz w:val="32"/>
          <w:szCs w:val="32"/>
        </w:rPr>
        <w:t>大兴国际机场临空经济区、大兴新城、西红门、旧宫、庞各庄、榆垡、魏善庄、瀛海、采育等地区</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color w:val="auto"/>
          <w:sz w:val="32"/>
          <w:szCs w:val="32"/>
          <w:highlight w:val="none"/>
        </w:rPr>
        <w:t>有效满足全区生产生活用气需求。</w:t>
      </w:r>
    </w:p>
    <w:p>
      <w:pPr>
        <w:widowControl w:val="0"/>
        <w:wordWrap/>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清洁供热保障能力不断</w:t>
      </w:r>
      <w:r>
        <w:rPr>
          <w:rFonts w:hint="eastAsia" w:ascii="仿宋_GB2312" w:hAnsi="仿宋_GB2312" w:eastAsia="仿宋_GB2312" w:cs="仿宋_GB2312"/>
          <w:b/>
          <w:color w:val="auto"/>
          <w:sz w:val="32"/>
          <w:szCs w:val="32"/>
          <w:lang w:val="en-US" w:eastAsia="zh-CN"/>
        </w:rPr>
        <w:t>完善</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color w:val="auto"/>
          <w:sz w:val="32"/>
          <w:szCs w:val="32"/>
        </w:rPr>
        <w:t>大力推进清洁采暖设施建设及改造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实现</w:t>
      </w:r>
      <w:r>
        <w:rPr>
          <w:rFonts w:hint="eastAsia" w:ascii="仿宋_GB2312" w:hAnsi="仿宋_GB2312" w:eastAsia="仿宋_GB2312" w:cs="仿宋_GB2312"/>
          <w:color w:val="auto"/>
          <w:sz w:val="32"/>
          <w:szCs w:val="32"/>
        </w:rPr>
        <w:t>供热无煤化，初步形成绿色清洁、安全高效的区域供热体系。大力推进集中式清洁采暖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大兴新城、各镇中心区基本实现燃气供热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有序开展供热设施节能环保改造与老旧供热管网改造，重点围绕康庄、观音寺供热厂开展烟气余热热泵改造，提升供热能力约55兆瓦，有效改善锅炉热能利用效率。</w:t>
      </w:r>
    </w:p>
    <w:p>
      <w:pPr>
        <w:widowControl w:val="0"/>
        <w:wordWrap/>
        <w:adjustRightInd/>
        <w:snapToGrid/>
        <w:spacing w:line="560" w:lineRule="exact"/>
        <w:ind w:firstLine="640" w:firstLineChars="200"/>
        <w:textAlignment w:val="auto"/>
        <w:outlineLvl w:val="1"/>
        <w:rPr>
          <w:rFonts w:hint="eastAsia" w:ascii="楷体_GB2312" w:hAnsi="楷体_GB2312" w:eastAsia="楷体_GB2312" w:cs="楷体_GB2312"/>
          <w:b w:val="0"/>
          <w:color w:val="auto"/>
          <w:sz w:val="32"/>
          <w:szCs w:val="32"/>
        </w:rPr>
      </w:pPr>
      <w:bookmarkStart w:id="50" w:name="_Toc16320"/>
      <w:bookmarkStart w:id="51" w:name="_Toc32346"/>
      <w:bookmarkStart w:id="52" w:name="_Toc29307"/>
      <w:bookmarkStart w:id="53" w:name="_Toc11605"/>
      <w:bookmarkStart w:id="54" w:name="_Toc15217"/>
      <w:bookmarkStart w:id="55" w:name="_Toc7377"/>
      <w:bookmarkStart w:id="56" w:name="_Toc61515255"/>
      <w:bookmarkStart w:id="57" w:name="_Toc50988048"/>
      <w:bookmarkStart w:id="58" w:name="_Toc53221976"/>
      <w:bookmarkStart w:id="59" w:name="_Toc5140"/>
      <w:bookmarkStart w:id="60" w:name="_Toc8810"/>
      <w:bookmarkStart w:id="61" w:name="_Toc4100"/>
      <w:bookmarkStart w:id="62" w:name="_Toc18905"/>
      <w:bookmarkStart w:id="63" w:name="_Toc6852"/>
      <w:r>
        <w:rPr>
          <w:rFonts w:hint="eastAsia" w:ascii="楷体_GB2312" w:hAnsi="楷体_GB2312" w:eastAsia="楷体_GB2312" w:cs="楷体_GB2312"/>
          <w:b w:val="0"/>
          <w:color w:val="auto"/>
          <w:sz w:val="32"/>
          <w:szCs w:val="32"/>
        </w:rPr>
        <w:t>（</w:t>
      </w:r>
      <w:r>
        <w:rPr>
          <w:rFonts w:hint="eastAsia" w:ascii="楷体_GB2312" w:hAnsi="楷体_GB2312" w:eastAsia="楷体_GB2312" w:cs="楷体_GB2312"/>
          <w:b w:val="0"/>
          <w:color w:val="auto"/>
          <w:sz w:val="32"/>
          <w:szCs w:val="32"/>
          <w:lang w:val="en-US" w:eastAsia="zh-CN"/>
        </w:rPr>
        <w:t>三</w:t>
      </w:r>
      <w:r>
        <w:rPr>
          <w:rFonts w:hint="eastAsia" w:ascii="楷体_GB2312" w:hAnsi="楷体_GB2312" w:eastAsia="楷体_GB2312" w:cs="楷体_GB2312"/>
          <w:b w:val="0"/>
          <w:color w:val="auto"/>
          <w:sz w:val="32"/>
          <w:szCs w:val="32"/>
        </w:rPr>
        <w:t>）可再生能源利用再上新台阶</w:t>
      </w:r>
      <w:bookmarkEnd w:id="50"/>
      <w:bookmarkEnd w:id="51"/>
      <w:bookmarkEnd w:id="52"/>
      <w:bookmarkEnd w:id="53"/>
      <w:bookmarkEnd w:id="54"/>
      <w:bookmarkEnd w:id="55"/>
      <w:bookmarkEnd w:id="56"/>
      <w:bookmarkEnd w:id="57"/>
      <w:bookmarkEnd w:id="58"/>
      <w:bookmarkEnd w:id="59"/>
      <w:bookmarkEnd w:id="60"/>
      <w:bookmarkEnd w:id="61"/>
      <w:bookmarkEnd w:id="62"/>
      <w:bookmarkEnd w:id="63"/>
    </w:p>
    <w:p>
      <w:pPr>
        <w:widowControl w:val="0"/>
        <w:wordWrap/>
        <w:adjustRightInd/>
        <w:snapToGrid/>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积极</w:t>
      </w:r>
      <w:r>
        <w:rPr>
          <w:rFonts w:hint="eastAsia" w:ascii="仿宋_GB2312" w:hAnsi="仿宋_GB2312" w:eastAsia="仿宋_GB2312" w:cs="仿宋_GB2312"/>
          <w:b/>
          <w:color w:val="auto"/>
          <w:sz w:val="32"/>
          <w:szCs w:val="32"/>
          <w:lang w:val="en-US" w:eastAsia="zh-CN"/>
        </w:rPr>
        <w:t>推进</w:t>
      </w:r>
      <w:r>
        <w:rPr>
          <w:rFonts w:hint="eastAsia" w:ascii="仿宋_GB2312" w:hAnsi="仿宋_GB2312" w:eastAsia="仿宋_GB2312" w:cs="仿宋_GB2312"/>
          <w:b/>
          <w:color w:val="auto"/>
          <w:sz w:val="32"/>
          <w:szCs w:val="32"/>
        </w:rPr>
        <w:t>屋顶太阳能光伏光热应用。</w:t>
      </w:r>
      <w:r>
        <w:rPr>
          <w:rFonts w:hint="eastAsia" w:ascii="仿宋_GB2312" w:hAnsi="仿宋_GB2312" w:eastAsia="仿宋_GB2312" w:cs="仿宋_GB2312"/>
          <w:color w:val="auto"/>
          <w:sz w:val="32"/>
          <w:szCs w:val="32"/>
          <w:lang w:val="en-US" w:eastAsia="zh-CN"/>
        </w:rPr>
        <w:t>推进</w:t>
      </w:r>
      <w:r>
        <w:rPr>
          <w:rFonts w:hint="eastAsia" w:ascii="仿宋_GB2312" w:hAnsi="仿宋_GB2312" w:eastAsia="仿宋_GB2312" w:cs="仿宋_GB2312"/>
          <w:color w:val="auto"/>
          <w:sz w:val="32"/>
          <w:szCs w:val="32"/>
        </w:rPr>
        <w:t>居民及企业用户建筑屋顶太阳能光伏系统建设，重点</w:t>
      </w:r>
      <w:r>
        <w:rPr>
          <w:rFonts w:hint="eastAsia" w:ascii="仿宋_GB2312" w:hAnsi="仿宋_GB2312" w:eastAsia="仿宋_GB2312" w:cs="仿宋_GB2312"/>
          <w:color w:val="auto"/>
          <w:sz w:val="32"/>
          <w:szCs w:val="32"/>
          <w:lang w:val="en-US" w:eastAsia="zh-CN"/>
        </w:rPr>
        <w:t>加强</w:t>
      </w:r>
      <w:r>
        <w:rPr>
          <w:rFonts w:hint="eastAsia" w:ascii="仿宋_GB2312" w:hAnsi="仿宋_GB2312" w:eastAsia="仿宋_GB2312" w:cs="仿宋_GB2312"/>
          <w:color w:val="auto"/>
          <w:sz w:val="32"/>
          <w:szCs w:val="32"/>
        </w:rPr>
        <w:t>医疗、商业、餐饮等领域分布式光伏应用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rPr>
        <w:t>截至2020年底，累计实现光伏发电装机规模</w:t>
      </w:r>
      <w:r>
        <w:rPr>
          <w:rFonts w:hint="eastAsia" w:ascii="仿宋_GB2312" w:hAnsi="仿宋_GB2312" w:eastAsia="仿宋_GB2312" w:cs="仿宋_GB2312"/>
          <w:color w:val="auto"/>
          <w:sz w:val="32"/>
          <w:szCs w:val="32"/>
          <w:highlight w:val="none"/>
          <w:lang w:val="en-US" w:eastAsia="zh-CN"/>
        </w:rPr>
        <w:t>38900</w:t>
      </w:r>
      <w:r>
        <w:rPr>
          <w:rFonts w:hint="eastAsia" w:ascii="仿宋_GB2312" w:hAnsi="仿宋_GB2312" w:eastAsia="仿宋_GB2312" w:cs="仿宋_GB2312"/>
          <w:color w:val="auto"/>
          <w:sz w:val="32"/>
          <w:szCs w:val="32"/>
          <w:highlight w:val="none"/>
        </w:rPr>
        <w:t>千瓦，累计实现发电</w:t>
      </w:r>
      <w:r>
        <w:rPr>
          <w:rFonts w:hint="eastAsia" w:ascii="仿宋_GB2312" w:hAnsi="仿宋_GB2312" w:eastAsia="仿宋_GB2312" w:cs="仿宋_GB2312"/>
          <w:sz w:val="32"/>
          <w:szCs w:val="32"/>
          <w:highlight w:val="none"/>
        </w:rPr>
        <w:t>11539.6</w:t>
      </w:r>
      <w:r>
        <w:rPr>
          <w:rFonts w:hint="eastAsia" w:ascii="仿宋_GB2312" w:hAnsi="仿宋_GB2312" w:eastAsia="仿宋_GB2312" w:cs="仿宋_GB2312"/>
          <w:color w:val="auto"/>
          <w:sz w:val="32"/>
          <w:szCs w:val="32"/>
          <w:highlight w:val="none"/>
        </w:rPr>
        <w:t>万千瓦时。</w:t>
      </w:r>
      <w:r>
        <w:rPr>
          <w:rFonts w:hint="eastAsia" w:ascii="仿宋_GB2312" w:hAnsi="仿宋_GB2312" w:eastAsia="仿宋_GB2312" w:cs="仿宋_GB2312"/>
          <w:color w:val="auto"/>
          <w:sz w:val="32"/>
          <w:szCs w:val="32"/>
        </w:rPr>
        <w:t>持续推动城镇居民及公共建筑安装太阳能热水系统，在农村地区开展太阳能采暖、阳光浴室、太阳能热水及太阳能灶等光热应用。</w:t>
      </w:r>
    </w:p>
    <w:p>
      <w:pPr>
        <w:widowControl w:val="0"/>
        <w:wordWrap/>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大力推进地热及热泵系统开发应用。</w:t>
      </w:r>
      <w:r>
        <w:rPr>
          <w:rFonts w:hint="eastAsia" w:ascii="仿宋_GB2312" w:hAnsi="仿宋_GB2312" w:eastAsia="仿宋_GB2312" w:cs="仿宋_GB2312"/>
          <w:color w:val="auto"/>
          <w:sz w:val="32"/>
          <w:szCs w:val="32"/>
        </w:rPr>
        <w:t>依托大兴区可再生资源禀赋条件，深入挖掘地热资源潜力，积极开展整村推进式地源热泵改造工程，重点围绕北京同仁堂大兴生产基地等重点工程实施地热及热泵系统建设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rPr>
        <w:t>截至20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年底，累计</w:t>
      </w:r>
      <w:r>
        <w:rPr>
          <w:rFonts w:hint="eastAsia" w:ascii="仿宋_GB2312" w:hAnsi="仿宋_GB2312" w:eastAsia="仿宋_GB2312" w:cs="仿宋_GB2312"/>
          <w:color w:val="auto"/>
          <w:sz w:val="32"/>
          <w:szCs w:val="32"/>
          <w:highlight w:val="none"/>
          <w:lang w:val="en-US" w:eastAsia="zh-CN"/>
        </w:rPr>
        <w:t>增加</w:t>
      </w:r>
      <w:r>
        <w:rPr>
          <w:rFonts w:hint="eastAsia" w:ascii="仿宋_GB2312" w:hAnsi="仿宋_GB2312" w:eastAsia="仿宋_GB2312" w:cs="仿宋_GB2312"/>
          <w:color w:val="auto"/>
          <w:sz w:val="32"/>
          <w:szCs w:val="32"/>
          <w:highlight w:val="none"/>
        </w:rPr>
        <w:t>供热面积</w:t>
      </w:r>
      <w:r>
        <w:rPr>
          <w:rFonts w:hint="eastAsia" w:ascii="仿宋_GB2312" w:hAnsi="仿宋_GB2312" w:eastAsia="仿宋_GB2312" w:cs="仿宋_GB2312"/>
          <w:color w:val="auto"/>
          <w:sz w:val="32"/>
          <w:szCs w:val="32"/>
          <w:highlight w:val="none"/>
          <w:lang w:val="en-US" w:eastAsia="zh-CN"/>
        </w:rPr>
        <w:t>382</w:t>
      </w:r>
      <w:r>
        <w:rPr>
          <w:rFonts w:hint="eastAsia" w:ascii="仿宋_GB2312" w:hAnsi="仿宋_GB2312" w:eastAsia="仿宋_GB2312" w:cs="仿宋_GB2312"/>
          <w:color w:val="auto"/>
          <w:sz w:val="32"/>
          <w:szCs w:val="32"/>
          <w:highlight w:val="none"/>
        </w:rPr>
        <w:t>万平方米。因</w:t>
      </w:r>
      <w:r>
        <w:rPr>
          <w:rFonts w:hint="eastAsia" w:ascii="仿宋_GB2312" w:hAnsi="仿宋_GB2312" w:eastAsia="仿宋_GB2312" w:cs="仿宋_GB2312"/>
          <w:color w:val="auto"/>
          <w:sz w:val="32"/>
          <w:szCs w:val="32"/>
        </w:rPr>
        <w:t>地制宜开展空气源热泵应用，完成5205户农村居民煤改空气源热泵，全区空气源热泵采暖用户累计达到57248户。</w:t>
      </w:r>
    </w:p>
    <w:p>
      <w:pPr>
        <w:widowControl w:val="0"/>
        <w:wordWrap/>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稳步推进生物质能利用。</w:t>
      </w:r>
      <w:r>
        <w:rPr>
          <w:rFonts w:hint="eastAsia" w:ascii="仿宋_GB2312" w:hAnsi="仿宋_GB2312" w:eastAsia="仿宋_GB2312" w:cs="仿宋_GB2312"/>
          <w:color w:val="auto"/>
          <w:sz w:val="32"/>
          <w:szCs w:val="32"/>
        </w:rPr>
        <w:t>依托大兴南宫生活垃圾焚烧发电厂推进生物质能应用，南宫生活垃圾焚烧项目年处理垃圾入炉量达</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万吨，有效实现地区生活垃圾的资源化利用。</w:t>
      </w:r>
      <w:r>
        <w:rPr>
          <w:rFonts w:hint="eastAsia" w:ascii="仿宋_GB2312" w:hAnsi="仿宋_GB2312" w:eastAsia="仿宋_GB2312" w:cs="仿宋_GB2312"/>
          <w:color w:val="auto"/>
          <w:sz w:val="32"/>
          <w:szCs w:val="32"/>
          <w:lang w:val="en-US" w:eastAsia="zh-CN"/>
        </w:rPr>
        <w:t>持续</w:t>
      </w:r>
      <w:r>
        <w:rPr>
          <w:rFonts w:hint="eastAsia" w:ascii="仿宋_GB2312" w:hAnsi="仿宋_GB2312" w:eastAsia="仿宋_GB2312" w:cs="仿宋_GB2312"/>
          <w:color w:val="auto"/>
          <w:sz w:val="32"/>
          <w:szCs w:val="32"/>
        </w:rPr>
        <w:t>推进安定循环经济园区</w:t>
      </w:r>
      <w:r>
        <w:rPr>
          <w:rFonts w:hint="eastAsia" w:ascii="仿宋_GB2312" w:hAnsi="仿宋_GB2312" w:eastAsia="仿宋_GB2312" w:cs="仿宋_GB2312"/>
          <w:color w:val="auto"/>
          <w:sz w:val="32"/>
          <w:szCs w:val="32"/>
          <w:lang w:val="en-US" w:eastAsia="zh-CN"/>
        </w:rPr>
        <w:t>建设工作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项目建成后</w:t>
      </w:r>
      <w:r>
        <w:rPr>
          <w:rFonts w:hint="eastAsia" w:ascii="仿宋_GB2312" w:hAnsi="仿宋_GB2312" w:eastAsia="仿宋_GB2312" w:cs="仿宋_GB2312"/>
          <w:color w:val="auto"/>
          <w:sz w:val="32"/>
          <w:szCs w:val="32"/>
        </w:rPr>
        <w:t>日处理生活垃圾5100吨，发电上网电量每年约为5.</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亿</w:t>
      </w:r>
      <w:r>
        <w:rPr>
          <w:rFonts w:hint="eastAsia" w:ascii="仿宋_GB2312" w:hAnsi="仿宋_GB2312" w:eastAsia="仿宋_GB2312" w:cs="仿宋_GB2312"/>
          <w:color w:val="auto"/>
          <w:sz w:val="32"/>
          <w:szCs w:val="32"/>
          <w:lang w:val="en-US" w:eastAsia="zh-CN"/>
        </w:rPr>
        <w:t>千瓦时</w:t>
      </w:r>
      <w:r>
        <w:rPr>
          <w:rFonts w:hint="eastAsia" w:ascii="仿宋_GB2312" w:hAnsi="仿宋_GB2312" w:eastAsia="仿宋_GB2312" w:cs="仿宋_GB2312"/>
          <w:color w:val="auto"/>
          <w:sz w:val="32"/>
          <w:szCs w:val="32"/>
        </w:rPr>
        <w:t>。</w:t>
      </w:r>
    </w:p>
    <w:p>
      <w:pPr>
        <w:widowControl w:val="0"/>
        <w:wordWrap/>
        <w:adjustRightInd/>
        <w:snapToGrid/>
        <w:spacing w:line="560" w:lineRule="exact"/>
        <w:ind w:firstLine="640" w:firstLineChars="200"/>
        <w:textAlignment w:val="auto"/>
        <w:outlineLvl w:val="1"/>
        <w:rPr>
          <w:rFonts w:hint="eastAsia" w:ascii="楷体_GB2312" w:hAnsi="楷体_GB2312" w:eastAsia="楷体_GB2312" w:cs="楷体_GB2312"/>
          <w:b w:val="0"/>
          <w:color w:val="auto"/>
          <w:sz w:val="32"/>
          <w:szCs w:val="32"/>
        </w:rPr>
      </w:pPr>
      <w:bookmarkStart w:id="64" w:name="_Toc50988049"/>
      <w:bookmarkStart w:id="65" w:name="_Toc15444"/>
      <w:bookmarkStart w:id="66" w:name="_Toc32713"/>
      <w:bookmarkStart w:id="67" w:name="_Toc19212"/>
      <w:bookmarkStart w:id="68" w:name="_Toc26136"/>
      <w:bookmarkStart w:id="69" w:name="_Toc25372"/>
      <w:bookmarkStart w:id="70" w:name="_Toc28888"/>
      <w:bookmarkStart w:id="71" w:name="_Toc61515256"/>
      <w:bookmarkStart w:id="72" w:name="_Toc53221977"/>
      <w:bookmarkStart w:id="73" w:name="_Toc21942"/>
      <w:bookmarkStart w:id="74" w:name="_Toc3710"/>
      <w:bookmarkStart w:id="75" w:name="_Toc26108"/>
      <w:bookmarkStart w:id="76" w:name="_Toc1664"/>
      <w:bookmarkStart w:id="77" w:name="_Toc6569"/>
      <w:r>
        <w:rPr>
          <w:rFonts w:hint="eastAsia" w:ascii="楷体_GB2312" w:hAnsi="楷体_GB2312" w:eastAsia="楷体_GB2312" w:cs="楷体_GB2312"/>
          <w:b w:val="0"/>
          <w:color w:val="auto"/>
          <w:sz w:val="32"/>
          <w:szCs w:val="32"/>
        </w:rPr>
        <w:t>（</w:t>
      </w:r>
      <w:r>
        <w:rPr>
          <w:rFonts w:hint="eastAsia" w:ascii="楷体_GB2312" w:hAnsi="楷体_GB2312" w:eastAsia="楷体_GB2312" w:cs="楷体_GB2312"/>
          <w:b w:val="0"/>
          <w:color w:val="auto"/>
          <w:sz w:val="32"/>
          <w:szCs w:val="32"/>
          <w:lang w:val="en-US" w:eastAsia="zh-CN"/>
        </w:rPr>
        <w:t>四</w:t>
      </w:r>
      <w:r>
        <w:rPr>
          <w:rFonts w:hint="eastAsia" w:ascii="楷体_GB2312" w:hAnsi="楷体_GB2312" w:eastAsia="楷体_GB2312" w:cs="楷体_GB2312"/>
          <w:b w:val="0"/>
          <w:color w:val="auto"/>
          <w:sz w:val="32"/>
          <w:szCs w:val="32"/>
        </w:rPr>
        <w:t>）</w:t>
      </w:r>
      <w:bookmarkEnd w:id="64"/>
      <w:bookmarkStart w:id="78" w:name="_Toc50988050"/>
      <w:r>
        <w:rPr>
          <w:rFonts w:hint="eastAsia" w:ascii="楷体_GB2312" w:hAnsi="楷体_GB2312" w:eastAsia="楷体_GB2312" w:cs="楷体_GB2312"/>
          <w:b w:val="0"/>
          <w:color w:val="auto"/>
          <w:sz w:val="32"/>
          <w:szCs w:val="32"/>
        </w:rPr>
        <w:t>能源惠民发展取得实效</w:t>
      </w:r>
      <w:bookmarkEnd w:id="65"/>
      <w:bookmarkEnd w:id="66"/>
      <w:bookmarkEnd w:id="67"/>
      <w:bookmarkEnd w:id="68"/>
      <w:bookmarkEnd w:id="69"/>
      <w:bookmarkEnd w:id="70"/>
      <w:bookmarkEnd w:id="71"/>
      <w:bookmarkEnd w:id="72"/>
      <w:bookmarkEnd w:id="73"/>
      <w:bookmarkEnd w:id="74"/>
      <w:bookmarkEnd w:id="75"/>
      <w:bookmarkEnd w:id="76"/>
      <w:bookmarkEnd w:id="77"/>
      <w:bookmarkEnd w:id="78"/>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坚持能源惠民工程建设和促进城乡能源清洁发展、改善空气环境质量相结合，大力推进老旧小区能源管线改造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煤改清洁能源、送气下乡等工程，强化重点区域、薄弱环节的能源供给与保障服务水平，城乡居民生活用能品质显著提升。截至20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年底，</w:t>
      </w:r>
      <w:r>
        <w:rPr>
          <w:rFonts w:hint="eastAsia" w:ascii="仿宋_GB2312" w:hAnsi="仿宋_GB2312" w:eastAsia="仿宋_GB2312" w:cs="仿宋_GB2312"/>
          <w:color w:val="auto"/>
          <w:spacing w:val="-6"/>
          <w:kern w:val="0"/>
          <w:sz w:val="32"/>
          <w:szCs w:val="32"/>
        </w:rPr>
        <w:t>完成</w:t>
      </w:r>
      <w:r>
        <w:rPr>
          <w:rFonts w:hint="eastAsia" w:ascii="仿宋_GB2312" w:hAnsi="仿宋_GB2312" w:eastAsia="仿宋_GB2312" w:cs="仿宋_GB2312"/>
          <w:color w:val="auto"/>
          <w:spacing w:val="-6"/>
          <w:kern w:val="0"/>
          <w:sz w:val="32"/>
          <w:szCs w:val="32"/>
          <w:lang w:val="en-US" w:eastAsia="zh-CN"/>
        </w:rPr>
        <w:t>42</w:t>
      </w:r>
      <w:r>
        <w:rPr>
          <w:rFonts w:hint="eastAsia" w:ascii="仿宋_GB2312" w:hAnsi="仿宋_GB2312" w:eastAsia="仿宋_GB2312" w:cs="仿宋_GB2312"/>
          <w:color w:val="auto"/>
          <w:spacing w:val="-6"/>
          <w:kern w:val="0"/>
          <w:sz w:val="32"/>
          <w:szCs w:val="32"/>
        </w:rPr>
        <w:t>个老旧小区电力设施改造，</w:t>
      </w:r>
      <w:r>
        <w:rPr>
          <w:rFonts w:hint="eastAsia" w:ascii="仿宋_GB2312" w:hAnsi="仿宋_GB2312" w:eastAsia="仿宋_GB2312" w:cs="仿宋_GB2312"/>
          <w:color w:val="auto"/>
          <w:sz w:val="32"/>
          <w:szCs w:val="32"/>
        </w:rPr>
        <w:t>完成近6万户居民老旧供热管网改造，建成</w:t>
      </w:r>
      <w:r>
        <w:rPr>
          <w:rFonts w:hint="eastAsia" w:ascii="仿宋_GB2312" w:hAnsi="仿宋_GB2312" w:eastAsia="仿宋_GB2312" w:cs="仿宋_GB2312"/>
          <w:color w:val="auto"/>
          <w:sz w:val="32"/>
          <w:szCs w:val="32"/>
          <w:lang w:val="en-US" w:eastAsia="zh-CN"/>
        </w:rPr>
        <w:t>44</w:t>
      </w:r>
      <w:r>
        <w:rPr>
          <w:rFonts w:hint="eastAsia" w:ascii="仿宋_GB2312" w:hAnsi="仿宋_GB2312" w:eastAsia="仿宋_GB2312" w:cs="仿宋_GB2312"/>
          <w:color w:val="auto"/>
          <w:sz w:val="32"/>
          <w:szCs w:val="32"/>
        </w:rPr>
        <w:t>座太阳能浴室。实</w:t>
      </w:r>
      <w:r>
        <w:rPr>
          <w:rFonts w:hint="eastAsia" w:ascii="仿宋_GB2312" w:hAnsi="仿宋_GB2312" w:eastAsia="仿宋_GB2312" w:cs="仿宋_GB2312"/>
          <w:color w:val="auto"/>
          <w:sz w:val="32"/>
          <w:szCs w:val="32"/>
          <w:highlight w:val="none"/>
        </w:rPr>
        <w:t>施</w:t>
      </w:r>
      <w:r>
        <w:rPr>
          <w:rFonts w:hint="eastAsia" w:ascii="仿宋_GB2312" w:hAnsi="仿宋_GB2312" w:eastAsia="仿宋_GB2312" w:cs="仿宋_GB2312"/>
          <w:color w:val="auto"/>
          <w:kern w:val="2"/>
          <w:sz w:val="32"/>
          <w:szCs w:val="32"/>
          <w:highlight w:val="none"/>
          <w:lang w:val="en-US" w:eastAsia="zh-CN"/>
        </w:rPr>
        <w:t>8.3</w:t>
      </w:r>
      <w:r>
        <w:rPr>
          <w:rFonts w:hint="eastAsia" w:ascii="仿宋_GB2312" w:hAnsi="仿宋_GB2312" w:eastAsia="仿宋_GB2312" w:cs="仿宋_GB2312"/>
          <w:color w:val="auto"/>
          <w:kern w:val="2"/>
          <w:sz w:val="32"/>
          <w:szCs w:val="32"/>
        </w:rPr>
        <w:t>万农户</w:t>
      </w:r>
      <w:r>
        <w:rPr>
          <w:rFonts w:hint="eastAsia" w:ascii="仿宋_GB2312" w:hAnsi="仿宋_GB2312" w:eastAsia="仿宋_GB2312" w:cs="仿宋_GB2312"/>
          <w:color w:val="auto"/>
          <w:sz w:val="32"/>
          <w:szCs w:val="32"/>
        </w:rPr>
        <w:t>“煤改电”、</w:t>
      </w:r>
      <w:r>
        <w:rPr>
          <w:rFonts w:hint="eastAsia" w:ascii="仿宋_GB2312" w:hAnsi="仿宋_GB2312" w:eastAsia="仿宋_GB2312" w:cs="仿宋_GB2312"/>
          <w:color w:val="auto"/>
          <w:kern w:val="2"/>
          <w:sz w:val="32"/>
          <w:szCs w:val="32"/>
        </w:rPr>
        <w:t>4.1万农户</w:t>
      </w:r>
      <w:r>
        <w:rPr>
          <w:rFonts w:hint="eastAsia" w:ascii="仿宋_GB2312" w:hAnsi="仿宋_GB2312" w:eastAsia="仿宋_GB2312" w:cs="仿宋_GB2312"/>
          <w:color w:val="auto"/>
          <w:sz w:val="32"/>
          <w:szCs w:val="32"/>
        </w:rPr>
        <w:t>“煤改气”工程，累计完成</w:t>
      </w:r>
      <w:r>
        <w:rPr>
          <w:rFonts w:hint="eastAsia" w:ascii="仿宋_GB2312" w:hAnsi="仿宋_GB2312" w:eastAsia="仿宋_GB2312" w:cs="仿宋_GB2312"/>
          <w:color w:val="auto"/>
          <w:sz w:val="32"/>
          <w:szCs w:val="32"/>
          <w:lang w:val="en-US" w:eastAsia="zh-CN"/>
        </w:rPr>
        <w:t>12.4</w:t>
      </w:r>
      <w:r>
        <w:rPr>
          <w:rFonts w:hint="eastAsia" w:ascii="仿宋_GB2312" w:hAnsi="仿宋_GB2312" w:eastAsia="仿宋_GB2312" w:cs="仿宋_GB2312"/>
          <w:color w:val="auto"/>
          <w:sz w:val="32"/>
          <w:szCs w:val="32"/>
        </w:rPr>
        <w:t>万户农村居民清洁能源改造。持续开展液化石油气“送气下乡”工作，全区“送气下乡”换气站12座，用气户数</w:t>
      </w:r>
      <w:r>
        <w:rPr>
          <w:rFonts w:hint="eastAsia" w:ascii="仿宋_GB2312" w:hAnsi="仿宋_GB2312" w:eastAsia="仿宋_GB2312" w:cs="仿宋_GB2312"/>
          <w:color w:val="auto"/>
          <w:sz w:val="32"/>
          <w:szCs w:val="32"/>
          <w:lang w:val="en-US" w:eastAsia="zh-CN"/>
        </w:rPr>
        <w:t>10.3</w:t>
      </w:r>
      <w:r>
        <w:rPr>
          <w:rFonts w:hint="eastAsia" w:ascii="仿宋_GB2312" w:hAnsi="仿宋_GB2312" w:eastAsia="仿宋_GB2312" w:cs="仿宋_GB2312"/>
          <w:color w:val="auto"/>
          <w:sz w:val="32"/>
          <w:szCs w:val="32"/>
        </w:rPr>
        <w:t>万户。低保户、五保户、优抚户实施优惠购气，</w:t>
      </w:r>
      <w:r>
        <w:rPr>
          <w:rFonts w:hint="eastAsia" w:ascii="仿宋_GB2312" w:hAnsi="仿宋_GB2312" w:eastAsia="仿宋_GB2312" w:cs="仿宋_GB2312"/>
          <w:color w:val="auto"/>
          <w:sz w:val="32"/>
          <w:szCs w:val="32"/>
          <w:highlight w:val="none"/>
        </w:rPr>
        <w:t>截至20</w:t>
      </w:r>
      <w:r>
        <w:rPr>
          <w:rFonts w:hint="eastAsia" w:ascii="仿宋_GB2312" w:hAnsi="仿宋_GB2312" w:eastAsia="仿宋_GB2312" w:cs="仿宋_GB2312"/>
          <w:color w:val="auto"/>
          <w:sz w:val="32"/>
          <w:szCs w:val="32"/>
          <w:highlight w:val="none"/>
          <w:lang w:eastAsia="zh-CN"/>
        </w:rPr>
        <w:t>2</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年底</w:t>
      </w:r>
      <w:r>
        <w:rPr>
          <w:rFonts w:hint="eastAsia" w:ascii="仿宋_GB2312" w:hAnsi="仿宋_GB2312" w:eastAsia="仿宋_GB2312" w:cs="仿宋_GB2312"/>
          <w:color w:val="auto"/>
          <w:sz w:val="32"/>
          <w:szCs w:val="32"/>
        </w:rPr>
        <w:t>累计换气</w:t>
      </w:r>
      <w:r>
        <w:rPr>
          <w:rFonts w:hint="eastAsia" w:ascii="仿宋_GB2312" w:hAnsi="仿宋_GB2312" w:eastAsia="仿宋_GB2312" w:cs="仿宋_GB2312"/>
          <w:color w:val="auto"/>
          <w:sz w:val="32"/>
          <w:szCs w:val="32"/>
          <w:lang w:val="en-US" w:eastAsia="zh-CN"/>
        </w:rPr>
        <w:t>181.3</w:t>
      </w:r>
      <w:r>
        <w:rPr>
          <w:rFonts w:hint="eastAsia" w:ascii="仿宋_GB2312" w:hAnsi="仿宋_GB2312" w:eastAsia="仿宋_GB2312" w:cs="仿宋_GB2312"/>
          <w:color w:val="auto"/>
          <w:sz w:val="32"/>
          <w:szCs w:val="32"/>
        </w:rPr>
        <w:t>万余瓶。积极配合市级部门统筹做好全区天然气、电力、油品等能源供应和总量平衡。能源日常运行监测、预警及应急保障水平不断提高，综合调度协调与专项调度机制不断完善，提前制定迎峰度夏、迎峰度冬能源保障方案</w:t>
      </w:r>
      <w:r>
        <w:rPr>
          <w:rFonts w:hint="eastAsia" w:ascii="仿宋_GB2312" w:hAnsi="仿宋_GB2312" w:eastAsia="仿宋_GB2312" w:cs="仿宋_GB2312"/>
          <w:color w:val="auto"/>
          <w:sz w:val="32"/>
          <w:szCs w:val="32"/>
          <w:lang w:eastAsia="zh-CN"/>
        </w:rPr>
        <w:t>。</w:t>
      </w:r>
    </w:p>
    <w:p>
      <w:pPr>
        <w:widowControl w:val="0"/>
        <w:wordWrap/>
        <w:adjustRightInd/>
        <w:snapToGrid/>
        <w:spacing w:line="560" w:lineRule="exact"/>
        <w:ind w:firstLine="640" w:firstLineChars="200"/>
        <w:textAlignment w:val="auto"/>
        <w:outlineLvl w:val="0"/>
        <w:rPr>
          <w:rFonts w:hint="eastAsia" w:ascii="Times New Roman" w:hAnsi="Times New Roman" w:eastAsia="黑体" w:cs="Times New Roman"/>
          <w:color w:val="auto"/>
          <w:sz w:val="32"/>
          <w:szCs w:val="32"/>
        </w:rPr>
      </w:pPr>
      <w:bookmarkStart w:id="79" w:name="_Toc22385_WPSOffice_Level2"/>
      <w:bookmarkStart w:id="80" w:name="_Toc744_WPSOffice_Level2"/>
      <w:bookmarkStart w:id="81" w:name="_Toc3211"/>
      <w:bookmarkStart w:id="82" w:name="_Toc5702"/>
      <w:bookmarkStart w:id="83" w:name="_Toc7260"/>
      <w:bookmarkStart w:id="84" w:name="_Toc2592"/>
      <w:bookmarkStart w:id="85" w:name="_Toc20536"/>
      <w:bookmarkStart w:id="86" w:name="_Toc30730"/>
      <w:bookmarkStart w:id="87" w:name="_Toc61515257"/>
      <w:bookmarkStart w:id="88" w:name="_Toc889"/>
      <w:bookmarkStart w:id="89" w:name="_Toc18991"/>
      <w:bookmarkStart w:id="90" w:name="_Toc14522"/>
      <w:bookmarkStart w:id="91" w:name="_Toc9824"/>
      <w:r>
        <w:rPr>
          <w:rFonts w:hint="default" w:ascii="Times New Roman" w:hAnsi="Times New Roman" w:eastAsia="黑体" w:cs="Times New Roman"/>
          <w:color w:val="auto"/>
          <w:sz w:val="32"/>
          <w:szCs w:val="32"/>
          <w:lang w:eastAsia="zh-CN"/>
        </w:rPr>
        <w:t>二</w:t>
      </w:r>
      <w:r>
        <w:rPr>
          <w:rFonts w:hint="eastAsia"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lang w:val="en-US" w:eastAsia="zh-CN"/>
        </w:rPr>
        <w:t>十四五</w:t>
      </w:r>
      <w:r>
        <w:rPr>
          <w:rFonts w:hint="default"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lang w:val="en-US" w:eastAsia="zh-CN"/>
        </w:rPr>
        <w:t>时期</w:t>
      </w:r>
      <w:r>
        <w:rPr>
          <w:rFonts w:hint="eastAsia" w:ascii="Times New Roman" w:hAnsi="Times New Roman" w:eastAsia="黑体" w:cs="Times New Roman"/>
          <w:color w:val="auto"/>
          <w:sz w:val="32"/>
          <w:szCs w:val="32"/>
        </w:rPr>
        <w:t>面临的</w:t>
      </w:r>
      <w:bookmarkEnd w:id="79"/>
      <w:bookmarkEnd w:id="80"/>
      <w:r>
        <w:rPr>
          <w:rFonts w:hint="eastAsia" w:ascii="Times New Roman" w:hAnsi="Times New Roman" w:eastAsia="黑体" w:cs="Times New Roman"/>
          <w:color w:val="auto"/>
          <w:sz w:val="32"/>
          <w:szCs w:val="32"/>
        </w:rPr>
        <w:t>形势与挑战</w:t>
      </w:r>
      <w:bookmarkEnd w:id="81"/>
      <w:bookmarkEnd w:id="82"/>
      <w:bookmarkEnd w:id="83"/>
      <w:bookmarkEnd w:id="84"/>
      <w:bookmarkEnd w:id="85"/>
      <w:bookmarkEnd w:id="86"/>
      <w:bookmarkEnd w:id="87"/>
      <w:bookmarkEnd w:id="88"/>
      <w:bookmarkEnd w:id="89"/>
      <w:bookmarkEnd w:id="90"/>
      <w:bookmarkEnd w:id="91"/>
    </w:p>
    <w:p>
      <w:pPr>
        <w:widowControl w:val="0"/>
        <w:wordWrap/>
        <w:adjustRightInd/>
        <w:snapToGrid/>
        <w:spacing w:line="560" w:lineRule="exact"/>
        <w:ind w:firstLine="640" w:firstLineChars="200"/>
        <w:textAlignment w:val="auto"/>
        <w:outlineLvl w:val="1"/>
        <w:rPr>
          <w:rFonts w:hint="eastAsia" w:ascii="楷体_GB2312" w:hAnsi="楷体_GB2312" w:eastAsia="楷体_GB2312" w:cs="楷体_GB2312"/>
          <w:b w:val="0"/>
          <w:color w:val="auto"/>
          <w:sz w:val="32"/>
          <w:szCs w:val="32"/>
        </w:rPr>
      </w:pPr>
      <w:bookmarkStart w:id="92" w:name="_Toc6069"/>
      <w:bookmarkStart w:id="93" w:name="_Toc30035"/>
      <w:bookmarkStart w:id="94" w:name="_Toc9778"/>
      <w:bookmarkStart w:id="95" w:name="_Toc19998"/>
      <w:bookmarkStart w:id="96" w:name="_Toc11981"/>
      <w:bookmarkStart w:id="97" w:name="_Toc17155"/>
      <w:bookmarkStart w:id="98" w:name="_Toc7793"/>
      <w:bookmarkStart w:id="99" w:name="_Toc28001"/>
      <w:bookmarkStart w:id="100" w:name="_Toc29083"/>
      <w:bookmarkStart w:id="101" w:name="_Toc16975"/>
      <w:bookmarkStart w:id="102" w:name="_Toc2723"/>
      <w:bookmarkStart w:id="103" w:name="_Toc61515258"/>
      <w:r>
        <w:rPr>
          <w:rFonts w:hint="default" w:ascii="楷体_GB2312" w:hAnsi="楷体_GB2312" w:eastAsia="楷体_GB2312" w:cs="楷体_GB2312"/>
          <w:b w:val="0"/>
          <w:color w:val="auto"/>
          <w:sz w:val="32"/>
          <w:szCs w:val="32"/>
          <w:lang w:eastAsia="zh-CN"/>
        </w:rPr>
        <w:t>（</w:t>
      </w:r>
      <w:r>
        <w:rPr>
          <w:rFonts w:hint="default" w:ascii="楷体_GB2312" w:hAnsi="楷体_GB2312" w:eastAsia="楷体_GB2312" w:cs="楷体_GB2312"/>
          <w:b w:val="0"/>
          <w:color w:val="auto"/>
          <w:sz w:val="32"/>
          <w:szCs w:val="32"/>
          <w:lang w:val="en-US" w:eastAsia="zh-CN"/>
        </w:rPr>
        <w:t>一</w:t>
      </w:r>
      <w:r>
        <w:rPr>
          <w:rFonts w:hint="default" w:ascii="楷体_GB2312" w:hAnsi="楷体_GB2312" w:eastAsia="楷体_GB2312" w:cs="楷体_GB2312"/>
          <w:b w:val="0"/>
          <w:color w:val="auto"/>
          <w:sz w:val="32"/>
          <w:szCs w:val="32"/>
          <w:lang w:eastAsia="zh-CN"/>
        </w:rPr>
        <w:t>）</w:t>
      </w:r>
      <w:r>
        <w:rPr>
          <w:rFonts w:hint="eastAsia" w:ascii="楷体_GB2312" w:hAnsi="楷体_GB2312" w:eastAsia="楷体_GB2312" w:cs="楷体_GB2312"/>
          <w:b w:val="0"/>
          <w:color w:val="auto"/>
          <w:sz w:val="32"/>
          <w:szCs w:val="32"/>
        </w:rPr>
        <w:t>能源发展适逢新机遇</w:t>
      </w:r>
      <w:bookmarkEnd w:id="92"/>
      <w:bookmarkEnd w:id="93"/>
      <w:bookmarkEnd w:id="94"/>
      <w:bookmarkEnd w:id="95"/>
      <w:bookmarkEnd w:id="96"/>
      <w:bookmarkEnd w:id="97"/>
      <w:bookmarkEnd w:id="98"/>
      <w:bookmarkEnd w:id="99"/>
      <w:bookmarkEnd w:id="100"/>
      <w:bookmarkEnd w:id="101"/>
      <w:bookmarkEnd w:id="102"/>
      <w:bookmarkEnd w:id="103"/>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rPr>
      </w:pPr>
      <w:bookmarkStart w:id="104" w:name="_Toc50988053"/>
      <w:bookmarkStart w:id="105" w:name="_Toc61515259"/>
      <w:bookmarkStart w:id="106" w:name="_Toc48725461"/>
      <w:bookmarkStart w:id="107" w:name="_Toc53221980"/>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绿色低碳是能源高质量发展的内在要求</w:t>
      </w:r>
      <w:bookmarkEnd w:id="104"/>
      <w:bookmarkEnd w:id="105"/>
      <w:bookmarkEnd w:id="106"/>
      <w:bookmarkEnd w:id="107"/>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绿色低碳代表世界</w:t>
      </w:r>
      <w:r>
        <w:rPr>
          <w:rFonts w:hint="eastAsia" w:ascii="仿宋_GB2312" w:hAnsi="仿宋_GB2312" w:eastAsia="仿宋_GB2312" w:cs="仿宋_GB2312"/>
          <w:color w:val="auto"/>
          <w:sz w:val="32"/>
          <w:szCs w:val="32"/>
          <w:lang w:eastAsia="zh-CN"/>
        </w:rPr>
        <w:t>能源的</w:t>
      </w:r>
      <w:r>
        <w:rPr>
          <w:rFonts w:hint="eastAsia" w:ascii="仿宋_GB2312" w:hAnsi="仿宋_GB2312" w:eastAsia="仿宋_GB2312" w:cs="仿宋_GB2312"/>
          <w:color w:val="auto"/>
          <w:sz w:val="32"/>
          <w:szCs w:val="32"/>
        </w:rPr>
        <w:t>发展方向，也是我国可持续、高质量发展的内在要求。中央财经委第九次会议要求，把碳达峰、碳中和纳入生态文明建设整体布局，实现2030年前碳达峰、2060年前碳中和的目标。控制化石能源总量，优化调整能源结构，提高能源利用效率是</w:t>
      </w:r>
      <w:r>
        <w:rPr>
          <w:rFonts w:hint="eastAsia" w:ascii="仿宋_GB2312" w:hAnsi="仿宋_GB2312" w:eastAsia="仿宋_GB2312" w:cs="仿宋_GB2312"/>
          <w:color w:val="auto"/>
          <w:sz w:val="32"/>
          <w:szCs w:val="32"/>
          <w:lang w:val="en-US" w:eastAsia="zh-CN"/>
        </w:rPr>
        <w:t>大兴区</w:t>
      </w:r>
      <w:r>
        <w:rPr>
          <w:rFonts w:hint="eastAsia" w:ascii="仿宋_GB2312" w:hAnsi="仿宋_GB2312" w:eastAsia="仿宋_GB2312" w:cs="仿宋_GB2312"/>
          <w:color w:val="auto"/>
          <w:sz w:val="32"/>
          <w:szCs w:val="32"/>
        </w:rPr>
        <w:t>“十四五”时期能源转型的方向。北京市争当碳达峰碳中和“领头羊”的目标，也给</w:t>
      </w:r>
      <w:r>
        <w:rPr>
          <w:rFonts w:hint="eastAsia" w:ascii="仿宋_GB2312" w:hAnsi="仿宋_GB2312" w:eastAsia="仿宋_GB2312" w:cs="仿宋_GB2312"/>
          <w:color w:val="auto"/>
          <w:sz w:val="32"/>
          <w:szCs w:val="32"/>
          <w:lang w:val="en-US" w:eastAsia="zh-CN"/>
        </w:rPr>
        <w:t>大兴</w:t>
      </w:r>
      <w:r>
        <w:rPr>
          <w:rFonts w:hint="eastAsia" w:ascii="仿宋_GB2312" w:hAnsi="仿宋_GB2312" w:eastAsia="仿宋_GB2312" w:cs="仿宋_GB2312"/>
          <w:color w:val="auto"/>
          <w:sz w:val="32"/>
          <w:szCs w:val="32"/>
        </w:rPr>
        <w:t>能源绿色低碳转型提出新要求，以先进能源生产消费技术为支撑，加快商业模式和体制机制创新，积极探索能源绿色低碳发展路径和模式，是全区能源发展面临的重大课题。</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bookmarkStart w:id="108" w:name="_Toc48725462"/>
      <w:bookmarkStart w:id="109" w:name="_Toc50988054"/>
      <w:bookmarkStart w:id="110" w:name="_Toc61515260"/>
      <w:bookmarkStart w:id="111" w:name="_Toc53221981"/>
      <w:r>
        <w:rPr>
          <w:rFonts w:hint="eastAsia" w:ascii="仿宋_GB2312" w:hAnsi="仿宋_GB2312" w:eastAsia="仿宋_GB2312" w:cs="仿宋_GB2312"/>
          <w:b w:val="0"/>
          <w:bCs w:val="0"/>
          <w:color w:val="auto"/>
          <w:sz w:val="32"/>
          <w:szCs w:val="32"/>
          <w:lang w:val="en-US" w:eastAsia="zh-CN"/>
        </w:rPr>
        <w:t>2.能源智</w:t>
      </w:r>
      <w:r>
        <w:rPr>
          <w:rFonts w:hint="default" w:ascii="仿宋_GB2312" w:hAnsi="仿宋_GB2312" w:eastAsia="仿宋_GB2312" w:cs="仿宋_GB2312"/>
          <w:b w:val="0"/>
          <w:bCs w:val="0"/>
          <w:color w:val="auto"/>
          <w:sz w:val="32"/>
          <w:szCs w:val="32"/>
          <w:lang w:val="en-US" w:eastAsia="zh-CN"/>
        </w:rPr>
        <w:t>能</w:t>
      </w:r>
      <w:r>
        <w:rPr>
          <w:rFonts w:hint="eastAsia" w:ascii="仿宋_GB2312" w:hAnsi="仿宋_GB2312" w:eastAsia="仿宋_GB2312" w:cs="仿宋_GB2312"/>
          <w:b w:val="0"/>
          <w:bCs w:val="0"/>
          <w:color w:val="auto"/>
          <w:sz w:val="32"/>
          <w:szCs w:val="32"/>
          <w:lang w:val="en-US" w:eastAsia="zh-CN"/>
        </w:rPr>
        <w:t>高效发展面临</w:t>
      </w:r>
      <w:r>
        <w:rPr>
          <w:rFonts w:hint="default" w:ascii="仿宋_GB2312" w:hAnsi="仿宋_GB2312" w:eastAsia="仿宋_GB2312" w:cs="仿宋_GB2312"/>
          <w:b w:val="0"/>
          <w:bCs w:val="0"/>
          <w:color w:val="auto"/>
          <w:sz w:val="32"/>
          <w:szCs w:val="32"/>
          <w:lang w:val="en-US" w:eastAsia="zh-CN"/>
        </w:rPr>
        <w:t>全</w:t>
      </w:r>
      <w:r>
        <w:rPr>
          <w:rFonts w:hint="eastAsia" w:ascii="仿宋_GB2312" w:hAnsi="仿宋_GB2312" w:eastAsia="仿宋_GB2312" w:cs="仿宋_GB2312"/>
          <w:b w:val="0"/>
          <w:bCs w:val="0"/>
          <w:color w:val="auto"/>
          <w:sz w:val="32"/>
          <w:szCs w:val="32"/>
          <w:lang w:val="en-US" w:eastAsia="zh-CN"/>
        </w:rPr>
        <w:t>新</w:t>
      </w:r>
      <w:r>
        <w:rPr>
          <w:rFonts w:hint="default" w:ascii="仿宋_GB2312" w:hAnsi="仿宋_GB2312" w:eastAsia="仿宋_GB2312" w:cs="仿宋_GB2312"/>
          <w:b w:val="0"/>
          <w:bCs w:val="0"/>
          <w:color w:val="auto"/>
          <w:sz w:val="32"/>
          <w:szCs w:val="32"/>
          <w:lang w:val="en-US" w:eastAsia="zh-CN"/>
        </w:rPr>
        <w:t>战略</w:t>
      </w:r>
      <w:bookmarkEnd w:id="108"/>
      <w:bookmarkEnd w:id="109"/>
      <w:r>
        <w:rPr>
          <w:rFonts w:hint="default" w:ascii="仿宋_GB2312" w:hAnsi="仿宋_GB2312" w:eastAsia="仿宋_GB2312" w:cs="仿宋_GB2312"/>
          <w:b w:val="0"/>
          <w:bCs w:val="0"/>
          <w:color w:val="auto"/>
          <w:sz w:val="32"/>
          <w:szCs w:val="32"/>
          <w:lang w:val="en-US" w:eastAsia="zh-CN"/>
        </w:rPr>
        <w:t>机遇</w:t>
      </w:r>
      <w:bookmarkEnd w:id="110"/>
      <w:bookmarkEnd w:id="111"/>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展望未来，世界科技变革加速推进，能源革命和数字革命齐头并进。5G、工业互联网、区块链等新一代信息技术渐趋成熟，促进能源领域数字化转型，对能源需求带来深刻影响。以互联网+智慧能源为代表的“新基建”正推动科技势能向产业动能转化，带动我国能源行业的技术创新、产业革新和商业模式变革。实现碳达峰碳中和目标将全面提速能源低碳革命进程，迫切要求提升能源产业基础和产业链现代化水平。</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bookmarkStart w:id="112" w:name="_Toc50988055"/>
      <w:bookmarkStart w:id="113" w:name="_Toc48725463"/>
      <w:bookmarkStart w:id="114" w:name="_Toc61515261"/>
      <w:bookmarkStart w:id="115" w:name="_Toc53221982"/>
      <w:r>
        <w:rPr>
          <w:rFonts w:hint="eastAsia" w:ascii="仿宋_GB2312" w:hAnsi="仿宋_GB2312" w:eastAsia="仿宋_GB2312" w:cs="仿宋_GB2312"/>
          <w:b w:val="0"/>
          <w:bCs w:val="0"/>
          <w:color w:val="auto"/>
          <w:sz w:val="32"/>
          <w:szCs w:val="32"/>
          <w:lang w:val="en-US" w:eastAsia="zh-CN"/>
        </w:rPr>
        <w:t>3.</w:t>
      </w:r>
      <w:r>
        <w:rPr>
          <w:rFonts w:hint="default" w:ascii="仿宋_GB2312" w:hAnsi="仿宋_GB2312" w:eastAsia="仿宋_GB2312" w:cs="仿宋_GB2312"/>
          <w:b w:val="0"/>
          <w:bCs w:val="0"/>
          <w:color w:val="auto"/>
          <w:sz w:val="32"/>
          <w:szCs w:val="32"/>
          <w:lang w:val="en-US" w:eastAsia="zh-CN"/>
        </w:rPr>
        <w:t>经济社会高质量发展激发能源转型新动能</w:t>
      </w:r>
      <w:bookmarkEnd w:id="112"/>
      <w:bookmarkEnd w:id="113"/>
      <w:bookmarkEnd w:id="114"/>
      <w:bookmarkEnd w:id="115"/>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“十四五”</w:t>
      </w:r>
      <w:r>
        <w:rPr>
          <w:rFonts w:hint="eastAsia" w:ascii="仿宋_GB2312" w:hAnsi="仿宋_GB2312" w:eastAsia="仿宋_GB2312" w:cs="仿宋_GB2312"/>
          <w:color w:val="auto"/>
          <w:sz w:val="32"/>
          <w:szCs w:val="32"/>
          <w:lang w:val="en-US" w:eastAsia="zh-CN"/>
        </w:rPr>
        <w:t>时期大兴区服务型、都市型能源需求特征更趋明显，终端能源需求向第三产业和居民生活消费领域转移。</w:t>
      </w:r>
      <w:r>
        <w:rPr>
          <w:rFonts w:hint="eastAsia" w:ascii="仿宋_GB2312" w:hAnsi="仿宋_GB2312" w:eastAsia="仿宋_GB2312" w:cs="仿宋_GB2312"/>
          <w:color w:val="auto"/>
          <w:sz w:val="32"/>
          <w:szCs w:val="32"/>
        </w:rPr>
        <w:t>北京首都四个战略定位要求</w:t>
      </w:r>
      <w:r>
        <w:rPr>
          <w:rFonts w:hint="eastAsia" w:ascii="仿宋_GB2312" w:hAnsi="仿宋_GB2312" w:eastAsia="仿宋_GB2312" w:cs="仿宋_GB2312"/>
          <w:color w:val="auto"/>
          <w:sz w:val="32"/>
          <w:szCs w:val="32"/>
          <w:lang w:eastAsia="zh-CN"/>
        </w:rPr>
        <w:t>大兴区</w:t>
      </w:r>
      <w:r>
        <w:rPr>
          <w:rFonts w:hint="eastAsia" w:ascii="仿宋_GB2312" w:hAnsi="仿宋_GB2312" w:eastAsia="仿宋_GB2312" w:cs="仿宋_GB2312"/>
          <w:color w:val="auto"/>
          <w:sz w:val="32"/>
          <w:szCs w:val="32"/>
        </w:rPr>
        <w:t>在京津冀协同发展中培育发展新动能，</w:t>
      </w:r>
      <w:r>
        <w:rPr>
          <w:rFonts w:hint="eastAsia" w:ascii="仿宋_GB2312" w:hAnsi="仿宋_GB2312" w:eastAsia="仿宋_GB2312" w:cs="仿宋_GB2312"/>
          <w:color w:val="auto"/>
          <w:sz w:val="32"/>
          <w:szCs w:val="32"/>
          <w:lang w:val="en-US" w:eastAsia="zh-CN"/>
        </w:rPr>
        <w:t>构建新格局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能源转型</w:t>
      </w:r>
      <w:r>
        <w:rPr>
          <w:rFonts w:hint="eastAsia" w:ascii="仿宋_GB2312" w:hAnsi="仿宋_GB2312" w:eastAsia="仿宋_GB2312" w:cs="仿宋_GB2312"/>
          <w:color w:val="auto"/>
          <w:sz w:val="32"/>
          <w:szCs w:val="32"/>
        </w:rPr>
        <w:t>是</w:t>
      </w:r>
      <w:r>
        <w:rPr>
          <w:rFonts w:hint="eastAsia" w:ascii="仿宋_GB2312" w:hAnsi="仿宋_GB2312" w:eastAsia="仿宋_GB2312" w:cs="仿宋_GB2312"/>
          <w:color w:val="auto"/>
          <w:sz w:val="32"/>
          <w:szCs w:val="32"/>
          <w:lang w:val="en-US" w:eastAsia="zh-CN"/>
        </w:rPr>
        <w:t>大兴区</w:t>
      </w:r>
      <w:r>
        <w:rPr>
          <w:rFonts w:hint="eastAsia" w:ascii="仿宋_GB2312" w:hAnsi="仿宋_GB2312" w:eastAsia="仿宋_GB2312" w:cs="仿宋_GB2312"/>
          <w:color w:val="auto"/>
          <w:sz w:val="32"/>
          <w:szCs w:val="32"/>
        </w:rPr>
        <w:t>经济持续健康发展的必由之路，是经济转型升级的内在要求，更是推动经济高质量发展的关键。</w:t>
      </w:r>
      <w:r>
        <w:rPr>
          <w:rFonts w:hint="eastAsia" w:ascii="仿宋_GB2312" w:hAnsi="仿宋_GB2312" w:eastAsia="仿宋_GB2312" w:cs="仿宋_GB2312"/>
          <w:color w:val="auto"/>
          <w:sz w:val="32"/>
          <w:szCs w:val="32"/>
          <w:lang w:val="en-US" w:eastAsia="zh-CN"/>
        </w:rPr>
        <w:t>随着</w:t>
      </w:r>
      <w:r>
        <w:rPr>
          <w:rFonts w:hint="eastAsia" w:ascii="仿宋_GB2312" w:hAnsi="仿宋_GB2312" w:eastAsia="仿宋_GB2312" w:cs="仿宋_GB2312"/>
          <w:color w:val="auto"/>
          <w:sz w:val="32"/>
          <w:szCs w:val="32"/>
        </w:rPr>
        <w:t>重点区域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重点项目</w:t>
      </w:r>
      <w:r>
        <w:rPr>
          <w:rFonts w:hint="eastAsia" w:ascii="仿宋_GB2312" w:hAnsi="仿宋_GB2312" w:eastAsia="仿宋_GB2312" w:cs="仿宋_GB2312"/>
          <w:color w:val="auto"/>
          <w:sz w:val="32"/>
          <w:szCs w:val="32"/>
        </w:rPr>
        <w:t>建设提速，</w:t>
      </w:r>
      <w:r>
        <w:rPr>
          <w:rFonts w:hint="eastAsia" w:ascii="仿宋_GB2312" w:hAnsi="仿宋_GB2312" w:eastAsia="仿宋_GB2312" w:cs="仿宋_GB2312"/>
          <w:color w:val="auto"/>
          <w:sz w:val="32"/>
          <w:szCs w:val="32"/>
          <w:lang w:val="en-US" w:eastAsia="zh-CN"/>
        </w:rPr>
        <w:t>必将</w:t>
      </w:r>
      <w:r>
        <w:rPr>
          <w:rFonts w:hint="eastAsia" w:ascii="仿宋_GB2312" w:hAnsi="仿宋_GB2312" w:eastAsia="仿宋_GB2312" w:cs="仿宋_GB2312"/>
          <w:color w:val="auto"/>
          <w:sz w:val="32"/>
          <w:szCs w:val="32"/>
        </w:rPr>
        <w:t>推动能源消费利用方式变革</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能源技术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管理服务方式创新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为大兴区能源转型发展</w:t>
      </w:r>
      <w:r>
        <w:rPr>
          <w:rFonts w:hint="eastAsia" w:ascii="仿宋_GB2312" w:hAnsi="仿宋_GB2312" w:eastAsia="仿宋_GB2312" w:cs="仿宋_GB2312"/>
          <w:color w:val="auto"/>
          <w:sz w:val="32"/>
          <w:szCs w:val="32"/>
          <w:lang w:eastAsia="zh-CN"/>
        </w:rPr>
        <w:t>增添新动能。</w:t>
      </w:r>
    </w:p>
    <w:p>
      <w:pPr>
        <w:widowControl w:val="0"/>
        <w:wordWrap/>
        <w:adjustRightInd/>
        <w:snapToGrid/>
        <w:spacing w:line="560" w:lineRule="exact"/>
        <w:ind w:firstLine="640" w:firstLineChars="200"/>
        <w:textAlignment w:val="auto"/>
        <w:outlineLvl w:val="1"/>
        <w:rPr>
          <w:rFonts w:hint="eastAsia" w:ascii="楷体_GB2312" w:hAnsi="楷体_GB2312" w:eastAsia="楷体_GB2312" w:cs="楷体_GB2312"/>
          <w:b w:val="0"/>
          <w:color w:val="auto"/>
          <w:sz w:val="32"/>
          <w:szCs w:val="32"/>
        </w:rPr>
      </w:pPr>
      <w:bookmarkStart w:id="116" w:name="_Toc15825"/>
      <w:bookmarkStart w:id="117" w:name="_Toc12382"/>
      <w:bookmarkStart w:id="118" w:name="_Toc495"/>
      <w:bookmarkStart w:id="119" w:name="_Toc15635"/>
      <w:bookmarkStart w:id="120" w:name="_Toc3767"/>
      <w:bookmarkStart w:id="121" w:name="_Toc5187"/>
      <w:bookmarkStart w:id="122" w:name="_Toc61515262"/>
      <w:bookmarkStart w:id="123" w:name="_Toc9610"/>
      <w:bookmarkStart w:id="124" w:name="_Toc27259"/>
      <w:bookmarkStart w:id="125" w:name="_Toc1371"/>
      <w:bookmarkStart w:id="126" w:name="_Toc7009"/>
      <w:bookmarkStart w:id="127" w:name="_Toc21659"/>
      <w:r>
        <w:rPr>
          <w:rFonts w:hint="eastAsia" w:ascii="楷体_GB2312" w:hAnsi="楷体_GB2312" w:eastAsia="楷体_GB2312" w:cs="楷体_GB2312"/>
          <w:b w:val="0"/>
          <w:color w:val="auto"/>
          <w:sz w:val="32"/>
          <w:szCs w:val="32"/>
          <w:lang w:eastAsia="zh-CN"/>
        </w:rPr>
        <w:t>（</w:t>
      </w:r>
      <w:r>
        <w:rPr>
          <w:rFonts w:hint="eastAsia" w:ascii="楷体_GB2312" w:hAnsi="楷体_GB2312" w:eastAsia="楷体_GB2312" w:cs="楷体_GB2312"/>
          <w:b w:val="0"/>
          <w:color w:val="auto"/>
          <w:sz w:val="32"/>
          <w:szCs w:val="32"/>
        </w:rPr>
        <w:t>二</w:t>
      </w:r>
      <w:r>
        <w:rPr>
          <w:rFonts w:hint="eastAsia" w:ascii="楷体_GB2312" w:hAnsi="楷体_GB2312" w:eastAsia="楷体_GB2312" w:cs="楷体_GB2312"/>
          <w:b w:val="0"/>
          <w:color w:val="auto"/>
          <w:sz w:val="32"/>
          <w:szCs w:val="32"/>
          <w:lang w:eastAsia="zh-CN"/>
        </w:rPr>
        <w:t>）</w:t>
      </w:r>
      <w:r>
        <w:rPr>
          <w:rFonts w:hint="eastAsia" w:ascii="楷体_GB2312" w:hAnsi="楷体_GB2312" w:eastAsia="楷体_GB2312" w:cs="楷体_GB2312"/>
          <w:b w:val="0"/>
          <w:color w:val="auto"/>
          <w:sz w:val="32"/>
          <w:szCs w:val="32"/>
        </w:rPr>
        <w:t>能源</w:t>
      </w:r>
      <w:r>
        <w:rPr>
          <w:rFonts w:hint="eastAsia" w:ascii="楷体_GB2312" w:hAnsi="楷体_GB2312" w:eastAsia="楷体_GB2312" w:cs="楷体_GB2312"/>
          <w:b w:val="0"/>
          <w:color w:val="auto"/>
          <w:sz w:val="32"/>
          <w:szCs w:val="32"/>
          <w:lang w:val="en-US" w:eastAsia="zh-CN"/>
        </w:rPr>
        <w:t>转型</w:t>
      </w:r>
      <w:r>
        <w:rPr>
          <w:rFonts w:hint="eastAsia" w:ascii="楷体_GB2312" w:hAnsi="楷体_GB2312" w:eastAsia="楷体_GB2312" w:cs="楷体_GB2312"/>
          <w:b w:val="0"/>
          <w:color w:val="auto"/>
          <w:sz w:val="32"/>
          <w:szCs w:val="32"/>
        </w:rPr>
        <w:t>需面对新挑战</w:t>
      </w:r>
      <w:bookmarkEnd w:id="116"/>
      <w:bookmarkEnd w:id="117"/>
      <w:bookmarkEnd w:id="118"/>
      <w:bookmarkEnd w:id="119"/>
      <w:bookmarkEnd w:id="120"/>
      <w:bookmarkEnd w:id="121"/>
      <w:bookmarkEnd w:id="122"/>
      <w:bookmarkEnd w:id="123"/>
      <w:bookmarkEnd w:id="124"/>
      <w:bookmarkEnd w:id="125"/>
      <w:bookmarkEnd w:id="126"/>
      <w:bookmarkEnd w:id="127"/>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bookmarkStart w:id="128" w:name="_Toc50988057"/>
      <w:bookmarkStart w:id="129" w:name="_Toc61515263"/>
      <w:bookmarkStart w:id="130" w:name="_Toc53221984"/>
      <w:bookmarkStart w:id="131" w:name="_Toc48725465"/>
      <w:r>
        <w:rPr>
          <w:rFonts w:hint="eastAsia" w:ascii="仿宋_GB2312" w:hAnsi="仿宋_GB2312" w:eastAsia="仿宋_GB2312" w:cs="仿宋_GB2312"/>
          <w:b w:val="0"/>
          <w:bCs w:val="0"/>
          <w:color w:val="auto"/>
          <w:sz w:val="32"/>
          <w:szCs w:val="32"/>
          <w:lang w:val="en-US" w:eastAsia="zh-CN"/>
        </w:rPr>
        <w:t>1.能源消费规模刚性增长对保障安全提出新要求</w:t>
      </w:r>
      <w:bookmarkEnd w:id="128"/>
      <w:bookmarkEnd w:id="129"/>
      <w:bookmarkEnd w:id="130"/>
      <w:bookmarkEnd w:id="131"/>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作为北京面向京津冀的协同发展示范区、科技创新引领区、南部国际交往新门户，“十四五”时期是大兴区包括</w:t>
      </w:r>
      <w:r>
        <w:rPr>
          <w:rFonts w:hint="eastAsia" w:ascii="仿宋_GB2312" w:hAnsi="仿宋_GB2312" w:eastAsia="仿宋_GB2312" w:cs="仿宋_GB2312"/>
          <w:color w:val="auto"/>
          <w:sz w:val="32"/>
          <w:szCs w:val="32"/>
          <w:lang w:val="en-US" w:eastAsia="zh-CN"/>
        </w:rPr>
        <w:t>北京</w:t>
      </w:r>
      <w:r>
        <w:rPr>
          <w:rFonts w:hint="eastAsia" w:ascii="仿宋_GB2312" w:hAnsi="仿宋_GB2312" w:eastAsia="仿宋_GB2312" w:cs="仿宋_GB2312"/>
          <w:color w:val="auto"/>
          <w:sz w:val="32"/>
          <w:szCs w:val="32"/>
        </w:rPr>
        <w:t>大兴国际机场临空经济区、中日国际合作产业园等重点区域的重要建设时期。随着</w:t>
      </w:r>
      <w:r>
        <w:rPr>
          <w:rFonts w:hint="eastAsia" w:ascii="仿宋_GB2312" w:hAnsi="仿宋_GB2312" w:eastAsia="仿宋_GB2312" w:cs="仿宋_GB2312"/>
          <w:color w:val="auto"/>
          <w:sz w:val="32"/>
          <w:szCs w:val="32"/>
          <w:lang w:val="en-US" w:eastAsia="zh-CN"/>
        </w:rPr>
        <w:t>重大项目的陆续完工</w:t>
      </w:r>
      <w:r>
        <w:rPr>
          <w:rFonts w:hint="eastAsia" w:ascii="仿宋_GB2312" w:hAnsi="仿宋_GB2312" w:eastAsia="仿宋_GB2312" w:cs="仿宋_GB2312"/>
          <w:color w:val="auto"/>
          <w:sz w:val="32"/>
          <w:szCs w:val="32"/>
        </w:rPr>
        <w:t>，经济体量和规模进一步扩大，能源消耗总量亦将保持惯性增长，需要应用新能源、新技术，采取切实可行的措施，建立多能互补、绿色低碳的能源供应保障体系，保障区域能源安全。</w:t>
      </w:r>
    </w:p>
    <w:p>
      <w:pPr>
        <w:widowControl w:val="0"/>
        <w:wordWrap/>
        <w:adjustRightInd/>
        <w:snapToGrid/>
        <w:spacing w:line="560" w:lineRule="exact"/>
        <w:ind w:firstLine="640" w:firstLineChars="200"/>
        <w:textAlignment w:val="auto"/>
        <w:outlineLvl w:val="9"/>
        <w:rPr>
          <w:rFonts w:hint="default" w:ascii="仿宋_GB2312" w:hAnsi="仿宋_GB2312" w:eastAsia="仿宋_GB2312" w:cs="仿宋_GB2312"/>
          <w:b w:val="0"/>
          <w:bCs w:val="0"/>
          <w:color w:val="auto"/>
          <w:sz w:val="32"/>
          <w:szCs w:val="32"/>
          <w:lang w:val="en-US" w:eastAsia="zh-CN"/>
        </w:rPr>
      </w:pPr>
      <w:bookmarkStart w:id="132" w:name="_Toc48725466"/>
      <w:bookmarkStart w:id="133" w:name="_Toc50988058"/>
      <w:bookmarkStart w:id="134" w:name="_Toc53221985"/>
      <w:bookmarkStart w:id="135" w:name="_Toc61515264"/>
      <w:r>
        <w:rPr>
          <w:rFonts w:hint="eastAsia" w:ascii="仿宋_GB2312" w:hAnsi="仿宋_GB2312" w:eastAsia="仿宋_GB2312" w:cs="仿宋_GB2312"/>
          <w:b w:val="0"/>
          <w:bCs w:val="0"/>
          <w:color w:val="auto"/>
          <w:sz w:val="32"/>
          <w:szCs w:val="32"/>
          <w:lang w:val="en-US" w:eastAsia="zh-CN"/>
        </w:rPr>
        <w:t>2.新能源和可再生能源发展</w:t>
      </w:r>
      <w:bookmarkEnd w:id="132"/>
      <w:bookmarkEnd w:id="133"/>
      <w:r>
        <w:rPr>
          <w:rFonts w:hint="eastAsia" w:ascii="仿宋_GB2312" w:hAnsi="仿宋_GB2312" w:eastAsia="仿宋_GB2312" w:cs="仿宋_GB2312"/>
          <w:b w:val="0"/>
          <w:bCs w:val="0"/>
          <w:color w:val="auto"/>
          <w:sz w:val="32"/>
          <w:szCs w:val="32"/>
          <w:lang w:val="en-US" w:eastAsia="zh-CN"/>
        </w:rPr>
        <w:t>水平</w:t>
      </w:r>
      <w:bookmarkEnd w:id="134"/>
      <w:bookmarkEnd w:id="135"/>
      <w:r>
        <w:rPr>
          <w:rFonts w:hint="eastAsia" w:ascii="仿宋_GB2312" w:hAnsi="仿宋_GB2312" w:eastAsia="仿宋_GB2312" w:cs="仿宋_GB2312"/>
          <w:b w:val="0"/>
          <w:bCs w:val="0"/>
          <w:color w:val="auto"/>
          <w:sz w:val="32"/>
          <w:szCs w:val="32"/>
          <w:lang w:val="en-US" w:eastAsia="zh-CN"/>
        </w:rPr>
        <w:t>仍待提升</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“十三五”时期，大兴区</w:t>
      </w:r>
      <w:r>
        <w:rPr>
          <w:rFonts w:hint="eastAsia" w:ascii="仿宋_GB2312" w:hAnsi="仿宋_GB2312" w:eastAsia="仿宋_GB2312" w:cs="仿宋_GB2312"/>
          <w:color w:val="auto"/>
          <w:sz w:val="32"/>
          <w:szCs w:val="32"/>
        </w:rPr>
        <w:t>新能源和可再生能源利用量占能源消费总量比例由201</w:t>
      </w:r>
      <w:r>
        <w:rPr>
          <w:rFonts w:hint="eastAsia" w:ascii="仿宋_GB2312" w:hAnsi="仿宋_GB2312" w:eastAsia="仿宋_GB2312" w:cs="仿宋_GB2312"/>
          <w:color w:val="auto"/>
          <w:sz w:val="32"/>
          <w:szCs w:val="32"/>
          <w:lang w:eastAsia="zh-CN"/>
        </w:rPr>
        <w:t>6</w:t>
      </w:r>
      <w:r>
        <w:rPr>
          <w:rFonts w:hint="eastAsia" w:ascii="仿宋_GB2312" w:hAnsi="仿宋_GB2312" w:eastAsia="仿宋_GB2312" w:cs="仿宋_GB2312"/>
          <w:color w:val="auto"/>
          <w:sz w:val="32"/>
          <w:szCs w:val="32"/>
        </w:rPr>
        <w:t>年的6.</w:t>
      </w:r>
      <w:r>
        <w:rPr>
          <w:rFonts w:hint="eastAsia"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rPr>
        <w:t>%提高到20</w:t>
      </w: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年的</w:t>
      </w:r>
      <w:r>
        <w:rPr>
          <w:rFonts w:hint="eastAsia" w:ascii="仿宋_GB2312" w:hAnsi="仿宋_GB2312" w:eastAsia="仿宋_GB2312" w:cs="仿宋_GB2312"/>
          <w:color w:val="auto"/>
          <w:sz w:val="32"/>
          <w:szCs w:val="32"/>
          <w:lang w:val="en-US" w:eastAsia="zh-CN"/>
        </w:rPr>
        <w:t>13.13</w:t>
      </w:r>
      <w:r>
        <w:rPr>
          <w:rFonts w:hint="eastAsia" w:ascii="仿宋_GB2312" w:hAnsi="仿宋_GB2312" w:eastAsia="仿宋_GB2312" w:cs="仿宋_GB2312"/>
          <w:color w:val="auto"/>
          <w:sz w:val="32"/>
          <w:szCs w:val="32"/>
        </w:rPr>
        <w:t>%，高于全市“十三五”期间8%规划目标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对标</w:t>
      </w:r>
      <w:r>
        <w:rPr>
          <w:rFonts w:hint="eastAsia" w:ascii="仿宋_GB2312" w:hAnsi="仿宋_GB2312" w:eastAsia="仿宋_GB2312" w:cs="仿宋_GB2312"/>
          <w:color w:val="auto"/>
          <w:sz w:val="32"/>
          <w:szCs w:val="32"/>
          <w:lang w:eastAsia="zh-CN"/>
        </w:rPr>
        <w:t>北京市争当碳达峰碳中和“领头羊”的目标要求，大兴区可再生能源开发利用规模和比重仍需提升。结合实际情况，本地可再生能源开发仍存在诸多制约瓶颈。</w:t>
      </w:r>
      <w:r>
        <w:rPr>
          <w:rFonts w:hint="eastAsia" w:ascii="仿宋_GB2312" w:hAnsi="仿宋_GB2312" w:eastAsia="仿宋_GB2312" w:cs="仿宋_GB2312"/>
          <w:color w:val="auto"/>
          <w:sz w:val="32"/>
          <w:szCs w:val="32"/>
          <w:lang w:val="en-US" w:eastAsia="zh-CN"/>
        </w:rPr>
        <w:t>一是</w:t>
      </w:r>
      <w:r>
        <w:rPr>
          <w:rFonts w:hint="eastAsia" w:ascii="仿宋_GB2312" w:hAnsi="仿宋_GB2312" w:eastAsia="仿宋_GB2312" w:cs="仿宋_GB2312"/>
          <w:color w:val="auto"/>
          <w:sz w:val="32"/>
          <w:szCs w:val="32"/>
          <w:lang w:eastAsia="zh-CN"/>
        </w:rPr>
        <w:t>本地可再生能源开发利用品种及领域极为有限，</w:t>
      </w:r>
      <w:r>
        <w:rPr>
          <w:rFonts w:hint="eastAsia" w:ascii="仿宋_GB2312" w:hAnsi="仿宋_GB2312" w:eastAsia="仿宋_GB2312" w:cs="仿宋_GB2312"/>
          <w:color w:val="auto"/>
          <w:sz w:val="32"/>
          <w:szCs w:val="32"/>
        </w:rPr>
        <w:t>以太阳能光伏发电、光热利用、生物质能发电和地热及热泵系统利用为主</w:t>
      </w:r>
      <w:r>
        <w:rPr>
          <w:rFonts w:hint="eastAsia" w:ascii="仿宋_GB2312" w:hAnsi="仿宋_GB2312" w:eastAsia="仿宋_GB2312" w:cs="仿宋_GB2312"/>
          <w:color w:val="auto"/>
          <w:sz w:val="32"/>
          <w:szCs w:val="32"/>
          <w:lang w:eastAsia="zh-CN"/>
        </w:rPr>
        <w:t>，缺乏多元化的资源开发利用条件</w:t>
      </w:r>
      <w:r>
        <w:rPr>
          <w:rFonts w:hint="eastAsia" w:ascii="仿宋_GB2312" w:hAnsi="仿宋_GB2312" w:eastAsia="仿宋_GB2312" w:cs="仿宋_GB2312"/>
          <w:color w:val="auto"/>
          <w:sz w:val="32"/>
          <w:szCs w:val="32"/>
          <w:lang w:val="en-US" w:eastAsia="zh-CN"/>
        </w:rPr>
        <w:t>。二是</w:t>
      </w:r>
      <w:r>
        <w:rPr>
          <w:rFonts w:hint="eastAsia" w:ascii="仿宋_GB2312" w:hAnsi="仿宋_GB2312" w:eastAsia="仿宋_GB2312" w:cs="仿宋_GB2312"/>
          <w:color w:val="auto"/>
          <w:sz w:val="32"/>
          <w:szCs w:val="32"/>
        </w:rPr>
        <w:t>现阶段可再生能源技术应用的经济优势尚不明显，尚未在全社会形成积极推进可再生能源利用的整体氛围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此外，在北京</w:t>
      </w:r>
      <w:r>
        <w:rPr>
          <w:rFonts w:hint="eastAsia" w:ascii="仿宋_GB2312" w:hAnsi="仿宋_GB2312" w:eastAsia="仿宋_GB2312" w:cs="仿宋_GB2312"/>
          <w:color w:val="auto"/>
          <w:sz w:val="32"/>
          <w:szCs w:val="32"/>
        </w:rPr>
        <w:t>大兴</w:t>
      </w:r>
      <w:r>
        <w:rPr>
          <w:rFonts w:hint="eastAsia" w:ascii="仿宋_GB2312" w:hAnsi="仿宋_GB2312" w:eastAsia="仿宋_GB2312" w:cs="仿宋_GB2312"/>
          <w:color w:val="auto"/>
          <w:sz w:val="32"/>
          <w:szCs w:val="32"/>
          <w:lang w:val="en-US" w:eastAsia="zh-CN"/>
        </w:rPr>
        <w:t>国际</w:t>
      </w:r>
      <w:r>
        <w:rPr>
          <w:rFonts w:hint="eastAsia" w:ascii="仿宋_GB2312" w:hAnsi="仿宋_GB2312" w:eastAsia="仿宋_GB2312" w:cs="仿宋_GB2312"/>
          <w:color w:val="auto"/>
          <w:sz w:val="32"/>
          <w:szCs w:val="32"/>
        </w:rPr>
        <w:t>机场</w:t>
      </w:r>
      <w:r>
        <w:rPr>
          <w:rFonts w:hint="eastAsia" w:ascii="仿宋_GB2312" w:hAnsi="仿宋_GB2312" w:eastAsia="仿宋_GB2312" w:cs="仿宋_GB2312"/>
          <w:color w:val="auto"/>
          <w:sz w:val="32"/>
          <w:szCs w:val="32"/>
          <w:lang w:val="en-US" w:eastAsia="zh-CN"/>
        </w:rPr>
        <w:t>及北京大兴国际机场</w:t>
      </w:r>
      <w:r>
        <w:rPr>
          <w:rFonts w:hint="eastAsia" w:ascii="仿宋_GB2312" w:hAnsi="仿宋_GB2312" w:eastAsia="仿宋_GB2312" w:cs="仿宋_GB2312"/>
          <w:color w:val="auto"/>
          <w:sz w:val="32"/>
          <w:szCs w:val="32"/>
        </w:rPr>
        <w:t>临空</w:t>
      </w:r>
      <w:r>
        <w:rPr>
          <w:rFonts w:hint="eastAsia" w:ascii="仿宋_GB2312" w:hAnsi="仿宋_GB2312" w:eastAsia="仿宋_GB2312" w:cs="仿宋_GB2312"/>
          <w:color w:val="auto"/>
          <w:sz w:val="32"/>
          <w:szCs w:val="32"/>
          <w:lang w:val="en-US" w:eastAsia="zh-CN"/>
        </w:rPr>
        <w:t>经济</w:t>
      </w:r>
      <w:r>
        <w:rPr>
          <w:rFonts w:hint="eastAsia" w:ascii="仿宋_GB2312" w:hAnsi="仿宋_GB2312" w:eastAsia="仿宋_GB2312" w:cs="仿宋_GB2312"/>
          <w:color w:val="auto"/>
          <w:sz w:val="32"/>
          <w:szCs w:val="32"/>
        </w:rPr>
        <w:t>区、中日</w:t>
      </w:r>
      <w:r>
        <w:rPr>
          <w:rFonts w:hint="eastAsia" w:ascii="仿宋_GB2312" w:hAnsi="仿宋_GB2312" w:eastAsia="仿宋_GB2312" w:cs="仿宋_GB2312"/>
          <w:color w:val="auto"/>
          <w:sz w:val="32"/>
          <w:szCs w:val="32"/>
          <w:lang w:val="en-US" w:eastAsia="zh-CN"/>
        </w:rPr>
        <w:t>创新合作示范区</w:t>
      </w:r>
      <w:r>
        <w:rPr>
          <w:rFonts w:hint="eastAsia" w:ascii="仿宋_GB2312" w:hAnsi="仿宋_GB2312" w:eastAsia="仿宋_GB2312" w:cs="仿宋_GB2312"/>
          <w:color w:val="auto"/>
          <w:sz w:val="32"/>
          <w:szCs w:val="32"/>
        </w:rPr>
        <w:t>等重点区域建设推进过程中，其新能源和可再生能源的利用规模仍需进一步强化。</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bookmarkStart w:id="136" w:name="_Toc50988059"/>
      <w:bookmarkStart w:id="137" w:name="_Toc61515265"/>
      <w:bookmarkStart w:id="138" w:name="_Toc53221986"/>
      <w:r>
        <w:rPr>
          <w:rFonts w:hint="eastAsia" w:ascii="仿宋_GB2312" w:hAnsi="仿宋_GB2312" w:eastAsia="仿宋_GB2312" w:cs="仿宋_GB2312"/>
          <w:b w:val="0"/>
          <w:bCs w:val="0"/>
          <w:color w:val="auto"/>
          <w:sz w:val="32"/>
          <w:szCs w:val="32"/>
          <w:lang w:val="en-US" w:eastAsia="zh-CN"/>
        </w:rPr>
        <w:t>3.节能降耗空间收窄绿色发展面临压力增强</w:t>
      </w:r>
      <w:bookmarkEnd w:id="136"/>
      <w:bookmarkEnd w:id="137"/>
      <w:bookmarkEnd w:id="138"/>
    </w:p>
    <w:p>
      <w:pPr>
        <w:spacing w:line="360" w:lineRule="auto"/>
        <w:ind w:firstLine="640" w:firstLineChars="200"/>
        <w:rPr>
          <w:rFonts w:ascii="Times New Roman" w:hAnsi="Times New Roman" w:eastAsia="仿宋" w:cs="Times New Roman"/>
          <w:color w:val="auto"/>
          <w:sz w:val="32"/>
          <w:szCs w:val="32"/>
        </w:rPr>
        <w:sectPr>
          <w:footerReference r:id="rId5" w:type="default"/>
          <w:pgSz w:w="11906" w:h="16838"/>
          <w:pgMar w:top="1440" w:right="1800" w:bottom="1440" w:left="1800" w:header="851" w:footer="992" w:gutter="0"/>
          <w:pgNumType w:fmt="decimal" w:start="1"/>
          <w:cols w:space="720" w:num="1"/>
          <w:docGrid w:type="lines" w:linePitch="312" w:charSpace="0"/>
        </w:sectPr>
      </w:pPr>
      <w:r>
        <w:rPr>
          <w:rFonts w:hint="eastAsia" w:ascii="仿宋_GB2312" w:hAnsi="仿宋_GB2312" w:eastAsia="仿宋_GB2312" w:cs="仿宋_GB2312"/>
          <w:color w:val="auto"/>
          <w:sz w:val="32"/>
          <w:szCs w:val="32"/>
        </w:rPr>
        <w:t>大兴区传统工业淘汰退出带来的能耗减量因素明显减弱，挖潜的空间十分有限。住宿和餐饮业受区内大型连锁餐饮企业规模扩大影响，能耗不断增长。常住人口数量逐年增加，居民用能呈刚性增长。</w:t>
      </w:r>
      <w:r>
        <w:rPr>
          <w:rFonts w:hint="eastAsia" w:ascii="仿宋_GB2312" w:hAnsi="仿宋_GB2312" w:eastAsia="仿宋_GB2312" w:cs="仿宋_GB2312"/>
          <w:color w:val="auto"/>
          <w:sz w:val="32"/>
          <w:szCs w:val="32"/>
          <w:lang w:val="en-US" w:eastAsia="zh-CN"/>
        </w:rPr>
        <w:t>受北京大兴国际机场</w:t>
      </w:r>
      <w:r>
        <w:rPr>
          <w:rFonts w:hint="eastAsia" w:ascii="仿宋_GB2312" w:hAnsi="仿宋_GB2312" w:eastAsia="仿宋_GB2312" w:cs="仿宋_GB2312"/>
          <w:color w:val="auto"/>
          <w:sz w:val="32"/>
          <w:szCs w:val="32"/>
        </w:rPr>
        <w:t>航班增加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疫情结束后国际航班的正常运营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航空公司注册地变更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北京</w:t>
      </w:r>
      <w:r>
        <w:rPr>
          <w:rFonts w:hint="eastAsia" w:ascii="仿宋_GB2312" w:hAnsi="仿宋_GB2312" w:eastAsia="仿宋_GB2312" w:cs="仿宋_GB2312"/>
          <w:color w:val="auto"/>
          <w:sz w:val="32"/>
          <w:szCs w:val="32"/>
        </w:rPr>
        <w:t>大兴国际机场临空经济区（北京片区）</w:t>
      </w:r>
      <w:r>
        <w:rPr>
          <w:rFonts w:hint="eastAsia" w:ascii="仿宋_GB2312" w:hAnsi="仿宋_GB2312" w:eastAsia="仿宋_GB2312" w:cs="仿宋_GB2312"/>
          <w:color w:val="auto"/>
          <w:sz w:val="32"/>
          <w:szCs w:val="32"/>
          <w:lang w:val="en-US" w:eastAsia="zh-CN"/>
        </w:rPr>
        <w:t>等重大项目落地等影响</w:t>
      </w:r>
      <w:r>
        <w:rPr>
          <w:rFonts w:hint="eastAsia" w:ascii="仿宋_GB2312" w:hAnsi="仿宋_GB2312" w:eastAsia="仿宋_GB2312" w:cs="仿宋_GB2312"/>
          <w:color w:val="auto"/>
          <w:sz w:val="32"/>
          <w:szCs w:val="32"/>
        </w:rPr>
        <w:t>，能源刚性消费需求将集中释放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给全区能源保障工作带来新的压力，对精细化管理也提出</w:t>
      </w:r>
      <w:r>
        <w:rPr>
          <w:rFonts w:hint="eastAsia" w:ascii="仿宋_GB2312" w:hAnsi="仿宋_GB2312" w:eastAsia="仿宋_GB2312" w:cs="仿宋_GB2312"/>
          <w:color w:val="auto"/>
          <w:sz w:val="32"/>
          <w:szCs w:val="32"/>
          <w:lang w:val="en-US" w:eastAsia="zh-CN"/>
        </w:rPr>
        <w:t>了更高的</w:t>
      </w:r>
      <w:r>
        <w:rPr>
          <w:rFonts w:hint="eastAsia" w:ascii="仿宋_GB2312" w:hAnsi="仿宋_GB2312" w:eastAsia="仿宋_GB2312" w:cs="仿宋_GB2312"/>
          <w:color w:val="auto"/>
          <w:sz w:val="32"/>
          <w:szCs w:val="32"/>
        </w:rPr>
        <w:t>要求。</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A08A62-5752-4F64-8B3B-410AA8553A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41600B5-00AC-499A-9714-E6F5DE5F647F}"/>
  </w:font>
  <w:font w:name="仿宋_GB2312">
    <w:altName w:val="仿宋"/>
    <w:panose1 w:val="02010609030101010101"/>
    <w:charset w:val="86"/>
    <w:family w:val="auto"/>
    <w:pitch w:val="default"/>
    <w:sig w:usb0="00000000" w:usb1="00000000" w:usb2="00000000" w:usb3="00000000" w:csb0="00040000" w:csb1="00000000"/>
    <w:embedRegular r:id="rId3" w:fontKey="{3E712D75-DF7C-423F-BD1E-37AE20CD5546}"/>
  </w:font>
  <w:font w:name="仿宋">
    <w:panose1 w:val="02010609060101010101"/>
    <w:charset w:val="86"/>
    <w:family w:val="auto"/>
    <w:pitch w:val="default"/>
    <w:sig w:usb0="800002BF" w:usb1="38CF7CFA" w:usb2="00000016" w:usb3="00000000" w:csb0="00040001" w:csb1="00000000"/>
    <w:embedRegular r:id="rId4" w:fontKey="{4420A605-6065-4DC7-9A62-B908172632DB}"/>
  </w:font>
  <w:font w:name="方正小标宋简体">
    <w:panose1 w:val="02000000000000000000"/>
    <w:charset w:val="86"/>
    <w:family w:val="auto"/>
    <w:pitch w:val="default"/>
    <w:sig w:usb0="00000001" w:usb1="08000000" w:usb2="00000000" w:usb3="00000000" w:csb0="00040000" w:csb1="00000000"/>
    <w:embedRegular r:id="rId5" w:fontKey="{EADECCA9-F2AE-495F-BE9E-C30CA88A0D3B}"/>
  </w:font>
  <w:font w:name="楷体_GB2312">
    <w:altName w:val="楷体"/>
    <w:panose1 w:val="02010609030101010101"/>
    <w:charset w:val="86"/>
    <w:family w:val="auto"/>
    <w:pitch w:val="default"/>
    <w:sig w:usb0="00000000" w:usb1="00000000" w:usb2="00000000" w:usb3="00000000" w:csb0="00040000" w:csb1="00000000"/>
    <w:embedRegular r:id="rId6" w:fontKey="{4C7C6912-8A0E-4037-BA71-9FA20DFB817C}"/>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PAGE   \* MERGEFORMAT</w:instrText>
                          </w:r>
                          <w:r>
                            <w:rPr>
                              <w:rFonts w:ascii="仿宋" w:hAnsi="仿宋" w:eastAsia="仿宋"/>
                              <w:sz w:val="21"/>
                              <w:szCs w:val="21"/>
                            </w:rPr>
                            <w:fldChar w:fldCharType="separate"/>
                          </w:r>
                          <w:r>
                            <w:t>1</w:t>
                          </w:r>
                          <w:r>
                            <w:rPr>
                              <w:rFonts w:ascii="仿宋" w:hAnsi="仿宋" w:eastAsia="仿宋"/>
                              <w:sz w:val="21"/>
                              <w:szCs w:val="21"/>
                            </w:rPr>
                            <w:fldChar w:fldCharType="end"/>
                          </w:r>
                        </w:p>
                        <w:p>
                          <w:pPr>
                            <w:rPr>
                              <w:rFonts w:ascii="仿宋" w:hAnsi="仿宋" w:eastAsia="仿宋"/>
                              <w:sz w:val="21"/>
                              <w:szCs w:val="21"/>
                            </w:rPr>
                          </w:pP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color="#FFFFFF" filled="f" o:preferrelative="t"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path/>
              <v:fill on="f" color2="#FFFFFF" focussize="0,0"/>
              <v:stroke on="f"/>
              <v:imagedata gain="65536f" blacklevel="0f" gamma="0" o:title=""/>
              <o:lock v:ext="edit" position="f" selection="f" grouping="f" rotation="f" cropping="f" text="f" aspectratio="f"/>
              <v:textbox inset="0mm,0mm,0mm,0mm" style="mso-fit-shape-to-text:t;">
                <w:txbxContent>
                  <w:p>
                    <w:pPr>
                      <w:pStyle w:val="3"/>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PAGE   \* MERGEFORMAT</w:instrText>
                    </w:r>
                    <w:r>
                      <w:rPr>
                        <w:rFonts w:ascii="仿宋" w:hAnsi="仿宋" w:eastAsia="仿宋"/>
                        <w:sz w:val="21"/>
                        <w:szCs w:val="21"/>
                      </w:rPr>
                      <w:fldChar w:fldCharType="separate"/>
                    </w:r>
                    <w:r>
                      <w:t>1</w:t>
                    </w:r>
                    <w:r>
                      <w:rPr>
                        <w:rFonts w:ascii="仿宋" w:hAnsi="仿宋" w:eastAsia="仿宋"/>
                        <w:sz w:val="21"/>
                        <w:szCs w:val="21"/>
                      </w:rPr>
                      <w:fldChar w:fldCharType="end"/>
                    </w:r>
                  </w:p>
                  <w:p>
                    <w:pPr>
                      <w:rPr>
                        <w:rFonts w:ascii="仿宋" w:hAnsi="仿宋" w:eastAsia="仿宋"/>
                        <w:sz w:val="21"/>
                        <w:szCs w:val="21"/>
                      </w:rP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2CE664"/>
    <w:multiLevelType w:val="singleLevel"/>
    <w:tmpl w:val="F12CE664"/>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35783191"/>
    <w:rsid w:val="35783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560" w:lineRule="exact"/>
    </w:pPr>
    <w:rPr>
      <w:rFonts w:eastAsia="仿宋_GB2312" w:cs="Times New Roman"/>
      <w:sz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customStyle="1" w:styleId="6">
    <w:name w:val="网格型1"/>
    <w:basedOn w:val="4"/>
    <w:qFormat/>
    <w:uiPriority w:val="39"/>
    <w:pPr>
      <w:jc w:val="both"/>
    </w:pPr>
    <w:rPr>
      <w:rFonts w:eastAsia="仿宋"/>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2022-12-06T09:16:00Z</dcterms:created>
  <dc:creator>米露露</dc:creator>
  <cp:lastModifiedBy>米露露</cp:lastModifiedBy>
  <dcterms:modified xsi:type="dcterms:W3CDTF">2022-12-06T09:16:55Z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D6F804CD131C4E6DB95543673D991E88</vt:lpwstr>
  </property>
</Properties>
</file>