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Toc8847_WPSOffice_Level1"/>
      <w:bookmarkStart w:id="1" w:name="_Toc11261_WPSOffice_Level1"/>
      <w:bookmarkStart w:id="2" w:name="_Toc61515309"/>
      <w:bookmarkStart w:id="3" w:name="_Toc5336"/>
      <w:bookmarkStart w:id="4" w:name="_Toc1563"/>
      <w:bookmarkStart w:id="5" w:name="_Toc12019"/>
      <w:bookmarkStart w:id="6" w:name="_Toc457"/>
      <w:bookmarkStart w:id="7" w:name="_Toc26516"/>
      <w:bookmarkStart w:id="8" w:name="_Toc28987"/>
      <w:bookmarkStart w:id="9" w:name="_Toc1896"/>
      <w:bookmarkStart w:id="10" w:name="_Toc26104"/>
      <w:bookmarkStart w:id="11" w:name="_Toc22585"/>
      <w:bookmarkStart w:id="12" w:name="_Toc1572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第七章 </w:t>
      </w:r>
      <w:bookmarkStart w:id="52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提升能源运行高效智慧化水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平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bookmarkEnd w:id="52"/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13" w:name="_Toc24151"/>
      <w:bookmarkStart w:id="14" w:name="_Toc25661_WPSOffice_Level2"/>
      <w:bookmarkStart w:id="15" w:name="_Toc61515310"/>
      <w:bookmarkStart w:id="16" w:name="_Toc17209"/>
      <w:bookmarkStart w:id="17" w:name="_Toc1484_WPSOffice_Level2"/>
      <w:bookmarkStart w:id="18" w:name="_Toc27025"/>
      <w:bookmarkStart w:id="19" w:name="_Toc11564"/>
      <w:bookmarkStart w:id="20" w:name="_Toc8237"/>
      <w:bookmarkStart w:id="21" w:name="_Toc6930"/>
      <w:bookmarkStart w:id="22" w:name="_Toc8785"/>
      <w:bookmarkStart w:id="23" w:name="_Toc27710"/>
      <w:bookmarkStart w:id="24" w:name="_Toc15665"/>
      <w:bookmarkStart w:id="25" w:name="_Toc10776"/>
      <w:r>
        <w:rPr>
          <w:rFonts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健全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能源供应</w:t>
      </w:r>
      <w:bookmarkEnd w:id="13"/>
      <w:bookmarkEnd w:id="14"/>
      <w:bookmarkEnd w:id="15"/>
      <w:bookmarkEnd w:id="16"/>
      <w:bookmarkEnd w:id="17"/>
      <w:bookmarkEnd w:id="18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保障机制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重地区能源消费总量平衡和用能趋势分析，紧密加强与市级各部门、各专业公司沟通联系，统筹规划、积极响应，及时应对能源消费需求形势变化，全力提升资源供应和运力保障水平，确保满足全区总量平衡和高峰需求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充分发挥政府主导作用，加强能源领域突发事件应急管理体系建设，持续完善重大活动、重点时段、极端天气等条件下能源供给与调度运行保障机制，做好预案准备。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落实市级能源主管部门工作部署，建立健全能源项目安全生产管理机制，监督属地政府落实监管职责，制定检查计划，加大检查力度，落实安全生产主体责任，确保项目安全稳定运行。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26" w:name="_Toc20594_WPSOffice_Level2"/>
      <w:bookmarkStart w:id="27" w:name="_Toc23160_WPSOffice_Level2"/>
      <w:bookmarkStart w:id="28" w:name="_Toc61515311"/>
      <w:bookmarkStart w:id="29" w:name="_Toc10252"/>
      <w:bookmarkStart w:id="30" w:name="_Toc10128"/>
      <w:bookmarkStart w:id="31" w:name="_Toc6344"/>
      <w:bookmarkStart w:id="32" w:name="_Toc5141"/>
      <w:bookmarkStart w:id="33" w:name="_Toc8097"/>
      <w:bookmarkStart w:id="34" w:name="_Toc20597"/>
      <w:bookmarkStart w:id="35" w:name="_Toc26581"/>
      <w:bookmarkStart w:id="36" w:name="_Toc30895"/>
      <w:bookmarkStart w:id="37" w:name="_Toc4850"/>
      <w:bookmarkStart w:id="38" w:name="_Toc25701"/>
      <w:r>
        <w:rPr>
          <w:rFonts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提升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能源运行调度智慧化</w:t>
      </w:r>
      <w:bookmarkEnd w:id="26"/>
      <w:bookmarkEnd w:id="27"/>
      <w:bookmarkEnd w:id="28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水平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利用现代信息技术加快整合能源职能部门和企业平台数据资源，加快提升重点能源设施信息化水平，重点强化在线预警、应急响应、事故监测等运行实时数据传输等系统建设，有效保障和支撑能源调度及应急决策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持续提升电网自动化、数字化、信息化、智能化水平，2025年实现配电自动化覆盖率100%，满足地区高质量用电、清洁能源消纳、智慧城市服务的发展需要。积极依托现代信息与网络技术，不断提升各能源品种智能化监测与调度水平。基于全区丰富的地热资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利用北京市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新能源和可再生能源在线监测系统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，加强热泵系统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农村地区能源服务水平，加强城区能源集约利用。推进大兴农村地区煤改清洁能源信息管控系统三期（煤改电）项目建设，分类对全区约2.7万户空气源热泵用户安装信息管控智能模块，建设空气源热泵数据采集系统；并建设区级煤改清洁能源信息管控指挥中心，配套设置视频处理等设备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黑体" w:cs="Times New Roman"/>
          <w:color w:val="auto"/>
          <w:sz w:val="32"/>
          <w:szCs w:val="32"/>
        </w:rPr>
      </w:pPr>
      <w:bookmarkStart w:id="39" w:name="_Toc13236"/>
      <w:bookmarkStart w:id="40" w:name="_Toc26257"/>
      <w:bookmarkStart w:id="41" w:name="_Toc30261"/>
      <w:bookmarkStart w:id="42" w:name="_Toc11136"/>
      <w:bookmarkStart w:id="43" w:name="_Toc7188"/>
      <w:bookmarkStart w:id="44" w:name="_Toc1914"/>
      <w:bookmarkStart w:id="45" w:name="_Toc27293_WPSOffice_Level2"/>
      <w:bookmarkStart w:id="46" w:name="_Toc23483"/>
      <w:bookmarkStart w:id="47" w:name="_Toc23320_WPSOffice_Level2"/>
      <w:bookmarkStart w:id="48" w:name="_Toc15669"/>
      <w:bookmarkStart w:id="49" w:name="_Toc5284"/>
      <w:bookmarkStart w:id="50" w:name="_Toc7921"/>
      <w:bookmarkStart w:id="51" w:name="_Toc61515312"/>
      <w:r>
        <w:rPr>
          <w:rFonts w:ascii="Times New Roman" w:hAnsi="Times New Roman" w:eastAsia="黑体" w:cs="Times New Roman"/>
          <w:color w:val="auto"/>
          <w:sz w:val="32"/>
          <w:szCs w:val="32"/>
        </w:rPr>
        <w:t>三、创新探索区域能源综合管理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积极推进智能电网、分布式能源站、智慧充电网络等高效融合的区域综合能源体系建设，打造高水平智慧能源服务平台，提升能源利用系统能效，不断丰富和完善区域综合智慧能源运行管理的新模式与新路径。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准分析多元化、精细化的用能需求，积极推动能源企业向综合能源服务商转型。鼓励以园区、街区及建筑集中区域开展综合能源服务试点，支持本地企业综合能源服务模式创新，探索多元化、智能化、个性化、定制化的用户端供电、供气、供热、供冷、热水集成式服务，积极培育能源和商品服务一体化、线上和线下一体化、需求和供给一体化的新型商业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助力培育服务“双碳”目标实现的数字化能源新业态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大兴国际机场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大兴国际机场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临空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区综合保税区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等重点区域建设，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探索试点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能源互联网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项目，依托信息化、网络化手段，提高终端设施设备信息化与智能化水平，建立区域综合智慧能源运行监控管理平台，打造区域智慧能源运行管理示范。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0A7848-2B73-4474-BE2C-14AE40178B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4B0FE7-0E1B-4AE3-BCB9-7BD6B8CDC50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2349618-C4F9-4140-9C36-FA69008CB7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6D25A38-596C-40EF-A429-6B2F71020F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2C8C0D52"/>
    <w:rsid w:val="2C8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2022-12-06T09:23:00Z</dcterms:created>
  <dc:creator>米露露</dc:creator>
  <cp:lastModifiedBy>米露露</cp:lastModifiedBy>
  <dcterms:modified xsi:type="dcterms:W3CDTF">2022-12-06T09:23:26Z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AB0B6D08B0F04ABEA47FD67554DB7F98</vt:lpwstr>
  </property>
</Properties>
</file>