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numId w:val="0"/>
        </w:numPr>
        <w:wordWrap/>
        <w:adjustRightInd/>
        <w:snapToGrid/>
        <w:spacing w:line="560" w:lineRule="exact"/>
        <w:ind w:lef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Toc18574_WPSOffice_Level1"/>
      <w:bookmarkStart w:id="1" w:name="_Toc31900_WPSOffice_Level1"/>
      <w:bookmarkStart w:id="2" w:name="_Toc28371"/>
      <w:bookmarkStart w:id="3" w:name="_Toc19935"/>
      <w:bookmarkStart w:id="4" w:name="_Toc6367"/>
      <w:bookmarkStart w:id="5" w:name="_Toc16278"/>
      <w:bookmarkStart w:id="6" w:name="_Toc4043"/>
      <w:bookmarkStart w:id="7" w:name="_Toc13513"/>
      <w:bookmarkStart w:id="8" w:name="_Toc26171"/>
      <w:bookmarkStart w:id="9" w:name="_Toc10925"/>
      <w:bookmarkStart w:id="10" w:name="_Toc11771"/>
      <w:bookmarkStart w:id="11" w:name="_Toc32152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第八章 规划实施保障措</w:t>
      </w:r>
      <w:bookmarkEnd w:id="0"/>
      <w:bookmarkEnd w:id="1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bookmarkStart w:id="86" w:name="_GoBack"/>
      <w:bookmarkEnd w:id="86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12" w:name="_Toc16284_WPSOffice_Level2"/>
      <w:bookmarkStart w:id="13" w:name="_Toc61515314"/>
      <w:bookmarkStart w:id="14" w:name="_Toc9221_WPSOffice_Level2"/>
      <w:bookmarkStart w:id="15" w:name="_Toc43889153"/>
      <w:bookmarkStart w:id="16" w:name="_Toc17457"/>
      <w:bookmarkStart w:id="17" w:name="_Toc2380"/>
      <w:bookmarkStart w:id="18" w:name="_Toc9001"/>
      <w:bookmarkStart w:id="19" w:name="_Toc11610"/>
      <w:bookmarkStart w:id="20" w:name="_Toc28788"/>
      <w:bookmarkStart w:id="21" w:name="_Toc30123"/>
      <w:bookmarkStart w:id="22" w:name="_Toc3474"/>
      <w:bookmarkStart w:id="23" w:name="_Toc16811"/>
      <w:bookmarkStart w:id="24" w:name="_Toc13341"/>
      <w:bookmarkStart w:id="25" w:name="_Toc8646"/>
      <w:bookmarkStart w:id="26" w:name="_Toc30019"/>
      <w:r>
        <w:rPr>
          <w:rFonts w:ascii="Times New Roman" w:hAnsi="Times New Roman" w:eastAsia="黑体" w:cs="Times New Roman"/>
          <w:color w:val="auto"/>
          <w:sz w:val="32"/>
          <w:szCs w:val="32"/>
        </w:rPr>
        <w:t>一、加强规划引领，</w:t>
      </w:r>
      <w:bookmarkEnd w:id="12"/>
      <w:bookmarkEnd w:id="13"/>
      <w:bookmarkEnd w:id="14"/>
      <w:bookmarkEnd w:id="15"/>
      <w:bookmarkEnd w:id="16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确保任务落实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加强市区两级规划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的协调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衔接，统筹部署，有效发挥规划对能源发展的引领作用。创新规划实施机制，健全政策协调和工作协同机制，完善规划实施监测评估机制，协同推进规划落实。明确责任分工，落实主体责任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推动本区新能源和可再生能源发展指标和能源重点项目落地，促进指标与重点项目的有机衔接，为指标和项目落地提供有效支撑。与市级主管部门、各入驻航空公司等积极对接与协调，明确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北京大兴国际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机场及临空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区的能源消费目标、措施及统计口径，多方共同努力，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落实发展任务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27" w:name="_Toc30023"/>
      <w:bookmarkStart w:id="28" w:name="_Toc43889154"/>
      <w:bookmarkStart w:id="29" w:name="_Toc21528"/>
      <w:bookmarkStart w:id="30" w:name="_Toc28240"/>
      <w:bookmarkStart w:id="31" w:name="_Toc61515315"/>
      <w:bookmarkStart w:id="32" w:name="_Toc5603"/>
      <w:bookmarkStart w:id="33" w:name="_Toc24708_WPSOffice_Level2"/>
      <w:bookmarkStart w:id="34" w:name="_Toc7586"/>
      <w:bookmarkStart w:id="35" w:name="_Toc27357"/>
      <w:bookmarkStart w:id="36" w:name="_Toc23182"/>
      <w:bookmarkStart w:id="37" w:name="_Toc17784"/>
      <w:bookmarkStart w:id="38" w:name="_Toc10280"/>
      <w:bookmarkStart w:id="39" w:name="_Toc24366"/>
      <w:bookmarkStart w:id="40" w:name="_Toc19091_WPSOffice_Level2"/>
      <w:bookmarkStart w:id="41" w:name="_Toc7138"/>
      <w:r>
        <w:rPr>
          <w:rFonts w:ascii="Times New Roman" w:hAnsi="Times New Roman" w:eastAsia="黑体" w:cs="Times New Roman"/>
          <w:color w:val="auto"/>
          <w:sz w:val="32"/>
          <w:szCs w:val="32"/>
        </w:rPr>
        <w:t>二、健全体制机制，强化政策引导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>
      <w:pPr>
        <w:widowControl/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落实《关于进一步支持光伏发电系统推广应用的通知》（京发改规〔2020〕6号）和《关于印发进一步加快热泵系统应用 推动清洁供暖实施意见的通知》（京发改规〔2019〕1号）等市级政府可再生能源补贴政策，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研究制定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区地源热泵、太阳能光伏发电等能源利用补贴政策。探索将可再生能源利用指标纳入土地招拍挂约束性条件，并优先在重点区域新建地区推动实施。鼓励企业优先应用新能源和可再生能源，多管齐下，多措并举，提高全区新能源和可再生能源利用水平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42" w:name="_Toc19854_WPSOffice_Level2"/>
      <w:bookmarkStart w:id="43" w:name="_Toc19290"/>
      <w:bookmarkStart w:id="44" w:name="_Toc9210"/>
      <w:bookmarkStart w:id="45" w:name="_Toc24343_WPSOffice_Level2"/>
      <w:bookmarkStart w:id="46" w:name="_Toc12631"/>
      <w:bookmarkStart w:id="47" w:name="_Toc13620"/>
      <w:bookmarkStart w:id="48" w:name="_Toc15849"/>
      <w:bookmarkStart w:id="49" w:name="_Toc8282"/>
      <w:bookmarkStart w:id="50" w:name="_Toc17503"/>
      <w:bookmarkStart w:id="51" w:name="_Toc27408"/>
      <w:bookmarkStart w:id="52" w:name="_Toc21475"/>
      <w:bookmarkStart w:id="53" w:name="_Toc8429"/>
      <w:bookmarkStart w:id="54" w:name="_Toc12460"/>
      <w:bookmarkStart w:id="55" w:name="_Toc61515316"/>
      <w:bookmarkStart w:id="56" w:name="_Toc43889155"/>
      <w:r>
        <w:rPr>
          <w:rFonts w:ascii="Times New Roman" w:hAnsi="Times New Roman" w:eastAsia="黑体" w:cs="Times New Roman"/>
          <w:color w:val="auto"/>
          <w:sz w:val="32"/>
          <w:szCs w:val="32"/>
        </w:rPr>
        <w:t>三、促进部门协作，统筹资源调配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加强沟通协调，通过市、区部门联动，切实履行能源行业管理、安全监管和属地保障责任，加速推进可再生能源项目落地。完善与区统计、工商、机场办及相关各镇的协作机制，及时掌握北京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大兴国际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机场及临空经济区等区域能源消费量变化、新入驻航空公司及新上项目能耗情况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及时分析问题、制定对策，提出调整建议。</w:t>
      </w:r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57" w:name="_Toc10315"/>
      <w:bookmarkStart w:id="58" w:name="_Toc4047"/>
      <w:bookmarkStart w:id="59" w:name="_Toc9323_WPSOffice_Level2"/>
      <w:bookmarkStart w:id="60" w:name="_Toc20847"/>
      <w:bookmarkStart w:id="61" w:name="_Toc43889157"/>
      <w:bookmarkStart w:id="62" w:name="_Toc18655_WPSOffice_Level2"/>
      <w:bookmarkStart w:id="63" w:name="_Toc7762"/>
      <w:bookmarkStart w:id="64" w:name="_Toc32249"/>
      <w:bookmarkStart w:id="65" w:name="_Toc18655"/>
      <w:bookmarkStart w:id="66" w:name="_Toc17181"/>
      <w:bookmarkStart w:id="67" w:name="_Toc30781"/>
      <w:bookmarkStart w:id="68" w:name="_Toc61515318"/>
      <w:bookmarkStart w:id="69" w:name="_Toc6627"/>
      <w:bookmarkStart w:id="70" w:name="_Toc3113"/>
      <w:bookmarkStart w:id="71" w:name="_Toc11337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、拓宽融资渠道，创新投资方式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>
      <w:pPr>
        <w:widowControl w:val="0"/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探索投融资模式创新，支持采用多种融资方式引导社会资本参与能源领域项目建设；鼓励第三方专业化能源公司投资，利用其技术、管理、运维等优势，实现新能源和可再生能源高水平利用；积极对接政府产业引导基金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鼓励企业通过银行借贷、融资租赁等多种方式，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解决企业融资问题，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降低能源项目融资成本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深化合同能源管理机制，引入合同能源管理模式，探索应用能源托管、效益分享、节能量保证、融资租赁等管理模式。</w:t>
      </w:r>
    </w:p>
    <w:p>
      <w:pPr>
        <w:outlineLvl w:val="0"/>
        <w:rPr>
          <w:rFonts w:hint="eastAsia" w:ascii="Times New Roman" w:hAnsi="Times New Roman" w:eastAsia="黑体" w:cs="Times New Roman"/>
          <w:color w:val="auto"/>
          <w:sz w:val="32"/>
          <w:szCs w:val="32"/>
        </w:rPr>
      </w:pPr>
      <w:bookmarkStart w:id="72" w:name="_Toc1396"/>
      <w:bookmarkStart w:id="73" w:name="_Toc25662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、加强规划宣导，推动公众广泛参与</w:t>
      </w:r>
      <w:bookmarkEnd w:id="72"/>
      <w:bookmarkEnd w:id="73"/>
    </w:p>
    <w:p>
      <w:pPr>
        <w:pStyle w:val="2"/>
        <w:rPr>
          <w:rFonts w:hint="eastAsia" w:ascii="仿宋_GB2312" w:hAnsi="仿宋_GB2312" w:cs="仿宋_GB2312"/>
          <w:color w:val="auto"/>
          <w:szCs w:val="32"/>
          <w:lang w:val="zh-CN"/>
        </w:rPr>
      </w:pPr>
      <w:r>
        <w:rPr>
          <w:rFonts w:hint="eastAsia" w:ascii="仿宋_GB2312" w:hAnsi="仿宋_GB2312" w:cs="仿宋_GB2312"/>
          <w:color w:val="auto"/>
          <w:szCs w:val="32"/>
          <w:lang w:val="zh-CN"/>
        </w:rPr>
        <w:t>做好规划信息公开，加强社会公众参与与监督，完善社会力量监督机制。充分利用现代媒体及网络平台，广泛开展规划理念、发展目标、重点任务及相关政策的宣传解读。普及绿色、安全、清洁、高效、智慧的能源消费观，营造全社会参与绿色低碳发展的良好氛围。</w:t>
      </w:r>
    </w:p>
    <w:p>
      <w:pPr>
        <w:spacing w:line="360" w:lineRule="auto"/>
        <w:ind w:firstLine="640" w:firstLineChars="200"/>
        <w:outlineLvl w:val="0"/>
        <w:rPr>
          <w:rFonts w:ascii="Times New Roman" w:hAnsi="Times New Roman" w:eastAsia="黑体" w:cs="Times New Roman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before="0" w:beforeLines="0" w:after="0" w:afterLines="0" w:line="360" w:lineRule="auto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</w:rPr>
      </w:pPr>
      <w:bookmarkStart w:id="74" w:name="_Toc10159"/>
      <w:bookmarkStart w:id="75" w:name="_Toc26763"/>
      <w:bookmarkStart w:id="76" w:name="_Toc25251"/>
      <w:bookmarkStart w:id="77" w:name="_Toc1793"/>
      <w:bookmarkStart w:id="78" w:name="_Toc27507"/>
      <w:bookmarkStart w:id="79" w:name="_Toc61515319"/>
      <w:bookmarkStart w:id="80" w:name="_Toc1271"/>
      <w:bookmarkStart w:id="81" w:name="_Toc15435"/>
      <w:bookmarkStart w:id="82" w:name="_Toc1276"/>
      <w:bookmarkStart w:id="83" w:name="_Toc17247"/>
      <w:bookmarkStart w:id="84" w:name="_Toc17649"/>
      <w:bookmarkStart w:id="85" w:name="_Toc3413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4"/>
          <w:szCs w:val="24"/>
        </w:rPr>
        <w:t>附表：“十四五”时期大兴区能源领域重大项目计划表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tbl>
      <w:tblPr>
        <w:tblStyle w:val="4"/>
        <w:tblW w:w="139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215"/>
        <w:gridCol w:w="1423"/>
        <w:gridCol w:w="2138"/>
        <w:gridCol w:w="3168"/>
        <w:gridCol w:w="1049"/>
        <w:gridCol w:w="1083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建设规模及内容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开工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完工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责任单位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电力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green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gree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220/110千伏输变电站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北京西-新航城特高压下送工程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国网北京市电力公司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大兴区北京大兴国际机场临空经济区西片区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新建500千伏输电线路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金华寺220千伏变电站工程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大兴区黄村镇团河地区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新建220千伏主变2台，新增变电容量360MVA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医药园220千伏变电站工程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大兴区生物医药基地三期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新建220千伏主变2台，新增变电容量360MVA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自贸区4#220千伏变电站工程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大兴区北京大兴国际机场临空经济区东片区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新建220千伏主变2台，新增变电容量360MVA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区城管委、北京大兴国际机场临空经济区管委会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综保区110kV输变电工程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北京大兴国际机场临空经济区综合保税区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区城管委、北京大兴国际机场临空经济区管委会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新建村110kV输变电工程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西红门镇工业区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双源110kV输变电工程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新城核心区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大东110kV输变电工程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青云店镇中心区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临空19#110kV输变电工程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北京大兴国际机场临空经济区东（礼贤）片区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区城管委、北京大兴国际机场临空经济区管委会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留民营110kV输变电工程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长子营北部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瓜乡110kV输变电工程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庞各庄镇东部地区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芦东110kV输变电工程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新城西片区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临空10#110kV输变电工程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北京大兴国际机场临空经济区西（榆垡）片区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区城管委、北京大兴国际机场临空经济区管委会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新立村110kV输变电工程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生物医药基地北扩区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车辆段110kV输变电工程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团河南部地区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八家110kV输变电工程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生物医药基地三期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区城管委、北京大兴国际机场临空经济区管委会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邵各庄110kV输变电工程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采育镇邵各庄村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东营房110kV输变电工程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旧宫镇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临空21#110kV输变电工程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北京大兴国际机场临空经济区东（礼贤）片区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新建110千伏主变2台，新增变电容量100MVA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医药园220千伏输变电工程110千伏送出工程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大兴区生物医药基地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新建110千伏输电线路约10公里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金华寺220千伏输变电工程110千伏送出工程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大兴区中北部地区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新建110千伏输电线路约15公里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自贸区220千伏输变电工程110千伏送出工程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北京大兴国际机场临空经济区东片区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新建110千伏输电线路约6公里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区城管委、北京大兴国际机场临空经济区管委会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安定垃圾焚烧电厂110kV送出工程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国网北京大兴供电公司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before="0" w:beforeAutospacing="0" w:after="0" w:afterAutospacing="0"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大兴区安定镇、礼贤镇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新建110千伏输电线路约9公里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老旧小区配电网改造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大兴2021-2022年老旧小区配电设施外线改造工程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国网北京市电力公司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北京市大兴区九龙家园、清欣园、明春西苑等小区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老旧小区高低压、箱变及配电室进行改造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大兴2021-2022年老旧小区配电设施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线改造工程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区民政局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北京市大兴区九龙家园、清欣园、明春西苑等小区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/>
                <w:lang w:eastAsia="zh-CN"/>
              </w:rPr>
              <w:t>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shd w:val="clear"/>
              </w:rPr>
              <w:t>旧小区内部电力线路进行改造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燃气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城南高压A站工程（城南门站一期工程）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完成高压A站工程，保障首都机场用气。一期高压A站设计建设考虑门站功能布局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京台高速公路天然气工程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大兴区安定镇、魏善庄镇和礼贤镇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新建DN1000高压A管线20公里；新建DN500次高压A管线9公里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2019年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大礼路天然气工程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从京开高速至城南门站新建DN500次高压A管线15公里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永兴河北路次高压燃气工程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京开高速至南中轴路新建DN500次高管线9.2公里，南中轴路南延4公里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北京大兴国际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机场高速天然气工程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新建DN500次高压燃气管线35公里，随管廊建设中压管线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104国道天然气工程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大兴区青云店镇和长子营镇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从采林路至战备路新建DN500次高压A管线15公里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采林路天然气工程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大兴区采育镇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从采业路至104国道新建DN500次高压A管线3.7公里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长子营次高压A箱工程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大兴区长子营工业区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新建区域调压箱1座，规模3万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/小时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青云店次高压A调压箱及进出线工程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大兴区青云店镇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104国道（魏永路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青云里锅炉房）新建DN400次高压A管线；（青云里锅炉房~青采路）合槽新建DN500中压管线1km；新建5万Nm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/h次高压A调压箱1座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安定镇区域次高压A箱及进出线天然气工程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大兴区安定镇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新建DN300次高压A燃气管线；新建次高压A区域调压箱一座；新建DN400中压A管线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2019年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青礼路（南段）天然气工程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大兴区礼贤镇和榆垡镇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青礼路旧线新建DN500次高压A管线3公里，次干一路至永兴河北路新建DN500中压A管线1.5公里，新建3万m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/h次高压A调压箱1座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106国道天然气管线工程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新建DN500次高压A管线1.5公里，新建5万m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/h次高压A调压箱一座，DN500中压A管线，为北京大兴国际机场临空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经济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区榆垡组团供气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大兴区西红门镇新建地区天然气供应工程（随路部分）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大兴区西红门镇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随金水大街、鼎祥路新建DN500次高压A管线1.8公里。新建DN500中压A管线1.8公里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榆垡路东区次高压A调压箱及进出线工程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新建DN300次高压A天然气管线0.3公里，新建3万m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/h调压箱1座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芦东路中压A管线天然气工程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大兴区黄村镇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随路新建DN400中压A管线2.3公里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随路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建设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西红门商业区次高压A调压箱及进出线工程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大兴区西红门镇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新建DN300次高压A管线0.2公里；新建次高压A调压箱1座，设计规模1m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/h；新建DN400中压A管线0.3公里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2019年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北京大兴国际机场综合保税区（一期）天然气工程北京部分园区内基础设施项目（元平北路）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起点为广运大街，沿元平北路敷设DN400中压A燃气管线，敷设终点为聚远街，设计压力为0.4MPa。管线全长0.4公里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青礼路次高压A管线天然气工程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大兴区礼贤镇和榆垡镇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从大礼路已规划次高压A管线接线，沿青礼路敷设DN500次高压A管线约0.7米，至新航城横六路，与新航城一级开发地块内在施DN300次高压A管线连通；在礼贤镇规划锅炉房用地内新建5万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次高压箱一座次高压A区域调压箱及其进出线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马朱路天然气工程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大兴区长子营镇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从104国道至凤港减河新建DN500次高压A管线6.5公里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2018年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魏永路天然气工程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大兴区黄村镇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从小龙河至104国道，新建天然气管线11.3公里，管径DN400，设计压力1.0MPa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2010年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京开东辅路天然气工程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大兴区黄村镇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从南五环至规划西红门高B站新建DN700高压B管线2公里，从规划西红门高B站向北沿京开东辅路新建DN700次高压A管线2公里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2009年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知礼街（北段）天然气管线工程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随知礼街（兴贤路南侧—群贤路）新建DN400中压A管线约1公里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北京大兴国际机场综合保税区（一期）天然气工程北京部分（燕冀路）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随次干一路（青礼路旧线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市界）新建DN500中压A管线2公里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北京大兴国际机场综合保税区（一期）天然气工程北京部分（集运街）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起点为燕冀路，沿集运街敷设DN400中压A燃气管线，敷设终点为千斯路，设计压力为0.4MPa。全长约1.2公里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北京大兴国际机场综合保税区（一期）天然气工程北京部分（知礼街）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大兴区榆垡镇和礼贤镇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起点为贺贤路，沿知礼街敷设DN400中压A燃气管线，敷设终点为燕冀路，设计压力为0.4MPa。全长约2.2公里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榆庆路、明善街次高压天然气工程（含调压箱）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（新机场回迁安置房二期榆垡组团次高压A调压箱工程）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大兴区礼贤镇和榆垡镇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随榆庆路（106国道—明善街）、明善街（榆庆路—锅炉房市政用地）新建DN200次高压A管线共约0.4公里，在回迁安置房二期榆垡组团锅炉房市政用地内新建一座次高压A调压箱（1万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）及其进出线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通和街（北段）天然气管线工程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燃气集团建管公司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大兴区礼贤镇和榆垡镇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随通和街（榆泰路—永兴河北路）新建DN500中压A管线约0.6公里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2021年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液化石油气充装站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青云店镇换气站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青云店镇政府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青云店镇垡上村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占地约0.1354公顷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供热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热源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噪声安置房供热锅炉房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噪声安置房区域市政供热地块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总供能面积255万平方米，建设三座锅炉房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礼贤安置房三期供热锅炉房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礼贤安置房三期供热地块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总供能面积86万平方米，以热水锅炉为主，鼓励商业办公建筑发展楼宇式地源热泵系统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生命健康产业园能源中心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原榆垡工业区地块内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总供能面积约215万平方米，采用地源热泵+调峰锅炉+调峰冷站系统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国际会展能源中心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国际会展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总供能面积待定，采用地源热泵+调峰锅炉+调峰冷站系统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国际消费枢纽能源中心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国际消费枢纽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总供能面积待定，采用地源热泵+调峰锅炉+调峰冷站系统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国际航空社区能源中心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国际航空社区供热地块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总供能面积约160万平方米，采用地源热泵/污水源热泵+调峰锅炉+调峰冷站系统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0107街区产业园区前期开发项目能源中心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0107街区供热用地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总供能面积约260万平方米，采用地源/空气源热泵+调峰锅炉+调峰制冷站系统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（二）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热力管线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噪声安置房供热锅炉房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噪声安置房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DN200-DN500供热管线约11km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礼贤安置房三期供热锅炉房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礼贤安置房三期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DN200-DN500供热管线约2km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生命健康产业园能源中心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生命健康产业园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DN200-DN600供热管线约10km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国际会展能源中心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国际会展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DN200-DN400供热管线约2km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国际消费枢纽能源中心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国际消费枢纽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DN200-DN500供热管线约5km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国际航空社区能源中心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国际航空社区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DN200-DN600供热管线约5.5km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0107街区产业园区前期开发项目能源中心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DN200-DN600供热管线约14km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highlight w:val="none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新能源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/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加氢站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/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安定纯氢站建设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大兴区安定镇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、安定镇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临空区纯氢站建设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（礼贤片区）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机场礼贤片区机场高速西侧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、临空区管委会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石顺苑油氢合建站建设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中石油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大兴区黄村镇刘一村刘王路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油氢合建站建设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、黄村镇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青云店油氢合建站建设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中石化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大兴区青云店镇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油氢合建站建设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、青云店镇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安固油氢合建站建设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中石化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大兴区黄徐路与安采路交叉口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油氢合建站建设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、安定镇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6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生物医药基地加氢站建设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生物医药基地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、生物医药基地管委会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7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榆垡加氢站建设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榆垡片区祥瑞南街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、临空区管委会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8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中日产业园加氢站建设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（南中轴路）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中日产业园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9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京南物流基地（大广高速）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京南物流基地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庞各庄镇加氢站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庞各庄镇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区城管委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  <w:t>、庞各庄镇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eastAsia="zh-CN"/>
              </w:rPr>
              <w:t>大广高速沿线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加氢站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待定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  <w:t>大广高速沿线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shd w:val="clear" w:color="auto" w:fill="auto"/>
              </w:rPr>
              <w:t>加氢站建设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2024年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</w:rPr>
              <w:t>区城管委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（二）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氢能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分布式能源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  <w:highlight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shd w:val="clea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大兴国际氢能示范区分布式能源项目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兴创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</w:rPr>
              <w:t>魏永路70号南侧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建成0.5MW装机规模的分布式能源系统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</w:rPr>
              <w:t>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highlight w:val="none"/>
                <w:lang w:val="en-US" w:eastAsia="zh-CN"/>
              </w:rPr>
              <w:t>经信局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临空经济区分布式能源项目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北京大兴国际机场临空经济区管委会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北京大兴国际机场临空经济区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建成1MW装机规模的分布式能源系统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  <w:t>北京大兴国际机场临空经济区管委会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生物医药基地分布式能源项目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科兴中维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生物医药基地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shd w:val="cle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建成0.5MW装机规模的分布式能源系统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生物医药基地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太阳能发电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0107街区产业园区前期开发项目光伏发电项目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项目能源公司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综保区及非保区物流仓储和一类工业用地厂房屋顶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光伏总装机约64 兆瓦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地热及热泵系统应用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生命健康产业园热泵系统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项目能源公司/业主单位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生命健康产业园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依据园区能源需求及资源禀赋而定，热泵供热装机力争达到50%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国际会展热泵系统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项目能源公司/业主单位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国际会展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依据园区能源需求及资源禀赋而定，热泵供热装机力争达到50%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国际消费枢纽热泵系统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项目能源公司/业主单位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国际消费枢纽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依据园区能源需求及资源禀赋而定，热泵供热装机力争达到50%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国际航空社区热泵系统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项目能源公司/业主单位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国际航空社区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依据园区能源需求及资源禀赋而定，热泵供热装机力争达到50%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0107街区产业园区前期项目热泵系统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项目能源公司/业主单位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0107街区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依据园区能源需求及资源禀赋而定，热泵供热装机力争达到50%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北京大兴国际机场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4"/>
                <w:highlight w:val="none"/>
              </w:rPr>
              <w:t>临空经济区管委会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）</w:t>
            </w:r>
          </w:p>
        </w:tc>
        <w:tc>
          <w:tcPr>
            <w:tcW w:w="894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  <w:t>公共设施和建筑新能源一体化应用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大兴氢能源示范园区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兴创公司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黄村镇丰远街西侧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加氢站、研发中心、生产车间等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2022年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区经信局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西红门镇新建地区棚户区改造土地开发6009地块B4综合性商业金融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西红门镇政府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大兴区西红门镇新建工业区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占地0.44公顷，建筑规模7040平方米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2025年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西红门镇政府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0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西红门镇新建地区棚户区改造土地开发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6005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地块A8综合服务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西红门镇政府</w:t>
            </w:r>
          </w:p>
        </w:tc>
        <w:tc>
          <w:tcPr>
            <w:tcW w:w="2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大兴区西红门镇新建工业区</w:t>
            </w:r>
          </w:p>
        </w:tc>
        <w:tc>
          <w:tcPr>
            <w:tcW w:w="3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占地0.5公顷，建筑规模7500平方米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西红门镇政府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1B4D2D1-C336-451A-823B-E4BAD098C6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16096E-ABA2-4780-B5FE-FBAF2320FED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F564748-ABF4-4523-A3C6-75A476B6ED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8A6F37-7E40-4990-A584-DBF4B8A2EC1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7300E98-68CD-410A-8E52-6FD50237E8E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33E84274"/>
    <w:rsid w:val="33E8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</w:pPr>
    <w:rPr>
      <w:rFonts w:eastAsia="仿宋_GB2312" w:cs="Times New Roman"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7031</Words>
  <Characters>8247</Characters>
  <Lines>0</Lines>
  <Paragraphs>0</Paragraphs>
  <TotalTime>0</TotalTime>
  <ScaleCrop>false</ScaleCrop>
  <LinksUpToDate>false</LinksUpToDate>
  <CharactersWithSpaces>8249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2022-12-06T09:23:00Z</dcterms:created>
  <dc:creator>米露露</dc:creator>
  <cp:lastModifiedBy>米露露</cp:lastModifiedBy>
  <dcterms:modified xsi:type="dcterms:W3CDTF">2022-12-06T09:24:30Z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80DB0ECF534B42B3B8D42C62516A7325</vt:lpwstr>
  </property>
</Properties>
</file>