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9" w:after="439"/>
        <w:rPr>
          <w:rFonts w:hint="eastAsia"/>
        </w:rPr>
      </w:pPr>
      <w:bookmarkStart w:id="0" w:name="_Toc2143"/>
      <w:bookmarkStart w:id="10" w:name="_GoBack"/>
      <w:r>
        <w:rPr>
          <w:rFonts w:hint="eastAsia"/>
        </w:rPr>
        <w:t>一、“十三五”时期农业发展形势</w:t>
      </w:r>
      <w:bookmarkEnd w:id="10"/>
      <w:bookmarkEnd w:id="0"/>
    </w:p>
    <w:p>
      <w:pPr>
        <w:pStyle w:val="3"/>
        <w:spacing w:before="219" w:after="219"/>
        <w:rPr>
          <w:rFonts w:hint="eastAsia"/>
        </w:rPr>
      </w:pPr>
      <w:bookmarkStart w:id="1" w:name="_Toc18406"/>
      <w:bookmarkStart w:id="2" w:name="_Toc418699556"/>
      <w:bookmarkStart w:id="3" w:name="_Toc432717998"/>
      <w:r>
        <w:rPr>
          <w:rFonts w:hint="eastAsia"/>
        </w:rPr>
        <w:t>（一）“十二五”时期农业发展取得的成果</w:t>
      </w:r>
      <w:bookmarkEnd w:id="1"/>
    </w:p>
    <w:p>
      <w:pPr>
        <w:spacing w:before="0"/>
        <w:rPr>
          <w:rFonts w:hint="eastAsia"/>
        </w:rPr>
      </w:pPr>
      <w:r>
        <w:rPr>
          <w:rFonts w:hint="eastAsia"/>
        </w:rPr>
        <w:t>“十二五”以来，全区以“一体化、高端化、国际化”和“建设宜居宜业和谐新大兴”为目标，以服务为核心，以环境农业、高效农业、特色农业为重点，不断优化产业结构，不断转变发展方式，不断深化改革创新，不断增强发展活力，农村宜居环境明显改观，农业生产能力明显增强，农民生活水平明显提升，为“十三五”时期提升现代农业、服务城乡发展奠定了坚实的基础。</w:t>
      </w:r>
    </w:p>
    <w:p>
      <w:pPr>
        <w:spacing w:before="0"/>
        <w:ind w:firstLine="643"/>
        <w:rPr>
          <w:rFonts w:hint="eastAsia"/>
        </w:rPr>
      </w:pPr>
      <w:r>
        <w:rPr>
          <w:rFonts w:hint="eastAsia" w:ascii="楷体_GB2312" w:eastAsia="楷体_GB2312"/>
          <w:b/>
        </w:rPr>
        <w:t>着力促进方式转变，内生动力不断增强。</w:t>
      </w:r>
      <w:r>
        <w:rPr>
          <w:rFonts w:hint="eastAsia"/>
        </w:rPr>
        <w:t>“十二五”时期，全区调结构、转方式、强能力、上水平，进一步提升了农业核心竞争力。突出高端高效，大力发展特色农业、种业、设施农业、合作农业, 新建、改建设施保护</w:t>
      </w:r>
      <w:r>
        <w:rPr>
          <w:rFonts w:hint="eastAsia"/>
          <w:color w:val="000000"/>
        </w:rPr>
        <w:t>地1.33万亩，发展种养业外埠生产基地21个，农业总产值比“十一五”末增加15亿元。强化农业科技支撑，深化院区合作，引进推广新品种新技术270</w:t>
      </w:r>
      <w:r>
        <w:rPr>
          <w:rFonts w:hint="eastAsia"/>
        </w:rPr>
        <w:t>余个，全面完成区、镇基层农技推广体系改革，创建了市、区、镇、村农业科技推广服务快速对接联动机制。高度重视农产品质量安全，全面推进基地建设、农资供应、产品检测等环节向标准化、制度化、信息化方向发展，为首都市民提供放心农产品。推广应用农业信息化技术，创新建立了气象决策、农产品营销、农产品安全监管、农业技术推广、农民专业合作社信息评价、农村公益服务等信息化平台，让信息化成为现代农业发展的助推器。推进创新型“三农”保险示范区建设，保险品种从生产环节逐步向农村财产、农民人身等拓宽，实现各类涉农保险的全覆盖，使保险成为农村社会综合管理的手段。加强法制建设，完善了执法体系，健全了会商、信息共享、执法协作、预警等机制，深入开展农资打假等专项行动，切实增强了农业行政执法工作力度。</w:t>
      </w:r>
    </w:p>
    <w:p>
      <w:pPr>
        <w:spacing w:before="0"/>
        <w:ind w:firstLine="643"/>
        <w:rPr>
          <w:rFonts w:hint="eastAsia"/>
        </w:rPr>
        <w:sectPr>
          <w:footerReference r:id="rId5" w:type="default"/>
          <w:pgSz w:w="11906" w:h="16838"/>
          <w:pgMar w:top="2098" w:right="1531" w:bottom="1984" w:left="1587" w:header="284" w:footer="850" w:gutter="0"/>
          <w:pgNumType w:fmt="numberInDash" w:start="1"/>
          <w:cols w:space="720" w:num="1"/>
          <w:docGrid w:type="lines" w:linePitch="439" w:charSpace="0"/>
        </w:sectPr>
      </w:pPr>
      <w:r>
        <w:rPr>
          <w:rFonts w:hint="eastAsia" w:ascii="楷体_GB2312" w:eastAsia="楷体_GB2312"/>
          <w:b/>
        </w:rPr>
        <w:t>着力促进功能拓展，竞争能力持续提升。</w:t>
      </w:r>
      <w:r>
        <w:rPr>
          <w:rFonts w:hint="eastAsia"/>
        </w:rPr>
        <w:t>“十二五”时期，全区着力提升了农业展示功能、流通服务功能、观光休闲功能、会展带动功能。以农业产业、农村土地为资源，突出节水、安全、生态，引进和提升了一批高产出、高质量、高效益、高科技的现代农业园区，建设具有一定规模的都市型现代农业园区120个</w:t>
      </w:r>
      <w:r>
        <w:rPr>
          <w:rFonts w:hint="eastAsia"/>
          <w:color w:val="000000"/>
        </w:rPr>
        <w:t>，供应首都“菜篮子”能力进一步提升。以中高端消费市场为目标，减少农产品流通环节，探索科学整合商业、物流、信息、农民专业合作组织等农产品流通资源，创新建立了“一会一社一中心”营销模式，并积极开发农超、农社、农企、农宅等直销渠道，农民专业合作社年销售收入增长222%，农业组织化程度进一步提升。以现代农业园区、都市型现代农业产业带、新型社区为载体，突出农耕文化、民俗旅游，拓展了郊野游览、乡村度假、美食品尝、农事体验、文化娱乐等观光农业内容，民俗旅游收入年均增长6.5%，产</w:t>
      </w:r>
      <w:r>
        <w:rPr>
          <w:rFonts w:hint="eastAsia"/>
        </w:rPr>
        <w:t>业融合度进一步提升。以资源整合、品牌推广为依托，突出区域形象、竞争合力，成</w:t>
      </w:r>
    </w:p>
    <w:p>
      <w:pPr>
        <w:spacing w:before="0"/>
        <w:ind w:firstLine="0" w:firstLineChars="0"/>
        <w:rPr>
          <w:rFonts w:hint="eastAsia"/>
        </w:rPr>
      </w:pPr>
      <w:r>
        <w:rPr>
          <w:rFonts w:hint="eastAsia"/>
        </w:rPr>
        <w:t>功争取了2016年世界月季洲际大会的举办权，实施了环境综合改造提升工程，建设了场馆，完善了道路等基础设施，扩大了月季生产基地规模，月季主题园、月季品种园、月季文化园已经形成接待能力，“大兴农业”走向国际舞台的能力进一步提升。</w:t>
      </w:r>
    </w:p>
    <w:p>
      <w:pPr>
        <w:spacing w:before="0"/>
        <w:ind w:firstLine="643"/>
        <w:rPr>
          <w:rFonts w:hint="eastAsia"/>
        </w:rPr>
      </w:pPr>
      <w:r>
        <w:rPr>
          <w:rFonts w:hint="eastAsia" w:ascii="楷体_GB2312" w:eastAsia="楷体_GB2312"/>
          <w:b/>
        </w:rPr>
        <w:t>着力促进环境提升，乡村生态明显改善。</w:t>
      </w:r>
      <w:r>
        <w:rPr>
          <w:rFonts w:hint="eastAsia"/>
        </w:rPr>
        <w:t>“十二五”时期，全区深入推进农业生态保护与农村环境建设。从水、土、气入手，实施了污水处理厂建设、河道治理、沟渠清淤等工程，实施了土壤肥力提升、北运河流域粪污治理、沼渣沼液综合利用等工程，应用保护性耕作、玉米秸秆粉碎还田等农机新技术累计达</w:t>
      </w:r>
      <w:r>
        <w:t>200</w:t>
      </w:r>
      <w:r>
        <w:rPr>
          <w:rFonts w:hint="eastAsia"/>
        </w:rPr>
        <w:t>余万亩，有效控制了农业点源及面源污染；实施了“减煤换煤、清洁空气”行动，通过煤改电、煤改气，推广使用太阳能、地源热泵等技术，减煤换煤30万吨</w:t>
      </w:r>
      <w:r>
        <w:rPr>
          <w:rFonts w:hint="eastAsia" w:hAnsi="Arial" w:cs="Arial"/>
        </w:rPr>
        <w:t>，农村地区用能结构和空气质量得到了改善；完成平原地区百万亩造林工程20.1万亩，</w:t>
      </w:r>
      <w:r>
        <w:rPr>
          <w:rFonts w:hint="eastAsia" w:hAnsi="宋体"/>
        </w:rPr>
        <w:t>林木绿化率由25.5%提高到28%，</w:t>
      </w:r>
      <w:r>
        <w:rPr>
          <w:rFonts w:hint="eastAsia" w:hAnsi="Arial" w:cs="Arial"/>
        </w:rPr>
        <w:t>营造了大面积、多树种、大色块、多功能的森林生态体系，打了一场提升空气质量攻坚战。</w:t>
      </w:r>
      <w:r>
        <w:rPr>
          <w:rFonts w:hint="eastAsia"/>
        </w:rPr>
        <w:t>从资源利用、景观建设入手，农业节水灌溉面积比例达到</w:t>
      </w:r>
      <w:r>
        <w:t>9</w:t>
      </w:r>
      <w:r>
        <w:rPr>
          <w:rFonts w:hint="eastAsia"/>
        </w:rPr>
        <w:t>5</w:t>
      </w:r>
      <w:r>
        <w:t>%</w:t>
      </w:r>
      <w:r>
        <w:rPr>
          <w:rFonts w:hint="eastAsia"/>
        </w:rPr>
        <w:t>，再生水利用率达85%以上，实施了实施了河道、坑塘、社区、农村雨洪利用工程，通过节水、用水、蓄水，地下水超采趋势得到遏制；因地制宜建设了生态公园、湿地公园、郊野公园等，人均公园绿地面积提高到13.36平方米，营造了花园式的滨水娱乐休闲空间。从宜居宜业入手，实施“一事一议”项目161个，提升了村庄环境；积极推动绿化美化园林小城镇、首都绿色村庄、花园式社区和花园式单位建设，启动了</w:t>
      </w:r>
      <w:r>
        <w:t>126</w:t>
      </w:r>
      <w:r>
        <w:rPr>
          <w:rFonts w:hint="eastAsia"/>
        </w:rPr>
        <w:t>个村庄美丽乡村建设，建设“北京最美乡村”8个，推进了4个新型农村社区试点建设，呈现出农民安居乐业的农村景象。</w:t>
      </w:r>
    </w:p>
    <w:p>
      <w:pPr>
        <w:spacing w:before="0"/>
        <w:ind w:firstLine="643"/>
        <w:rPr>
          <w:rFonts w:hint="eastAsia"/>
        </w:rPr>
      </w:pPr>
      <w:r>
        <w:rPr>
          <w:rFonts w:hint="eastAsia" w:ascii="楷体_GB2312" w:eastAsia="楷体_GB2312"/>
          <w:b/>
        </w:rPr>
        <w:t>着力促进改革深化，农村发展更具活力。</w:t>
      </w:r>
      <w:r>
        <w:rPr>
          <w:rFonts w:hint="eastAsia"/>
        </w:rPr>
        <w:t>“十二五”时期，全区以推进新型城镇化建设为重点，坚持以改革为根本动力，激发农村经济社会活力。</w:t>
      </w:r>
      <w:r>
        <w:t>创造了</w:t>
      </w:r>
      <w:r>
        <w:rPr>
          <w:rFonts w:hint="eastAsia"/>
        </w:rPr>
        <w:t>“镇级统筹、房地分离”的农村</w:t>
      </w:r>
      <w:r>
        <w:t>集体建设用地</w:t>
      </w:r>
      <w:r>
        <w:rPr>
          <w:rFonts w:hint="eastAsia"/>
        </w:rPr>
        <w:t>利用</w:t>
      </w:r>
      <w:r>
        <w:t>新模式</w:t>
      </w:r>
      <w:r>
        <w:rPr>
          <w:rFonts w:hint="eastAsia"/>
        </w:rPr>
        <w:t>，成为全国首批农村集体经营性建设用地入市试点；完成了农村土地承包经营权确权登记颁证试点工作并开始全面推进。深化农村“三资”管理，在全市率先、全面开展农村经济合同清理，共清理合同</w:t>
      </w:r>
      <w:r>
        <w:rPr>
          <w:rFonts w:hint="eastAsia" w:hAnsi="宋体"/>
        </w:rPr>
        <w:t>17063</w:t>
      </w:r>
      <w:r>
        <w:rPr>
          <w:rFonts w:hint="eastAsia"/>
        </w:rPr>
        <w:t>份；完善建立了农村集体土地征收收入管理、农村土地承包经营权流转管理、镇级经济事项管理、村级财务管理制度，有效规范了农村经济行为。开展了全国赋予农民股份权能改革试点，正在落实</w:t>
      </w:r>
      <w:r>
        <w:t>赋予农民对集体资产股份占有、收益、有偿退出及抵押、担保、继承权的</w:t>
      </w:r>
      <w:r>
        <w:rPr>
          <w:rFonts w:hint="eastAsia"/>
        </w:rPr>
        <w:t>各项</w:t>
      </w:r>
      <w:r>
        <w:t>改革任务</w:t>
      </w:r>
      <w:r>
        <w:rPr>
          <w:rFonts w:hint="eastAsia"/>
        </w:rPr>
        <w:t>；充分利用北京市农村产权交易平台交易项目73个，涉及金额10.9亿元，实现了集体资产市场价值的再发现。深化农村金融改革，全面落实了第一批全国农村金融改革试验区各项改革任务，在北京市率先成立了社区型农村金融互助合作社，建立了农民专业合作社信用评价体系，创新推出了“流转贷”“租益贷”等特色金融产品，建立了财政资金放大、银行帮助筛选都市型现代农业项目融资机制，有效增强了农业投入力度。</w:t>
      </w:r>
    </w:p>
    <w:p>
      <w:pPr>
        <w:ind w:firstLine="643"/>
        <w:rPr>
          <w:rFonts w:hint="eastAsia"/>
        </w:rPr>
      </w:pPr>
      <w:r>
        <w:rPr>
          <w:rFonts w:hint="eastAsia" w:ascii="楷体_GB2312" w:eastAsia="楷体_GB2312"/>
          <w:b/>
        </w:rPr>
        <w:t>着力促进生活改变，农民收入大幅增加。</w:t>
      </w:r>
      <w:r>
        <w:rPr>
          <w:rFonts w:hint="eastAsia"/>
        </w:rPr>
        <w:t>“十二五”时期，全区以农民增收为主线，积极构建以工促农、以城带乡长效机制。落实党在农村的各项政策，农村公益事业金平均增长50%，新增村党组织服务群众经费每村平均15万元；新农合、农村低保、农村养老补贴水平全面提高，劳动力就业补贴增加，劳动力最低工资标准逐年增长。持续推动农村劳动力向二三产业转移，实施了10万人次新型农民综合素质提升工程，开展了新型职业农民培育试点区建设；扩大休闲农业、民俗旅游、平原造林等绿色就业机会，积极开发社区管理等农村公益事业岗位，农民工资性收入大幅提升。不断拓宽集体资产经营渠道，</w:t>
      </w:r>
      <w:r>
        <w:rPr>
          <w:rFonts w:hint="eastAsia" w:hAnsi="仿宋_GB2312" w:cs="仿宋_GB2312"/>
        </w:rPr>
        <w:t>创新开展集中理财、留地安置、购买底商、产业经营、联村入股、管理挖潜等集体资产经营模式，</w:t>
      </w:r>
      <w:r>
        <w:rPr>
          <w:rFonts w:hint="eastAsia"/>
        </w:rPr>
        <w:t>五年来，全区共计276个农村集体经济组织实现收益分红，累计个人股东分红总额达45.48亿元。积极推动土地流转起来，增加拆迁村土地流转政策补贴力度，通过平原造林、园区建设、特色产业发展，全区土地流转面积35.4万亩，占确权农地的61.3%，土地租金收入大幅度增长。通过政策倾斜、产业发展、环境提升、对接帮扶、班子建设等措施，全面促进低收入群体增收致富。农民人均纯收入年均增幅达到10.6%，明显高于全区城市居民收入增幅，城乡居民生活差距进一步缩小。</w:t>
      </w:r>
    </w:p>
    <w:bookmarkEnd w:id="2"/>
    <w:bookmarkEnd w:id="3"/>
    <w:p>
      <w:pPr>
        <w:pStyle w:val="3"/>
        <w:spacing w:before="219" w:after="219"/>
        <w:rPr>
          <w:rFonts w:hint="eastAsia"/>
        </w:rPr>
      </w:pPr>
      <w:bookmarkStart w:id="4" w:name="_Toc7258"/>
      <w:bookmarkStart w:id="5" w:name="_Toc432717999"/>
      <w:bookmarkStart w:id="6" w:name="_Toc418699557"/>
      <w:r>
        <w:rPr>
          <w:rFonts w:hint="eastAsia"/>
        </w:rPr>
        <w:t>（二）“十三五”时期农业发展面临的机遇</w:t>
      </w:r>
      <w:bookmarkEnd w:id="4"/>
      <w:bookmarkEnd w:id="5"/>
      <w:bookmarkEnd w:id="6"/>
    </w:p>
    <w:p>
      <w:pPr>
        <w:ind w:firstLine="643"/>
        <w:rPr>
          <w:rFonts w:hint="eastAsia"/>
        </w:rPr>
      </w:pPr>
      <w:r>
        <w:rPr>
          <w:rFonts w:hint="eastAsia"/>
          <w:b/>
        </w:rPr>
        <w:t>全面建成小康社会总目标的提出，将为全区农业提供更多的政策支撑。</w:t>
      </w:r>
      <w:r>
        <w:rPr>
          <w:rFonts w:hint="eastAsia"/>
        </w:rPr>
        <w:t>农村小康是全面建成小康社会最艰巨最繁重的任务，为使发展成果更多更公平地惠及全体人民，国家强农惠农的政策力度势必不断加大；同时，随着市场配置资源力度进一步强化，社会资本不断向农业领域渗透，农业的发展潜力将得到进一步释放，全区在促进城乡统筹、深化农村改革、增加农民收入等方面将获得更多、更快、更好的发展机遇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京津冀协同发展战略的落实，将为全区农业拓展更多的发展空间。</w:t>
      </w:r>
      <w:r>
        <w:rPr>
          <w:rFonts w:hint="eastAsia"/>
        </w:rPr>
        <w:t>京津冀农业协同发展，有利于更好地满足京津冀城市建设的生态宜居需求，有利于更好地开发利用周边农业的资源环境，实现区域农业的优势互补、良性互动、共赢发展。全区可以充分发挥农业科技、农业品牌、农产品流通、农业信息化等多方面优势，在京津冀协同发展中，占据制高点，发挥先导、引领和带动作用，打造互联互通、深度融合、协同发展的农业发展体系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北京市“四个中心”功能定位的确定，将为全区农业创造更多的发展机会。</w:t>
      </w:r>
      <w:r>
        <w:rPr>
          <w:rFonts w:hint="eastAsia"/>
        </w:rPr>
        <w:t>落实北京市“四个中心”的战略定位，离不开安全产品供应、农耕文化传承、农业国际交流、农业科技创新等多种服务；构建“高精尖”经济结构、疏解首都非核心功能，需要发挥农业在稳定农村社会、服务市民生活、涵养城市生态等方面的重要作用；建设“国际一流的和谐宜居之都”，更需要进一步提升农业的生产、生活、生态和示范功能，农业在首都未来发展建设中大有可为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北京市国家现代农业示范区的创建，将为全区农业开辟更多的发展途径。</w:t>
      </w:r>
      <w:r>
        <w:rPr>
          <w:rFonts w:hint="eastAsia"/>
        </w:rPr>
        <w:t>北京市提出“十三五”期间农业的多功能广泛拓展，农业发展方式有效转变，农村三次产业实现深度融合，探索一条集高科技、高辐射、高效益、集约节约、生态环保于一体的都市型现代农业发展道路。作为北京市发展都市型现代农业的排头兵，借势优化产业结构、拓展农业功能、完善营销体系、引进高端项目、提升农业效益，推动全区农业向更高水平迈进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大兴新区新建设、新改革的实施，将为全区农业注入更多的发展能量。</w:t>
      </w:r>
      <w:r>
        <w:rPr>
          <w:rFonts w:hint="eastAsia"/>
        </w:rPr>
        <w:t>北京大兴国际机场建设、开发区创新发展、城乡结合部改造、农村集体土地制度改革试点的推进、农村金融改革试点的深化、世界月季洲际大会的举办，将带来政策的倾斜、规划的统筹、人才的支撑、资金的支持，全区农业建设可充分利用这一有利时机，加快向高端、高效、高辐射迈进，推动农业现代化与新型城镇化、工业化和信息化的深度融合、协调发展。</w:t>
      </w:r>
    </w:p>
    <w:p>
      <w:pPr>
        <w:pStyle w:val="3"/>
        <w:spacing w:before="219" w:after="219"/>
        <w:rPr>
          <w:rFonts w:hint="eastAsia"/>
        </w:rPr>
      </w:pPr>
      <w:bookmarkStart w:id="7" w:name="_Toc418699558"/>
      <w:bookmarkStart w:id="8" w:name="_Toc12242"/>
      <w:bookmarkStart w:id="9" w:name="_Toc432718000"/>
      <w:r>
        <w:rPr>
          <w:rFonts w:hint="eastAsia"/>
        </w:rPr>
        <w:t>（三）</w:t>
      </w:r>
      <w:bookmarkEnd w:id="7"/>
      <w:r>
        <w:rPr>
          <w:rFonts w:hint="eastAsia"/>
        </w:rPr>
        <w:t>“十三五”时期农业发展面对的挑战</w:t>
      </w:r>
      <w:bookmarkEnd w:id="8"/>
      <w:bookmarkEnd w:id="9"/>
    </w:p>
    <w:p>
      <w:pPr>
        <w:ind w:firstLine="643"/>
        <w:rPr>
          <w:rFonts w:hint="eastAsia"/>
        </w:rPr>
      </w:pPr>
      <w:r>
        <w:rPr>
          <w:rFonts w:hint="eastAsia"/>
          <w:b/>
        </w:rPr>
        <w:t>一是农民增收城乡平衡性难度较大。</w:t>
      </w:r>
      <w:r>
        <w:rPr>
          <w:rFonts w:hint="eastAsia"/>
        </w:rPr>
        <w:t>“十三五”时期，按照北京</w:t>
      </w:r>
      <w:r>
        <w:t>有序疏解非首都功能和非优势产业</w:t>
      </w:r>
      <w:r>
        <w:rPr>
          <w:rFonts w:hint="eastAsia"/>
        </w:rPr>
        <w:t>的总体部署，在我区传统资源性产业退出、高精尖产业培育过程中，农村劳动力就业空间缩小。南部地区集体经济发展薄弱，经营性资产比重小，增长空间有限。全区农村还有一定规模的文化程度低、劳动技能弱、人口年龄大的低收入群体，“造血”内生动力不足。促进农民增收是解决“三农”问题的核心，需要进一步拓宽增收渠道、培育新的增长点、建立农民增收长效机制，最快速度缩小城乡收入差距。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二是产业提升资源约束性问题突出。</w:t>
      </w:r>
      <w:r>
        <w:rPr>
          <w:rFonts w:hint="eastAsia"/>
        </w:rPr>
        <w:t>“十三五”时期，全区农业面临着可耕地不断减少、水资源日趋紧缺、环保更加严格等多种刚性因素的制约，农业的结构性矛盾也在积累聚集。尤其是北京市委、市政府</w:t>
      </w:r>
      <w:r>
        <w:rPr>
          <w:rFonts w:hint="eastAsia" w:hAnsi="宋体"/>
        </w:rPr>
        <w:t>明确提出</w:t>
      </w:r>
      <w:r>
        <w:rPr>
          <w:rFonts w:hAnsi="宋体"/>
        </w:rPr>
        <w:t>农业</w:t>
      </w:r>
      <w:r>
        <w:rPr>
          <w:rFonts w:hint="eastAsia" w:hAnsi="宋体"/>
        </w:rPr>
        <w:t>“量水发展”的基本原则，</w:t>
      </w:r>
      <w:r>
        <w:rPr>
          <w:rFonts w:hint="eastAsia"/>
        </w:rPr>
        <w:t xml:space="preserve">必然对全区农业发展产生重大影响。农业必须主动应对资源与环境的约束，调整产业结构，转变增长方式。 </w:t>
      </w:r>
    </w:p>
    <w:p>
      <w:pPr>
        <w:ind w:firstLine="643"/>
        <w:rPr>
          <w:rFonts w:hint="eastAsia"/>
        </w:rPr>
      </w:pPr>
      <w:r>
        <w:rPr>
          <w:rFonts w:hint="eastAsia"/>
          <w:b/>
        </w:rPr>
        <w:t>三是要素投入增长持续性动力不足。</w:t>
      </w:r>
      <w:r>
        <w:rPr>
          <w:rFonts w:hint="eastAsia"/>
        </w:rPr>
        <w:t>农村青壮年劳力大量转移，农业从业人员素质亟待提高，使加快培育农业实用人才和新型生产经营主体的任务更加艰巨；农业投资回报期长、自然风险大，对社会资本、金融资本吸引力有限。农业应从要素投入驱动转向创新驱动，不断提高土地产出率、资源利用率、劳动生产率，实现集约、可持续发展。</w:t>
      </w:r>
    </w:p>
    <w:p>
      <w:r>
        <w:rPr>
          <w:rFonts w:hint="eastAsia"/>
          <w:b/>
        </w:rPr>
        <w:t>四是城乡统筹改革综合性任务艰巨。</w:t>
      </w:r>
      <w:r>
        <w:rPr>
          <w:rFonts w:hint="eastAsia"/>
        </w:rPr>
        <w:t xml:space="preserve">当前，新型工业化、信息化、城镇化、农业现代化持续推进，农村经济社会深刻变革，农村改革涉及的利益关系更加复杂、目标更加多元、影响因素更加多样。农村改革综合性强，靠单兵突进难以奏效。必须树立系统性思维，做好整体谋划和顶层设计，从全局上加强各项改革之间的衔接配套，最大限度释放改革的综合效应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56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ind w:firstLine="56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46CED"/>
    <w:multiLevelType w:val="multilevel"/>
    <w:tmpl w:val="76946CED"/>
    <w:lvl w:ilvl="0" w:tentative="0">
      <w:start w:val="1"/>
      <w:numFmt w:val="decimal"/>
      <w:suff w:val="nothing"/>
      <w:lvlText w:val="第%1章    "/>
      <w:lvlJc w:val="left"/>
      <w:pPr>
        <w:ind w:left="4803" w:hanging="3403"/>
      </w:pPr>
      <w:rPr>
        <w:rFonts w:hint="eastAsia"/>
        <w:lang w:val="en-US"/>
      </w:rPr>
    </w:lvl>
    <w:lvl w:ilvl="1" w:tentative="0">
      <w:start w:val="1"/>
      <w:numFmt w:val="decimal"/>
      <w:suff w:val="nothing"/>
      <w:lvlText w:val="%1.%2 "/>
      <w:lvlJc w:val="left"/>
      <w:pPr>
        <w:ind w:left="9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 "/>
      <w:lvlJc w:val="left"/>
      <w:pPr>
        <w:ind w:left="-2570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3" w:tentative="0">
      <w:start w:val="1"/>
      <w:numFmt w:val="decimal"/>
      <w:suff w:val="nothing"/>
      <w:lvlText w:val="%1.%2.%3.%4  "/>
      <w:lvlJc w:val="left"/>
      <w:pPr>
        <w:ind w:left="-2570" w:firstLine="0"/>
      </w:pPr>
      <w:rPr>
        <w:rFonts w:hint="eastAsia"/>
      </w:rPr>
    </w:lvl>
    <w:lvl w:ilvl="4" w:tentative="0">
      <w:start w:val="1"/>
      <w:numFmt w:val="decimal"/>
      <w:lvlRestart w:val="1"/>
      <w:suff w:val="nothing"/>
      <w:lvlText w:val="表%1-%5    "/>
      <w:lvlJc w:val="left"/>
      <w:pPr>
        <w:ind w:left="-1010" w:firstLine="0"/>
      </w:pPr>
      <w:rPr>
        <w:rFonts w:hint="eastAsia"/>
        <w:lang w:val="en-US"/>
      </w:rPr>
    </w:lvl>
    <w:lvl w:ilvl="5" w:tentative="0">
      <w:start w:val="1"/>
      <w:numFmt w:val="decimal"/>
      <w:lvlRestart w:val="1"/>
      <w:suff w:val="nothing"/>
      <w:lvlText w:val="图%1-%6    "/>
      <w:lvlJc w:val="left"/>
      <w:pPr>
        <w:ind w:left="-159" w:firstLine="0"/>
      </w:pPr>
      <w:rPr>
        <w:rFonts w:hint="eastAsia"/>
      </w:rPr>
    </w:lvl>
    <w:lvl w:ilvl="6" w:tentative="0">
      <w:start w:val="1"/>
      <w:numFmt w:val="decimal"/>
      <w:lvlRestart w:val="4"/>
      <w:suff w:val="nothing"/>
      <w:lvlText w:val="（%7）"/>
      <w:lvlJc w:val="left"/>
      <w:pPr>
        <w:ind w:left="-25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7" w:tentative="0">
      <w:start w:val="1"/>
      <w:numFmt w:val="decimal"/>
      <w:suff w:val="nothing"/>
      <w:lvlText w:val="%8）"/>
      <w:lvlJc w:val="left"/>
      <w:pPr>
        <w:ind w:left="-2570" w:firstLine="0"/>
      </w:pPr>
      <w:rPr>
        <w:rFonts w:hint="eastAsia"/>
      </w:rPr>
    </w:lvl>
    <w:lvl w:ilvl="8" w:tentative="0">
      <w:start w:val="1"/>
      <w:numFmt w:val="decimal"/>
      <w:suff w:val="nothing"/>
      <w:lvlText w:val="[%9] "/>
      <w:lvlJc w:val="left"/>
      <w:pPr>
        <w:ind w:left="-257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27913"/>
    <w:rsid w:val="62C2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3"/>
    <w:qFormat/>
    <w:uiPriority w:val="9"/>
    <w:pPr>
      <w:spacing w:before="381" w:beforeLines="100" w:after="381" w:afterLines="100"/>
      <w:ind w:firstLine="0" w:firstLineChars="0"/>
      <w:jc w:val="center"/>
      <w:outlineLvl w:val="0"/>
    </w:pPr>
    <w:rPr>
      <w:rFonts w:ascii="黑体" w:eastAsia="黑体"/>
      <w:b/>
    </w:rPr>
  </w:style>
  <w:style w:type="paragraph" w:styleId="3">
    <w:name w:val="heading 2"/>
    <w:basedOn w:val="1"/>
    <w:next w:val="4"/>
    <w:qFormat/>
    <w:uiPriority w:val="0"/>
    <w:pPr>
      <w:spacing w:before="190" w:beforeLines="50" w:after="190" w:afterLines="50"/>
      <w:ind w:firstLine="643"/>
      <w:outlineLvl w:val="1"/>
    </w:pPr>
    <w:rPr>
      <w:rFonts w:ascii="楷体_GB2312" w:eastAsia="楷体_GB2312"/>
      <w:b/>
    </w:rPr>
  </w:style>
  <w:style w:type="paragraph" w:styleId="4">
    <w:name w:val="heading 3"/>
    <w:basedOn w:val="1"/>
    <w:next w:val="1"/>
    <w:qFormat/>
    <w:uiPriority w:val="9"/>
    <w:pPr>
      <w:numPr>
        <w:ilvl w:val="2"/>
        <w:numId w:val="1"/>
      </w:numPr>
      <w:spacing w:before="156" w:beforeLines="50" w:after="0" w:line="360" w:lineRule="auto"/>
      <w:outlineLvl w:val="2"/>
    </w:pPr>
    <w:rPr>
      <w:rFonts w:ascii="Times New Roman" w:eastAsia="宋体"/>
      <w:b/>
      <w:bCs/>
      <w:kern w:val="44"/>
      <w:sz w:val="3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2021-12-20T03:01:00Z</dcterms:created>
  <dc:creator>อยู่ชายเล็ก</dc:creator>
  <cp:lastModifiedBy>อยู่ชายเล็ก</cp:lastModifiedBy>
  <dcterms:modified xsi:type="dcterms:W3CDTF">2021-12-20T03:01:22Z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4A925AA7A4D242EC93827D8EEED0D427</vt:lpwstr>
  </property>
</Properties>
</file>