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19" w:beforeLines="50" w:after="0" w:afterLines="0" w:line="360" w:lineRule="auto"/>
        <w:rPr>
          <w:rStyle w:val="7"/>
          <w:rFonts w:hint="eastAsia"/>
          <w:b/>
          <w:bCs/>
        </w:rPr>
      </w:pPr>
      <w:bookmarkStart w:id="5" w:name="_GoBack"/>
      <w:bookmarkStart w:id="0" w:name="_Toc4322"/>
      <w:r>
        <w:rPr>
          <w:rStyle w:val="7"/>
          <w:rFonts w:hint="eastAsia"/>
          <w:b/>
          <w:bCs/>
        </w:rPr>
        <w:t>四、积极引领新常态，加快构建共同富裕格局</w:t>
      </w:r>
      <w:bookmarkEnd w:id="0"/>
    </w:p>
    <w:bookmarkEnd w:id="5"/>
    <w:p>
      <w:pPr>
        <w:rPr>
          <w:rFonts w:hint="eastAsia"/>
        </w:rPr>
      </w:pPr>
      <w:r>
        <w:rPr>
          <w:rFonts w:hint="eastAsia"/>
        </w:rPr>
        <w:t>共同富裕是中国特色社会主义的根本原则，是全面建设小康社会的根本要求。新常态下，</w:t>
      </w:r>
      <w:r>
        <w:t>实现共同富裕,必须</w:t>
      </w:r>
      <w:r>
        <w:rPr>
          <w:rFonts w:hint="eastAsia"/>
        </w:rPr>
        <w:t>按照“稳中求快进、创新大发展”的要求，开发与救助相结合、政府主导与社会参与相结合、普惠政策与倾斜政策相结合，突出精准，打基础、聚力量、谋发展、促增收，加快缩小城乡收入差距，</w:t>
      </w:r>
      <w:r>
        <w:rPr>
          <w:rFonts w:hint="eastAsia" w:hAnsi="Century Gothic" w:cs="仿宋_GB2312"/>
        </w:rPr>
        <w:t>低收入农户人均可支配收入年均增幅高于全区农民平均水平，新一轮标准下的低收入村全部消除</w:t>
      </w:r>
      <w:r>
        <w:rPr>
          <w:rFonts w:hint="eastAsia"/>
        </w:rPr>
        <w:t>。</w:t>
      </w:r>
    </w:p>
    <w:p>
      <w:pPr>
        <w:pStyle w:val="3"/>
        <w:spacing w:before="219" w:after="219"/>
        <w:rPr>
          <w:rFonts w:hint="eastAsia"/>
        </w:rPr>
      </w:pPr>
      <w:bookmarkStart w:id="1" w:name="_Toc3903"/>
      <w:r>
        <w:rPr>
          <w:rFonts w:hint="eastAsia"/>
        </w:rPr>
        <w:t>（一）突出自主发展，推动持续增收</w:t>
      </w:r>
      <w:bookmarkEnd w:id="1"/>
    </w:p>
    <w:p>
      <w:pPr>
        <w:spacing w:before="219" w:beforeLines="50"/>
        <w:ind w:firstLine="643"/>
        <w:rPr>
          <w:rFonts w:hint="eastAsia"/>
        </w:rPr>
      </w:pPr>
      <w:r>
        <w:rPr>
          <w:rFonts w:hint="eastAsia"/>
          <w:b/>
        </w:rPr>
        <w:t>促进产业发展</w:t>
      </w:r>
      <w:r>
        <w:rPr>
          <w:rFonts w:hint="eastAsia"/>
        </w:rPr>
        <w:t>，外联、内建、转型，密切园区、合作组织对低收入村、户的带动增收联结机制，大力培育设施蔬菜、高效密植果园、林下经济等产业，推动特色民俗旅游业与观光休闲农业发展，加强低收入村产业发展规划指导工作，通过产业发展推动低收入农户经营能力的提升。</w:t>
      </w:r>
      <w:r>
        <w:rPr>
          <w:rFonts w:hint="eastAsia"/>
          <w:b/>
        </w:rPr>
        <w:t>积极拓宽就业渠道</w:t>
      </w:r>
      <w:r>
        <w:rPr>
          <w:rFonts w:hint="eastAsia"/>
        </w:rPr>
        <w:t>，重点推动平原造林、产业园区等绿色就业，提升合作组织、巧娘工作室、助残基地带动能力，开发或购买物业管理、村庄管护等公益性岗位，充分利用机场建设吸收就业，确保有能力、有需求的低收入农户充分就业。建立低收入农户的综合素质培养机制，加大劳动技能培训力度，通过加快转移推动低收入群体就业能力的提升。</w:t>
      </w:r>
      <w:r>
        <w:rPr>
          <w:rFonts w:hint="eastAsia"/>
          <w:b/>
        </w:rPr>
        <w:t>突出机场带动</w:t>
      </w:r>
      <w:r>
        <w:rPr>
          <w:rFonts w:hint="eastAsia"/>
        </w:rPr>
        <w:t>，借势提升基础设施水平、公共服务设施水平、生态环境，合理布局产业结构，保障农民长远利益，让低收入农户充分体会到机场建设带来的变化，通过机场建设推动经济薄弱地区综合能力的提升。</w:t>
      </w:r>
    </w:p>
    <w:p>
      <w:pPr>
        <w:pStyle w:val="3"/>
        <w:spacing w:before="219" w:after="219"/>
        <w:rPr>
          <w:rFonts w:hint="eastAsia"/>
        </w:rPr>
      </w:pPr>
      <w:bookmarkStart w:id="2" w:name="_Toc15208"/>
      <w:r>
        <w:rPr>
          <w:rFonts w:hint="eastAsia"/>
        </w:rPr>
        <w:t>（二）突出改革创新，激发发展活力</w:t>
      </w:r>
      <w:bookmarkEnd w:id="2"/>
    </w:p>
    <w:p>
      <w:pPr>
        <w:spacing w:before="219" w:beforeLines="50"/>
        <w:ind w:firstLine="643"/>
        <w:rPr>
          <w:rFonts w:hint="eastAsia" w:hAnsi="仿宋_GB2312" w:cs="仿宋_GB2312"/>
        </w:rPr>
      </w:pPr>
      <w:r>
        <w:rPr>
          <w:rFonts w:hint="eastAsia" w:hAnsi="宋体"/>
          <w:b/>
        </w:rPr>
        <w:t>积极促进土地流转</w:t>
      </w:r>
      <w:r>
        <w:rPr>
          <w:rFonts w:hint="eastAsia" w:hAnsi="宋体"/>
        </w:rPr>
        <w:t>，通过生态林建设、月季大会、机场建设等重大项目带动，充分利用北京市农村产权交易平台，积极引进社会资本发展高端高效农业园区，实现低收入村土地等资源的集约高效利用。</w:t>
      </w:r>
      <w:r>
        <w:rPr>
          <w:rFonts w:hint="eastAsia" w:hAnsi="宋体"/>
          <w:b/>
        </w:rPr>
        <w:t>积极加大金融支持</w:t>
      </w:r>
      <w:r>
        <w:rPr>
          <w:rFonts w:hint="eastAsia" w:hAnsi="宋体"/>
        </w:rPr>
        <w:t>，发挥贴息政策对放大政策资金、引导资源配置的作用，鼓励金融部门开发金融产品，创新金融支持机制，引导金融服务向低收入群体延伸；加大政策补贴力度，扩大覆盖范围，拓宽保险领域，不断提升低收入农户“三农”保险的保障水平和覆盖力度，增强低收入农户抵御自然风险的能力。</w:t>
      </w:r>
      <w:r>
        <w:rPr>
          <w:rFonts w:hint="eastAsia" w:hAnsi="宋体"/>
          <w:b/>
        </w:rPr>
        <w:t>积极探索创新机制</w:t>
      </w:r>
      <w:r>
        <w:rPr>
          <w:rFonts w:hint="eastAsia" w:hAnsi="宋体"/>
        </w:rPr>
        <w:t>，</w:t>
      </w:r>
      <w:r>
        <w:rPr>
          <w:rFonts w:hint="eastAsia" w:hAnsi="仿宋_GB2312" w:cs="仿宋_GB2312"/>
          <w:bCs/>
        </w:rPr>
        <w:t>推动异地购置物业支持低收入村发展试点，完善运营管理机制、收益保障机制、综合发展机制，</w:t>
      </w:r>
      <w:r>
        <w:rPr>
          <w:rFonts w:hint="eastAsia" w:hAnsi="仿宋_GB2312" w:cs="仿宋_GB2312"/>
        </w:rPr>
        <w:t>确保低收入村的长期稳定增收。</w:t>
      </w:r>
    </w:p>
    <w:p>
      <w:pPr>
        <w:pStyle w:val="3"/>
        <w:spacing w:before="219" w:after="219"/>
        <w:rPr>
          <w:rFonts w:hint="eastAsia"/>
        </w:rPr>
      </w:pPr>
      <w:bookmarkStart w:id="3" w:name="_Toc11299"/>
      <w:r>
        <w:rPr>
          <w:rFonts w:hint="eastAsia"/>
        </w:rPr>
        <w:t>（三）突出全员参与，强化综合保障</w:t>
      </w:r>
      <w:bookmarkEnd w:id="3"/>
    </w:p>
    <w:p>
      <w:pPr>
        <w:pStyle w:val="8"/>
        <w:widowControl w:val="0"/>
        <w:snapToGrid w:val="0"/>
        <w:spacing w:before="219" w:beforeLines="50" w:line="560" w:lineRule="exact"/>
        <w:ind w:firstLine="643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建立社会帮扶机制</w:t>
      </w:r>
      <w:r>
        <w:rPr>
          <w:rFonts w:hint="eastAsia" w:ascii="仿宋_GB2312" w:eastAsia="仿宋_GB2312"/>
          <w:bCs/>
          <w:sz w:val="32"/>
          <w:szCs w:val="32"/>
        </w:rPr>
        <w:t>，开展“百家单位联百村”城乡共建活动，推动政府机关及龙头企业、大专院校、民主党派、金融机构等社会力量参与对接工作，实现低收入村帮扶全覆盖；开展“千名干部助千户”城乡共建活动，开展一对一精准帮扶，建档立卡，实现低收入户帮扶全覆盖。</w:t>
      </w:r>
      <w:r>
        <w:rPr>
          <w:rFonts w:hint="eastAsia" w:ascii="仿宋_GB2312" w:eastAsia="仿宋_GB2312"/>
          <w:b/>
          <w:bCs/>
          <w:sz w:val="32"/>
          <w:szCs w:val="32"/>
        </w:rPr>
        <w:t>发挥镇级统筹作用</w:t>
      </w:r>
      <w:r>
        <w:rPr>
          <w:rFonts w:hint="eastAsia" w:ascii="仿宋_GB2312" w:eastAsia="仿宋_GB2312"/>
          <w:bCs/>
          <w:sz w:val="32"/>
          <w:szCs w:val="32"/>
        </w:rPr>
        <w:t>，引导富裕村带低收入村结对发展，实施无产业发展能力、无就业能力低收入农户托底保障政策。加强村级班子建设，通过引导能人回村、选举优秀带头人、选派第一书记、培养后备人才，增强低收入村干部队伍力量；加强对低收入村级干部的培训培养力度，提升发展意识和素质能力。</w:t>
      </w:r>
      <w:r>
        <w:rPr>
          <w:rFonts w:hint="eastAsia" w:ascii="仿宋_GB2312" w:eastAsia="仿宋_GB2312"/>
          <w:b/>
          <w:bCs/>
          <w:sz w:val="32"/>
          <w:szCs w:val="32"/>
        </w:rPr>
        <w:t>引导农户主动参与</w:t>
      </w:r>
      <w:r>
        <w:rPr>
          <w:rFonts w:hint="eastAsia" w:ascii="仿宋_GB2312" w:eastAsia="仿宋_GB2312"/>
          <w:bCs/>
          <w:sz w:val="32"/>
          <w:szCs w:val="32"/>
        </w:rPr>
        <w:t>，采取“农户申请、入户核查、民主评议、公示公告、分级审定”的程序确定低收入村、低收入户，安排农业科技入户项目向低收入农户家庭倾斜，鼓励合作组织、龙头企业对适合家庭生产的产品结对低收入农户，引导低收入农户参与新农村相关建设。</w:t>
      </w:r>
    </w:p>
    <w:p>
      <w:pPr>
        <w:pStyle w:val="3"/>
        <w:spacing w:before="219" w:after="219"/>
        <w:rPr>
          <w:rFonts w:hint="eastAsia"/>
        </w:rPr>
      </w:pPr>
      <w:bookmarkStart w:id="4" w:name="_Toc31103"/>
      <w:r>
        <w:rPr>
          <w:rFonts w:hint="eastAsia"/>
        </w:rPr>
        <w:t>（四）突出统筹高效，促进政策集成</w:t>
      </w:r>
      <w:bookmarkEnd w:id="4"/>
    </w:p>
    <w:p>
      <w:pPr>
        <w:rPr>
          <w:rFonts w:hint="eastAsia"/>
        </w:rPr>
      </w:pPr>
      <w:r>
        <w:rPr>
          <w:rFonts w:hint="eastAsia"/>
        </w:rPr>
        <w:t>明确工作方向，按照精准确户、精细管理、精确保障的要求，全面进行低收入村、低收入户调查摸底工作，强化部门职责，明确任务、措施、考核、绩效，出台具体实施意见。打好政策组合拳，村级公益事业一事一议财政奖补对低收入村实行全覆盖，新农村、最美乡村、平原造林建各类农村建设项目向低收入群体倾斜，促进就业的各类奖励、培训、补贴政策向低收入农户集中，对妇女儿童、低保、五保、老年人、残疾人的各项救助工作向低收入农户聚焦，形成促进低收入村、低收入户发展的综合政策落实体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946CED"/>
    <w:multiLevelType w:val="multilevel"/>
    <w:tmpl w:val="76946CED"/>
    <w:lvl w:ilvl="0" w:tentative="0">
      <w:start w:val="1"/>
      <w:numFmt w:val="decimal"/>
      <w:suff w:val="nothing"/>
      <w:lvlText w:val="第%1章    "/>
      <w:lvlJc w:val="left"/>
      <w:pPr>
        <w:ind w:left="4803" w:hanging="3403"/>
      </w:pPr>
      <w:rPr>
        <w:rFonts w:hint="eastAsia"/>
        <w:lang w:val="en-US"/>
      </w:rPr>
    </w:lvl>
    <w:lvl w:ilvl="1" w:tentative="0">
      <w:start w:val="1"/>
      <w:numFmt w:val="decimal"/>
      <w:suff w:val="nothing"/>
      <w:lvlText w:val="%1.%2 "/>
      <w:lvlJc w:val="left"/>
      <w:pPr>
        <w:ind w:left="9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1.%2.%3  "/>
      <w:lvlJc w:val="left"/>
      <w:pPr>
        <w:ind w:left="-2570" w:firstLine="0"/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val="en-US"/>
      </w:rPr>
    </w:lvl>
    <w:lvl w:ilvl="3" w:tentative="0">
      <w:start w:val="1"/>
      <w:numFmt w:val="decimal"/>
      <w:suff w:val="nothing"/>
      <w:lvlText w:val="%1.%2.%3.%4  "/>
      <w:lvlJc w:val="left"/>
      <w:pPr>
        <w:ind w:left="-2570" w:firstLine="0"/>
      </w:pPr>
      <w:rPr>
        <w:rFonts w:hint="eastAsia"/>
      </w:rPr>
    </w:lvl>
    <w:lvl w:ilvl="4" w:tentative="0">
      <w:start w:val="1"/>
      <w:numFmt w:val="decimal"/>
      <w:lvlRestart w:val="1"/>
      <w:suff w:val="nothing"/>
      <w:lvlText w:val="表%1-%5    "/>
      <w:lvlJc w:val="left"/>
      <w:pPr>
        <w:ind w:left="-1010" w:firstLine="0"/>
      </w:pPr>
      <w:rPr>
        <w:rFonts w:hint="eastAsia"/>
        <w:lang w:val="en-US"/>
      </w:rPr>
    </w:lvl>
    <w:lvl w:ilvl="5" w:tentative="0">
      <w:start w:val="1"/>
      <w:numFmt w:val="decimal"/>
      <w:lvlRestart w:val="1"/>
      <w:suff w:val="nothing"/>
      <w:lvlText w:val="图%1-%6    "/>
      <w:lvlJc w:val="left"/>
      <w:pPr>
        <w:ind w:left="-159" w:firstLine="0"/>
      </w:pPr>
      <w:rPr>
        <w:rFonts w:hint="eastAsia"/>
      </w:rPr>
    </w:lvl>
    <w:lvl w:ilvl="6" w:tentative="0">
      <w:start w:val="1"/>
      <w:numFmt w:val="decimal"/>
      <w:lvlRestart w:val="4"/>
      <w:suff w:val="nothing"/>
      <w:lvlText w:val="（%7）"/>
      <w:lvlJc w:val="left"/>
      <w:pPr>
        <w:ind w:left="-25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val="en-US"/>
      </w:rPr>
    </w:lvl>
    <w:lvl w:ilvl="7" w:tentative="0">
      <w:start w:val="1"/>
      <w:numFmt w:val="decimal"/>
      <w:suff w:val="nothing"/>
      <w:lvlText w:val="%8）"/>
      <w:lvlJc w:val="left"/>
      <w:pPr>
        <w:ind w:left="-2570" w:firstLine="0"/>
      </w:pPr>
      <w:rPr>
        <w:rFonts w:hint="eastAsia"/>
      </w:rPr>
    </w:lvl>
    <w:lvl w:ilvl="8" w:tentative="0">
      <w:start w:val="1"/>
      <w:numFmt w:val="decimal"/>
      <w:suff w:val="nothing"/>
      <w:lvlText w:val="[%9] "/>
      <w:lvlJc w:val="left"/>
      <w:pPr>
        <w:ind w:left="-257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441E7"/>
    <w:rsid w:val="29B4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before="120" w:line="560" w:lineRule="exact"/>
      <w:ind w:firstLine="640" w:firstLineChars="20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3"/>
    <w:link w:val="7"/>
    <w:qFormat/>
    <w:uiPriority w:val="9"/>
    <w:pPr>
      <w:spacing w:before="381" w:beforeLines="100" w:after="381" w:afterLines="100"/>
      <w:ind w:firstLine="0" w:firstLineChars="0"/>
      <w:jc w:val="center"/>
      <w:outlineLvl w:val="0"/>
    </w:pPr>
    <w:rPr>
      <w:rFonts w:ascii="黑体" w:eastAsia="黑体"/>
      <w:b/>
    </w:rPr>
  </w:style>
  <w:style w:type="paragraph" w:styleId="3">
    <w:name w:val="heading 2"/>
    <w:basedOn w:val="1"/>
    <w:next w:val="4"/>
    <w:qFormat/>
    <w:uiPriority w:val="0"/>
    <w:pPr>
      <w:spacing w:before="190" w:beforeLines="50" w:after="190" w:afterLines="50"/>
      <w:ind w:firstLine="643"/>
      <w:outlineLvl w:val="1"/>
    </w:pPr>
    <w:rPr>
      <w:rFonts w:ascii="楷体_GB2312" w:eastAsia="楷体_GB2312"/>
      <w:b/>
    </w:rPr>
  </w:style>
  <w:style w:type="paragraph" w:styleId="4">
    <w:name w:val="heading 3"/>
    <w:basedOn w:val="1"/>
    <w:next w:val="1"/>
    <w:qFormat/>
    <w:uiPriority w:val="9"/>
    <w:pPr>
      <w:numPr>
        <w:ilvl w:val="2"/>
        <w:numId w:val="1"/>
      </w:numPr>
      <w:spacing w:before="156" w:beforeLines="50" w:after="0" w:line="360" w:lineRule="auto"/>
      <w:outlineLvl w:val="2"/>
    </w:pPr>
    <w:rPr>
      <w:rFonts w:ascii="Times New Roman" w:eastAsia="宋体"/>
      <w:b/>
      <w:bCs/>
      <w:kern w:val="44"/>
      <w:sz w:val="3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link w:val="2"/>
    <w:qFormat/>
    <w:uiPriority w:val="9"/>
    <w:rPr>
      <w:rFonts w:ascii="黑体" w:eastAsia="黑体"/>
      <w:b/>
    </w:rPr>
  </w:style>
  <w:style w:type="paragraph" w:customStyle="1" w:styleId="8">
    <w:name w:val="p0"/>
    <w:basedOn w:val="1"/>
    <w:qFormat/>
    <w:uiPriority w:val="0"/>
    <w:pPr>
      <w:widowControl/>
      <w:adjustRightInd/>
      <w:snapToGrid/>
      <w:spacing w:before="0" w:line="240" w:lineRule="auto"/>
      <w:ind w:firstLine="0" w:firstLineChars="0"/>
    </w:pPr>
    <w:rPr>
      <w:rFonts w:ascii="Calibri" w:hAnsi="Calibri" w:eastAsia="宋体" w:cs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2021-12-20T03:03:00Z</dcterms:created>
  <dc:creator>อยู่ชายเล็ก</dc:creator>
  <cp:lastModifiedBy>อยู่ชายเล็ก</cp:lastModifiedBy>
  <dcterms:modified xsi:type="dcterms:W3CDTF">2021-12-20T03:03:45Z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389B8423F4934534A42E319CC7758DDC</vt:lpwstr>
  </property>
</Properties>
</file>