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9" w:after="439"/>
        <w:rPr>
          <w:rFonts w:hint="eastAsia"/>
        </w:rPr>
      </w:pPr>
      <w:bookmarkStart w:id="0" w:name="_Toc31793"/>
      <w:bookmarkStart w:id="5" w:name="_GoBack"/>
      <w:r>
        <w:rPr>
          <w:rFonts w:hint="eastAsia"/>
        </w:rPr>
        <w:t>六、创新赢取新优势，加快树立改革实践典范</w:t>
      </w:r>
      <w:bookmarkEnd w:id="0"/>
    </w:p>
    <w:bookmarkEnd w:id="5"/>
    <w:p>
      <w:pPr>
        <w:rPr>
          <w:rFonts w:hint="eastAsia"/>
        </w:rPr>
      </w:pPr>
      <w:r>
        <w:rPr>
          <w:rFonts w:hint="eastAsia"/>
        </w:rPr>
        <w:t>聚焦农村土地制度、农村集体产权制度、农村金融制度，先行先试，着力提高农村改革的系统性、整体性、协同性，努力破除制约现代农业发展的障碍和藩篱，最大限度释放改革的综合效应，不断增强农村发展活力和动力，再创农业农村发展新优势。</w:t>
      </w:r>
    </w:p>
    <w:p>
      <w:pPr>
        <w:pStyle w:val="3"/>
        <w:spacing w:before="219" w:after="219"/>
        <w:rPr>
          <w:rFonts w:hint="eastAsia"/>
        </w:rPr>
      </w:pPr>
      <w:bookmarkStart w:id="1" w:name="_Toc829"/>
      <w:bookmarkStart w:id="2" w:name="_Toc438906881"/>
      <w:r>
        <w:rPr>
          <w:rFonts w:hint="eastAsia"/>
        </w:rPr>
        <w:t>（一）深化农村土地改革</w:t>
      </w:r>
      <w:bookmarkEnd w:id="1"/>
    </w:p>
    <w:p>
      <w:pPr>
        <w:rPr>
          <w:rFonts w:hint="eastAsia"/>
        </w:rPr>
      </w:pPr>
      <w:r>
        <w:rPr>
          <w:rFonts w:hint="eastAsia"/>
        </w:rPr>
        <w:t>积极探索并深化确权农地、农村集体经营性建设用地、农村宅基地“三块地”改革。</w:t>
      </w:r>
      <w:r>
        <w:rPr>
          <w:rFonts w:hint="eastAsia"/>
          <w:b/>
          <w:bCs/>
        </w:rPr>
        <w:t>全面完成农村土地确权登记颁证工作，</w:t>
      </w:r>
      <w:r>
        <w:t>依法完善</w:t>
      </w:r>
      <w:r>
        <w:fldChar w:fldCharType="begin"/>
      </w:r>
      <w:r>
        <w:instrText xml:space="preserve"> HYPERLINK "http://baike.sogou.com/lemma/ShowInnerLink.htm?lemmaId=71312344&amp;ss_c=ssc.citiao.link" \t "_blank" </w:instrText>
      </w:r>
      <w:r>
        <w:fldChar w:fldCharType="separate"/>
      </w:r>
      <w:r>
        <w:t>农村土地承包合同</w:t>
      </w:r>
      <w:r>
        <w:fldChar w:fldCharType="end"/>
      </w:r>
      <w:r>
        <w:t>和</w:t>
      </w:r>
      <w:r>
        <w:fldChar w:fldCharType="begin"/>
      </w:r>
      <w:r>
        <w:instrText xml:space="preserve"> HYPERLINK "http://baike.sogou.com/lemma/ShowInnerLink.htm?lemmaId=8106914&amp;ss_c=ssc.citiao.link" \t "_blank" </w:instrText>
      </w:r>
      <w:r>
        <w:fldChar w:fldCharType="separate"/>
      </w:r>
      <w:r>
        <w:t>承包经营权</w:t>
      </w:r>
      <w:r>
        <w:fldChar w:fldCharType="end"/>
      </w:r>
      <w:r>
        <w:t>证，健全农村土地承包经营权</w:t>
      </w:r>
      <w:r>
        <w:fldChar w:fldCharType="begin"/>
      </w:r>
      <w:r>
        <w:instrText xml:space="preserve"> HYPERLINK "http://baike.sogou.com/lemma/ShowInnerLink.htm?lemmaId=7547056&amp;ss_c=ssc.citiao.link" \t "_blank" </w:instrText>
      </w:r>
      <w:r>
        <w:fldChar w:fldCharType="separate"/>
      </w:r>
      <w:r>
        <w:t>登记制度</w:t>
      </w:r>
      <w:r>
        <w:fldChar w:fldCharType="end"/>
      </w:r>
      <w:r>
        <w:t>，建立农村土地承包经营权登记颁证</w:t>
      </w:r>
      <w:r>
        <w:fldChar w:fldCharType="begin"/>
      </w:r>
      <w:r>
        <w:instrText xml:space="preserve"> HYPERLINK "http://baike.sogou.com/lemma/ShowInnerLink.htm?lemmaId=592087&amp;ss_c=ssc.citiao.link" \t "_blank" </w:instrText>
      </w:r>
      <w:r>
        <w:fldChar w:fldCharType="separate"/>
      </w:r>
      <w:r>
        <w:t>信息管理系统</w:t>
      </w:r>
      <w:r>
        <w:fldChar w:fldCharType="end"/>
      </w:r>
      <w:r>
        <w:t>，依法赋予农民更加充分而有保障的</w:t>
      </w:r>
      <w:r>
        <w:fldChar w:fldCharType="begin"/>
      </w:r>
      <w:r>
        <w:instrText xml:space="preserve"> HYPERLINK "http://baike.sogou.com/lemma/ShowInnerLink.htm?lemmaId=301857&amp;ss_c=ssc.citiao.link" \t "_blank" </w:instrText>
      </w:r>
      <w:r>
        <w:fldChar w:fldCharType="separate"/>
      </w:r>
      <w:r>
        <w:t>土地承包经营权</w:t>
      </w:r>
      <w:r>
        <w:fldChar w:fldCharType="end"/>
      </w:r>
      <w:r>
        <w:t>。</w:t>
      </w:r>
      <w:r>
        <w:rPr>
          <w:rFonts w:hint="eastAsia"/>
          <w:b/>
          <w:bCs/>
        </w:rPr>
        <w:t>积极开展农村土地承包经营权抵押贷款试点，</w:t>
      </w:r>
      <w:r>
        <w:rPr>
          <w:rFonts w:hint="eastAsia"/>
        </w:rPr>
        <w:t>支持以各种合法方式流转的农村承包土地的经营权用于抵押，明确贷款对象、贷款用途、产品设计、抵押价值评估、抵押物处置等规定，探索建立农村土地承包经营权抵押贷款风险缓释及补偿机制。</w:t>
      </w:r>
      <w:r>
        <w:rPr>
          <w:rFonts w:hint="eastAsia"/>
          <w:b/>
          <w:bCs/>
        </w:rPr>
        <w:t>大力推动农村土地适度规模流转，</w:t>
      </w:r>
      <w:r>
        <w:rPr>
          <w:rFonts w:hint="eastAsia"/>
        </w:rPr>
        <w:t>研究有效利用农村集体经营性建设用地促进农用地流转、提升都市型现代农业效益的机制，充分利用北京市农村产权交易平台，通过项目带动、工程带动、产业带动，促进农村土地适度规模、高效经营。</w:t>
      </w:r>
      <w:r>
        <w:rPr>
          <w:rFonts w:hint="eastAsia"/>
          <w:b/>
          <w:bCs/>
        </w:rPr>
        <w:t>强化农村土地流转规范化管理，</w:t>
      </w:r>
      <w:r>
        <w:rPr>
          <w:rFonts w:hint="eastAsia"/>
        </w:rPr>
        <w:t>完善、落实农业项目建设联审机制，建立工商资本租赁农地准入、监管和风险防范机制，规范土地流转合同，</w:t>
      </w:r>
      <w:r>
        <w:t>加强农村土地承包经营纠纷调解仲裁</w:t>
      </w:r>
      <w:r>
        <w:rPr>
          <w:rFonts w:hint="eastAsia"/>
        </w:rPr>
        <w:t>，</w:t>
      </w:r>
      <w:r>
        <w:t>促进农村</w:t>
      </w:r>
      <w:r>
        <w:rPr>
          <w:rFonts w:hint="eastAsia"/>
        </w:rPr>
        <w:t>土地有序、适度流转</w:t>
      </w:r>
      <w:r>
        <w:t>。</w:t>
      </w:r>
      <w:r>
        <w:rPr>
          <w:rFonts w:hint="eastAsia"/>
          <w:b/>
        </w:rPr>
        <w:t>探索宅基地改革，</w:t>
      </w:r>
      <w:r>
        <w:rPr>
          <w:rFonts w:hint="eastAsia"/>
        </w:rPr>
        <w:t>深入研究农村宅基地流转方式，</w:t>
      </w:r>
      <w:r>
        <w:t>增加农民财产性收入</w:t>
      </w:r>
      <w:r>
        <w:rPr>
          <w:rFonts w:hint="eastAsia"/>
        </w:rPr>
        <w:t>。</w:t>
      </w:r>
    </w:p>
    <w:p>
      <w:pPr>
        <w:pStyle w:val="3"/>
        <w:spacing w:before="219" w:after="219"/>
        <w:rPr>
          <w:rFonts w:hint="eastAsia"/>
        </w:rPr>
      </w:pPr>
      <w:bookmarkStart w:id="3" w:name="_Toc2638"/>
      <w:r>
        <w:rPr>
          <w:rFonts w:hint="eastAsia"/>
        </w:rPr>
        <w:t>（二）深化农村产权改革</w:t>
      </w:r>
      <w:bookmarkEnd w:id="2"/>
      <w:bookmarkEnd w:id="3"/>
    </w:p>
    <w:p>
      <w:pPr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提升农村集体经济产权制度改革成果</w:t>
      </w:r>
      <w:r>
        <w:rPr>
          <w:rFonts w:hint="eastAsia"/>
        </w:rPr>
        <w:t>，拓宽农村集体资产经营渠道，加大农村闲置资产盘活力度，因地制宜地盘活农村闲置房屋，有组织地利用农村闲置房屋发展农村休闲养老、民俗旅游、乡村酒店等多种新型业态形式；推广集中理财、购买底商、产业经营、联村入股等多种经营模式，进一步促进拆迁村集体资产经营。</w:t>
      </w:r>
      <w:r>
        <w:rPr>
          <w:rFonts w:hint="eastAsia"/>
          <w:b/>
        </w:rPr>
        <w:t>深化农村集体经济产权制度改革</w:t>
      </w:r>
      <w:r>
        <w:rPr>
          <w:rFonts w:hint="eastAsia"/>
        </w:rPr>
        <w:t>，开展赋予农民股份权能改革试点，完善农民对集体资产股份继承、抵押、担保权等制度；</w:t>
      </w:r>
      <w:r>
        <w:rPr>
          <w:rFonts w:hint="eastAsia" w:hAnsi="Calibri" w:cs="仿宋_GB2312"/>
          <w:color w:val="000000"/>
        </w:rPr>
        <w:t>采取公开、公正、公平的方式，实现集体资产股权内部转让，探索集体资产股权转让的适度市场化。</w:t>
      </w:r>
      <w:r>
        <w:rPr>
          <w:rFonts w:hint="eastAsia"/>
          <w:b/>
        </w:rPr>
        <w:t>加强农村“三资”规范化管理</w:t>
      </w:r>
      <w:r>
        <w:rPr>
          <w:rFonts w:hint="eastAsia"/>
        </w:rPr>
        <w:t>，全面</w:t>
      </w:r>
      <w:r>
        <w:rPr>
          <w:rFonts w:hint="eastAsia" w:hAnsi="Calibri" w:cs="仿宋_GB2312"/>
        </w:rPr>
        <w:t>完善账款章三托管、财务预决算、财务公开、重大事项民主决策等集体经济内部管理制度，全面落实加强村级财务管理、镇级经济事项管理、农村集体土地征收收入管理、农村土地承包经营权流转管理暂行规定，全面推进新型集体经济组织规范化建设。</w:t>
      </w:r>
    </w:p>
    <w:p>
      <w:pPr>
        <w:pStyle w:val="3"/>
        <w:spacing w:before="219" w:after="219"/>
        <w:rPr>
          <w:rFonts w:hint="eastAsia"/>
        </w:rPr>
      </w:pPr>
      <w:bookmarkStart w:id="4" w:name="_Toc22768"/>
      <w:r>
        <w:rPr>
          <w:rFonts w:hint="eastAsia"/>
        </w:rPr>
        <w:t>（三）深化农村金融改革</w:t>
      </w:r>
      <w:bookmarkEnd w:id="4"/>
    </w:p>
    <w:p>
      <w:pPr>
        <w:spacing w:before="219" w:beforeLines="50"/>
        <w:ind w:firstLine="643"/>
        <w:rPr>
          <w:rFonts w:hint="eastAsia" w:hAnsi="仿宋"/>
        </w:rPr>
      </w:pPr>
      <w:r>
        <w:rPr>
          <w:rFonts w:hint="eastAsia"/>
          <w:b/>
        </w:rPr>
        <w:t>继续推进农村金融改革试验区建设</w:t>
      </w:r>
      <w:r>
        <w:rPr>
          <w:rFonts w:hint="eastAsia"/>
        </w:rPr>
        <w:t>，加强农村金融政策支持体系建设，扩大贷款贴息、担保补贴范围，完善农村金融信用评价体系建设，</w:t>
      </w:r>
      <w:r>
        <w:t>构建政府</w:t>
      </w:r>
      <w:r>
        <w:rPr>
          <w:rFonts w:hint="eastAsia"/>
        </w:rPr>
        <w:t>引导</w:t>
      </w:r>
      <w:r>
        <w:t>农村金融发展的工作机制</w:t>
      </w:r>
      <w:r>
        <w:rPr>
          <w:rFonts w:hint="eastAsia"/>
        </w:rPr>
        <w:t>。</w:t>
      </w:r>
      <w:r>
        <w:rPr>
          <w:rFonts w:hint="eastAsia"/>
          <w:b/>
        </w:rPr>
        <w:t>鼓励金融机构创新“量体裁衣”式的金融贷款产品和服务</w:t>
      </w:r>
      <w:r>
        <w:rPr>
          <w:rFonts w:hint="eastAsia"/>
        </w:rPr>
        <w:t>，重点以新型经营主体为依托，以资源资产为纽带，提供“公司+农户”、“合作社+农户”等信用联合体的信贷产品，探索</w:t>
      </w:r>
      <w:r>
        <w:t>农</w:t>
      </w:r>
      <w:r>
        <w:rPr>
          <w:rFonts w:hint="eastAsia"/>
        </w:rPr>
        <w:t>村土地</w:t>
      </w:r>
      <w:r>
        <w:t>承包经营权、集体经济股份、担保权能的具体实现</w:t>
      </w:r>
      <w:r>
        <w:rPr>
          <w:rFonts w:hint="eastAsia"/>
        </w:rPr>
        <w:t>，构建金融资金支持“三农”发展的创新机制。</w:t>
      </w:r>
      <w:r>
        <w:rPr>
          <w:rFonts w:hint="eastAsia"/>
          <w:b/>
        </w:rPr>
        <w:t>发展新型农村合作金融组织</w:t>
      </w:r>
      <w:r>
        <w:rPr>
          <w:rFonts w:hint="eastAsia"/>
        </w:rPr>
        <w:t>，扩大农村合作金融试点范围，支持创建新型农村合作金融与养老、医疗等公益服务相结合的互利发展模式。</w:t>
      </w:r>
      <w:r>
        <w:rPr>
          <w:rFonts w:hint="eastAsia"/>
          <w:b/>
        </w:rPr>
        <w:t>深化</w:t>
      </w:r>
      <w:r>
        <w:rPr>
          <w:rFonts w:hint="eastAsia" w:hAnsi="仿宋"/>
          <w:b/>
        </w:rPr>
        <w:t>创新型“三农”保险示范区建设</w:t>
      </w:r>
      <w:r>
        <w:rPr>
          <w:rFonts w:hint="eastAsia" w:hAnsi="仿宋"/>
        </w:rPr>
        <w:t>，探索“三农”政策性保险、合作性保险和商业性保险有效结合的机制，不断拓展农业保险的广度和深度，开发符合新区农村经济社会发展需求的新型保险产品，构建示范区涉农风险一体化防范体系，基本实现农村地区各类涉农保险的全覆盖。</w:t>
      </w:r>
      <w:r>
        <w:rPr>
          <w:rFonts w:hint="eastAsia" w:hAnsi="仿宋"/>
          <w:b/>
        </w:rPr>
        <w:t>加强金融法制培训</w:t>
      </w:r>
      <w:r>
        <w:rPr>
          <w:rFonts w:hint="eastAsia" w:hAnsi="仿宋"/>
        </w:rPr>
        <w:t>，增强农民信用意识，为农村金融健康发展打好基础。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46CED"/>
    <w:multiLevelType w:val="multilevel"/>
    <w:tmpl w:val="76946CED"/>
    <w:lvl w:ilvl="0" w:tentative="0">
      <w:start w:val="1"/>
      <w:numFmt w:val="decimal"/>
      <w:suff w:val="nothing"/>
      <w:lvlText w:val="第%1章    "/>
      <w:lvlJc w:val="left"/>
      <w:pPr>
        <w:ind w:left="4803" w:hanging="3403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%1.%2 "/>
      <w:lvlJc w:val="left"/>
      <w:pPr>
        <w:ind w:left="9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-257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nothing"/>
      <w:lvlText w:val="%1.%2.%3.%4  "/>
      <w:lvlJc w:val="left"/>
      <w:pPr>
        <w:ind w:left="-2570" w:firstLine="0"/>
      </w:pPr>
      <w:rPr>
        <w:rFonts w:hint="eastAsia"/>
      </w:rPr>
    </w:lvl>
    <w:lvl w:ilvl="4" w:tentative="0">
      <w:start w:val="1"/>
      <w:numFmt w:val="decimal"/>
      <w:lvlRestart w:val="1"/>
      <w:suff w:val="nothing"/>
      <w:lvlText w:val="表%1-%5    "/>
      <w:lvlJc w:val="left"/>
      <w:pPr>
        <w:ind w:left="-1010" w:firstLine="0"/>
      </w:pPr>
      <w:rPr>
        <w:rFonts w:hint="eastAsia"/>
        <w:lang w:val="en-US"/>
      </w:rPr>
    </w:lvl>
    <w:lvl w:ilvl="5" w:tentative="0">
      <w:start w:val="1"/>
      <w:numFmt w:val="decimal"/>
      <w:lvlRestart w:val="1"/>
      <w:suff w:val="nothing"/>
      <w:lvlText w:val="图%1-%6    "/>
      <w:lvlJc w:val="left"/>
      <w:pPr>
        <w:ind w:left="-159" w:firstLine="0"/>
      </w:pPr>
      <w:rPr>
        <w:rFonts w:hint="eastAsia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-25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7" w:tentative="0">
      <w:start w:val="1"/>
      <w:numFmt w:val="decimal"/>
      <w:suff w:val="nothing"/>
      <w:lvlText w:val="%8）"/>
      <w:lvlJc w:val="left"/>
      <w:pPr>
        <w:ind w:left="-2570" w:firstLine="0"/>
      </w:pPr>
      <w:rPr>
        <w:rFonts w:hint="eastAsia"/>
      </w:rPr>
    </w:lvl>
    <w:lvl w:ilvl="8" w:tentative="0">
      <w:start w:val="1"/>
      <w:numFmt w:val="decimal"/>
      <w:suff w:val="nothing"/>
      <w:lvlText w:val="[%9] "/>
      <w:lvlJc w:val="left"/>
      <w:pPr>
        <w:ind w:left="-257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2C5E"/>
    <w:rsid w:val="6B79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spacing w:before="381" w:beforeLines="100" w:after="381" w:afterLines="100"/>
      <w:ind w:firstLine="0" w:firstLineChars="0"/>
      <w:jc w:val="center"/>
      <w:outlineLvl w:val="0"/>
    </w:pPr>
    <w:rPr>
      <w:rFonts w:ascii="黑体" w:eastAsia="黑体"/>
      <w:b/>
    </w:rPr>
  </w:style>
  <w:style w:type="paragraph" w:styleId="3">
    <w:name w:val="heading 2"/>
    <w:basedOn w:val="1"/>
    <w:next w:val="4"/>
    <w:qFormat/>
    <w:uiPriority w:val="0"/>
    <w:pPr>
      <w:spacing w:before="190" w:beforeLines="50" w:after="190" w:afterLines="50"/>
      <w:ind w:firstLine="643"/>
      <w:outlineLvl w:val="1"/>
    </w:pPr>
    <w:rPr>
      <w:rFonts w:ascii="楷体_GB2312" w:eastAsia="楷体_GB2312"/>
      <w:b/>
    </w:rPr>
  </w:style>
  <w:style w:type="paragraph" w:styleId="4">
    <w:name w:val="heading 3"/>
    <w:basedOn w:val="1"/>
    <w:next w:val="1"/>
    <w:qFormat/>
    <w:uiPriority w:val="9"/>
    <w:pPr>
      <w:numPr>
        <w:ilvl w:val="2"/>
        <w:numId w:val="1"/>
      </w:numPr>
      <w:spacing w:before="156" w:beforeLines="50" w:after="0" w:line="360" w:lineRule="auto"/>
      <w:outlineLvl w:val="2"/>
    </w:pPr>
    <w:rPr>
      <w:rFonts w:ascii="Times New Roman" w:eastAsia="宋体"/>
      <w:b/>
      <w:bCs/>
      <w:kern w:val="44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2021-12-20T03:04:00Z</dcterms:created>
  <dc:creator>อยู่ชายเล็ก</dc:creator>
  <cp:lastModifiedBy>อยู่ชายเล็ก</cp:lastModifiedBy>
  <dcterms:modified xsi:type="dcterms:W3CDTF">2021-12-20T03:04:35Z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C374618EF5D24F37A1B020C94C8D4238</vt:lpwstr>
  </property>
</Properties>
</file>