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439"/>
        <w:rPr>
          <w:rFonts w:hint="eastAsia"/>
        </w:rPr>
      </w:pPr>
      <w:bookmarkStart w:id="6" w:name="_GoBack"/>
      <w:bookmarkStart w:id="0" w:name="_Toc13840"/>
      <w:r>
        <w:rPr>
          <w:rFonts w:hint="eastAsia"/>
        </w:rPr>
        <w:t>九、大力建设宜居城，加快筑牢绿色生态屏障</w:t>
      </w:r>
      <w:bookmarkEnd w:id="0"/>
    </w:p>
    <w:bookmarkEnd w:id="6"/>
    <w:p>
      <w:pPr>
        <w:rPr>
          <w:rFonts w:hint="eastAsia"/>
        </w:rPr>
      </w:pPr>
      <w:bookmarkStart w:id="1" w:name="_Toc438906888"/>
      <w:bookmarkStart w:id="2" w:name="_Toc438906880"/>
      <w:r>
        <w:rPr>
          <w:rFonts w:hint="eastAsia"/>
        </w:rPr>
        <w:t>加强突出环境问题的集中治理，加快长效机制完善落实，致力打造农村“大景区”，确保新区天蓝、地绿、水净，使农村成为农民宜居的幸福家园、市民向往的休闲乐园、城市建设的绿色花园。</w:t>
      </w:r>
    </w:p>
    <w:p>
      <w:pPr>
        <w:pStyle w:val="3"/>
        <w:spacing w:before="219" w:after="219"/>
        <w:rPr>
          <w:rFonts w:hint="eastAsia"/>
        </w:rPr>
      </w:pPr>
      <w:bookmarkStart w:id="3" w:name="_Toc11429"/>
      <w:r>
        <w:rPr>
          <w:rFonts w:hint="eastAsia"/>
        </w:rPr>
        <w:t>（一）调整能源结构，提升空气质量</w:t>
      </w:r>
      <w:bookmarkEnd w:id="3"/>
    </w:p>
    <w:p>
      <w:pPr>
        <w:pStyle w:val="5"/>
        <w:spacing w:before="219" w:beforeLines="50" w:beforeAutospacing="0" w:after="0" w:afterAutospacing="0" w:line="560" w:lineRule="exact"/>
        <w:ind w:firstLine="739" w:firstLineChars="230"/>
        <w:jc w:val="both"/>
        <w:rPr>
          <w:rFonts w:hint="eastAsia" w:ascii="仿宋_GB2312" w:hAnsi="Times New Roman" w:cs="Times New Roman"/>
          <w:kern w:val="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因地制宜开发新能源和可再生能源，</w:t>
      </w:r>
      <w:r>
        <w:rPr>
          <w:rFonts w:hint="eastAsia" w:ascii="仿宋_GB2312" w:hAnsi="仿宋_GB2312" w:cs="仿宋_GB2312"/>
          <w:sz w:val="32"/>
          <w:szCs w:val="32"/>
        </w:rPr>
        <w:t>推广使用</w:t>
      </w: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HYPERLINK "http://baike.sogou.com/lemma/ShowInnerLink.htm?lemmaId=9958285" \t "_blank"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太阳能热水系统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HYPERLINK "http://baike.sogou.com/lemma/ShowInnerLink.htm?lemmaId=307757" \t "_blank"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地源热泵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HYPERLINK "http://baike.sogou.com/lemma/ShowInnerLink.htm?lemmaId=6530932" \t "_blank"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光伏建筑一体化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等</w:t>
      </w: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HYPERLINK "http://baike.sogou.com/lemma/ShowInnerLink.htm?lemmaId=3015753" \t "_blank"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节能降耗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技术，提高能源使用效率，从源头</w:t>
      </w:r>
      <w:r>
        <w:rPr>
          <w:rFonts w:hint="eastAsia" w:ascii="仿宋_GB2312" w:hAnsi="仿宋_GB2312" w:cs="仿宋_GB2312"/>
          <w:kern w:val="2"/>
          <w:sz w:val="32"/>
          <w:szCs w:val="32"/>
        </w:rPr>
        <w:t>上降低能源需求；在</w: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kern w:val="2"/>
          <w:sz w:val="32"/>
          <w:szCs w:val="32"/>
        </w:rPr>
        <w:instrText xml:space="preserve"> HYPERLINK "http://baike.sogou.com/lemma/ShowInnerLink.htm?lemmaId=70908" \t "_blank" </w:instrTex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kern w:val="2"/>
          <w:sz w:val="32"/>
          <w:szCs w:val="32"/>
        </w:rPr>
        <w:t>城乡结合部</w: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kern w:val="2"/>
          <w:sz w:val="32"/>
          <w:szCs w:val="32"/>
        </w:rPr>
        <w:t>和农村地区综合推广电力、热泵、太阳能等清洁能源采暖方式，在</w: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kern w:val="2"/>
          <w:sz w:val="32"/>
          <w:szCs w:val="32"/>
        </w:rPr>
        <w:instrText xml:space="preserve"> HYPERLINK "http://baike.sogou.com/lemma/ShowInnerLink.htm?lemmaId=73305900" \t "_blank" </w:instrTex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kern w:val="2"/>
          <w:sz w:val="32"/>
          <w:szCs w:val="32"/>
        </w:rPr>
        <w:t>新型农村社区</w: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kern w:val="2"/>
          <w:sz w:val="32"/>
          <w:szCs w:val="32"/>
        </w:rPr>
        <w:t>推行</w: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kern w:val="2"/>
          <w:sz w:val="32"/>
          <w:szCs w:val="32"/>
        </w:rPr>
        <w:instrText xml:space="preserve"> HYPERLINK "http://baike.sogou.com/lemma/ShowInnerLink.htm?lemmaId=7901089" \t "_blank" </w:instrTex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kern w:val="2"/>
          <w:sz w:val="32"/>
          <w:szCs w:val="32"/>
        </w:rPr>
        <w:t>集中供暖</w:t>
      </w:r>
      <w:r>
        <w:rPr>
          <w:rFonts w:hint="eastAsia" w:ascii="仿宋_GB2312" w:hAnsi="仿宋_GB2312" w:cs="仿宋_GB2312"/>
          <w:kern w:val="2"/>
          <w:sz w:val="32"/>
          <w:szCs w:val="32"/>
        </w:rPr>
        <w:fldChar w:fldCharType="end"/>
      </w:r>
      <w:r>
        <w:rPr>
          <w:rFonts w:ascii="仿宋_GB2312" w:hAnsi="Times New Roman" w:cs="Times New Roman"/>
          <w:kern w:val="2"/>
          <w:sz w:val="32"/>
          <w:szCs w:val="32"/>
        </w:rPr>
        <w:t>和新能源供暖</w:t>
      </w:r>
      <w:r>
        <w:rPr>
          <w:rFonts w:hint="eastAsia" w:ascii="仿宋_GB2312" w:hAnsi="Times New Roman" w:cs="Times New Roman"/>
          <w:kern w:val="2"/>
          <w:sz w:val="32"/>
          <w:szCs w:val="32"/>
        </w:rPr>
        <w:t>；全面落实</w:t>
      </w:r>
      <w:r>
        <w:rPr>
          <w:rFonts w:ascii="仿宋_GB2312" w:hAnsi="Times New Roman" w:cs="Times New Roman"/>
          <w:kern w:val="2"/>
          <w:sz w:val="32"/>
          <w:szCs w:val="32"/>
        </w:rPr>
        <w:t>农村峰谷电价优惠政策，推进农村电网扩容建设，提高</w:t>
      </w:r>
      <w:r>
        <w:rPr>
          <w:rFonts w:ascii="仿宋_GB2312" w:hAnsi="Times New Roman" w:cs="Times New Roman"/>
          <w:kern w:val="2"/>
          <w:sz w:val="32"/>
          <w:szCs w:val="32"/>
        </w:rPr>
        <w:fldChar w:fldCharType="begin"/>
      </w:r>
      <w:r>
        <w:rPr>
          <w:rFonts w:ascii="仿宋_GB2312" w:hAnsi="Times New Roman" w:cs="Times New Roman"/>
          <w:kern w:val="2"/>
          <w:sz w:val="32"/>
          <w:szCs w:val="32"/>
        </w:rPr>
        <w:instrText xml:space="preserve"> HYPERLINK "http://baike.sogou.com/lemma/ShowInnerLink.htm?lemmaId=365584" \t "_blank" </w:instrText>
      </w:r>
      <w:r>
        <w:rPr>
          <w:rFonts w:ascii="仿宋_GB2312" w:hAnsi="Times New Roman" w:cs="Times New Roman"/>
          <w:kern w:val="2"/>
          <w:sz w:val="32"/>
          <w:szCs w:val="32"/>
        </w:rPr>
        <w:fldChar w:fldCharType="separate"/>
      </w:r>
      <w:r>
        <w:rPr>
          <w:rFonts w:ascii="仿宋_GB2312" w:hAnsi="Times New Roman" w:cs="Times New Roman"/>
          <w:kern w:val="2"/>
          <w:sz w:val="32"/>
          <w:szCs w:val="32"/>
        </w:rPr>
        <w:t>电采暖</w:t>
      </w:r>
      <w:r>
        <w:rPr>
          <w:rFonts w:ascii="仿宋_GB2312" w:hAnsi="Times New Roman" w:cs="Times New Roman"/>
          <w:kern w:val="2"/>
          <w:sz w:val="32"/>
          <w:szCs w:val="32"/>
        </w:rPr>
        <w:fldChar w:fldCharType="end"/>
      </w:r>
      <w:r>
        <w:rPr>
          <w:rFonts w:ascii="仿宋_GB2312" w:hAnsi="Times New Roman" w:cs="Times New Roman"/>
          <w:kern w:val="2"/>
          <w:sz w:val="32"/>
          <w:szCs w:val="32"/>
        </w:rPr>
        <w:t>供电能力</w:t>
      </w:r>
      <w:r>
        <w:rPr>
          <w:rFonts w:hint="eastAsia" w:ascii="仿宋_GB2312" w:hAnsi="Times New Roman" w:cs="Times New Roman"/>
          <w:kern w:val="2"/>
          <w:sz w:val="32"/>
          <w:szCs w:val="32"/>
        </w:rPr>
        <w:t>，努力构建以电力和天然气为主、地热能和太阳能等为辅的清洁能源体系。</w:t>
      </w:r>
      <w:r>
        <w:rPr>
          <w:rFonts w:ascii="仿宋_GB2312" w:hAnsi="Times New Roman" w:cs="Times New Roman"/>
          <w:b/>
          <w:kern w:val="2"/>
          <w:sz w:val="32"/>
          <w:szCs w:val="32"/>
        </w:rPr>
        <w:t>推进企业生产用能清洁化</w:t>
      </w:r>
      <w:r>
        <w:rPr>
          <w:rFonts w:hint="eastAsia" w:ascii="仿宋_GB2312" w:hAnsi="Times New Roman" w:cs="Times New Roman"/>
          <w:kern w:val="2"/>
          <w:sz w:val="32"/>
          <w:szCs w:val="32"/>
        </w:rPr>
        <w:t>，</w:t>
      </w:r>
      <w:r>
        <w:rPr>
          <w:rFonts w:ascii="仿宋_GB2312" w:hAnsi="Times New Roman" w:cs="Times New Roman"/>
          <w:kern w:val="2"/>
          <w:sz w:val="32"/>
          <w:szCs w:val="32"/>
        </w:rPr>
        <w:t>通过污染企业关停退出和清洁能源改造等方式，基本实现企业生产用能清洁化</w:t>
      </w:r>
      <w:r>
        <w:rPr>
          <w:rFonts w:hint="eastAsia" w:ascii="仿宋_GB2312" w:hAnsi="Times New Roman" w:cs="Times New Roman"/>
          <w:kern w:val="2"/>
          <w:sz w:val="32"/>
          <w:szCs w:val="32"/>
        </w:rPr>
        <w:t>，</w:t>
      </w:r>
      <w:r>
        <w:rPr>
          <w:rFonts w:ascii="仿宋_GB2312" w:hAnsi="Times New Roman" w:cs="Times New Roman"/>
          <w:kern w:val="2"/>
          <w:sz w:val="32"/>
          <w:szCs w:val="32"/>
        </w:rPr>
        <w:t>加快实施工业企业</w:t>
      </w:r>
      <w:r>
        <w:rPr>
          <w:rFonts w:ascii="仿宋_GB2312" w:hAnsi="Times New Roman" w:cs="Times New Roman"/>
          <w:kern w:val="2"/>
          <w:sz w:val="32"/>
          <w:szCs w:val="32"/>
        </w:rPr>
        <w:fldChar w:fldCharType="begin"/>
      </w:r>
      <w:r>
        <w:rPr>
          <w:rFonts w:ascii="仿宋_GB2312" w:hAnsi="Times New Roman" w:cs="Times New Roman"/>
          <w:kern w:val="2"/>
          <w:sz w:val="32"/>
          <w:szCs w:val="32"/>
        </w:rPr>
        <w:instrText xml:space="preserve"> HYPERLINK "http://baike.sogou.com/lemma/ShowInnerLink.htm?lemmaId=7735551" \t "_blank" </w:instrText>
      </w:r>
      <w:r>
        <w:rPr>
          <w:rFonts w:ascii="仿宋_GB2312" w:hAnsi="Times New Roman" w:cs="Times New Roman"/>
          <w:kern w:val="2"/>
          <w:sz w:val="32"/>
          <w:szCs w:val="32"/>
        </w:rPr>
        <w:fldChar w:fldCharType="separate"/>
      </w:r>
      <w:r>
        <w:rPr>
          <w:rFonts w:ascii="仿宋_GB2312" w:hAnsi="Times New Roman" w:cs="Times New Roman"/>
          <w:kern w:val="2"/>
          <w:sz w:val="32"/>
          <w:szCs w:val="32"/>
        </w:rPr>
        <w:t>燃煤锅炉</w:t>
      </w:r>
      <w:r>
        <w:rPr>
          <w:rFonts w:ascii="仿宋_GB2312" w:hAnsi="Times New Roman" w:cs="Times New Roman"/>
          <w:kern w:val="2"/>
          <w:sz w:val="32"/>
          <w:szCs w:val="32"/>
        </w:rPr>
        <w:fldChar w:fldCharType="end"/>
      </w:r>
      <w:r>
        <w:rPr>
          <w:rFonts w:ascii="仿宋_GB2312" w:hAnsi="Times New Roman" w:cs="Times New Roman"/>
          <w:kern w:val="2"/>
          <w:sz w:val="32"/>
          <w:szCs w:val="32"/>
        </w:rPr>
        <w:t>、窑炉、自备电站等清洁能源替代步伐</w:t>
      </w:r>
      <w:r>
        <w:rPr>
          <w:rFonts w:hint="eastAsia" w:ascii="仿宋_GB2312" w:hAnsi="Times New Roman" w:cs="Times New Roman"/>
          <w:kern w:val="2"/>
          <w:sz w:val="32"/>
          <w:szCs w:val="32"/>
        </w:rPr>
        <w:t>。</w:t>
      </w:r>
      <w:r>
        <w:rPr>
          <w:rFonts w:hint="eastAsia" w:ascii="仿宋_GB2312" w:hAnsi="Times New Roman" w:cs="Times New Roman"/>
          <w:b/>
          <w:kern w:val="2"/>
          <w:sz w:val="32"/>
          <w:szCs w:val="32"/>
        </w:rPr>
        <w:t>继续</w:t>
      </w:r>
      <w:r>
        <w:rPr>
          <w:rFonts w:ascii="仿宋_GB2312" w:hAnsi="Times New Roman" w:cs="Times New Roman"/>
          <w:b/>
          <w:kern w:val="2"/>
          <w:sz w:val="32"/>
          <w:szCs w:val="32"/>
        </w:rPr>
        <w:t>推进城乡结合部和农村地区“减煤换煤”</w:t>
      </w:r>
      <w:r>
        <w:rPr>
          <w:rFonts w:hint="eastAsia" w:ascii="仿宋_GB2312" w:hAnsi="Times New Roman" w:cs="Times New Roman"/>
          <w:kern w:val="2"/>
          <w:sz w:val="32"/>
          <w:szCs w:val="32"/>
        </w:rPr>
        <w:t>，大力实施农村地区煤改电、煤改气工程，推动农业生产设施、农村公共设施、农村企事业单位使用清洁能源，促进农村地区炊事气化。加大换煤力度，控制</w:t>
      </w:r>
      <w:r>
        <w:rPr>
          <w:rFonts w:ascii="仿宋_GB2312" w:hAnsi="Times New Roman" w:cs="Times New Roman"/>
          <w:kern w:val="2"/>
          <w:sz w:val="32"/>
          <w:szCs w:val="32"/>
        </w:rPr>
        <w:t>燃煤总量。</w:t>
      </w:r>
      <w:r>
        <w:rPr>
          <w:rFonts w:ascii="仿宋_GB2312" w:hAnsi="Times New Roman" w:cs="Times New Roman"/>
          <w:b/>
          <w:kern w:val="2"/>
          <w:sz w:val="32"/>
          <w:szCs w:val="32"/>
        </w:rPr>
        <w:t>建立健全</w:t>
      </w:r>
      <w:r>
        <w:rPr>
          <w:rFonts w:ascii="仿宋_GB2312" w:hAnsi="Times New Roman" w:cs="Times New Roman"/>
          <w:b/>
          <w:kern w:val="2"/>
          <w:sz w:val="32"/>
          <w:szCs w:val="32"/>
        </w:rPr>
        <w:fldChar w:fldCharType="begin"/>
      </w:r>
      <w:r>
        <w:rPr>
          <w:rFonts w:ascii="仿宋_GB2312" w:hAnsi="Times New Roman" w:cs="Times New Roman"/>
          <w:b/>
          <w:kern w:val="2"/>
          <w:sz w:val="32"/>
          <w:szCs w:val="32"/>
        </w:rPr>
        <w:instrText xml:space="preserve"> HYPERLINK "http://baike.sogou.com/lemma/ShowInnerLink.htm?lemmaId=13527" \t "_blank" </w:instrText>
      </w:r>
      <w:r>
        <w:rPr>
          <w:rFonts w:ascii="仿宋_GB2312" w:hAnsi="Times New Roman" w:cs="Times New Roman"/>
          <w:b/>
          <w:kern w:val="2"/>
          <w:sz w:val="32"/>
          <w:szCs w:val="32"/>
        </w:rPr>
        <w:fldChar w:fldCharType="separate"/>
      </w:r>
      <w:r>
        <w:rPr>
          <w:rFonts w:ascii="仿宋_GB2312" w:hAnsi="Times New Roman" w:cs="Times New Roman"/>
          <w:b/>
          <w:kern w:val="2"/>
          <w:sz w:val="32"/>
          <w:szCs w:val="32"/>
        </w:rPr>
        <w:t>绿色能源</w:t>
      </w:r>
      <w:r>
        <w:rPr>
          <w:rFonts w:ascii="仿宋_GB2312" w:hAnsi="Times New Roman" w:cs="Times New Roman"/>
          <w:b/>
          <w:kern w:val="2"/>
          <w:sz w:val="32"/>
          <w:szCs w:val="32"/>
        </w:rPr>
        <w:fldChar w:fldCharType="end"/>
      </w:r>
      <w:r>
        <w:rPr>
          <w:rFonts w:ascii="仿宋_GB2312" w:hAnsi="Times New Roman" w:cs="Times New Roman"/>
          <w:b/>
          <w:kern w:val="2"/>
          <w:sz w:val="32"/>
          <w:szCs w:val="32"/>
        </w:rPr>
        <w:t>配送体系</w:t>
      </w:r>
      <w:r>
        <w:rPr>
          <w:rFonts w:hint="eastAsia" w:ascii="仿宋_GB2312" w:hAnsi="Times New Roman" w:cs="Times New Roman"/>
          <w:kern w:val="2"/>
          <w:sz w:val="32"/>
          <w:szCs w:val="32"/>
        </w:rPr>
        <w:t>，</w:t>
      </w:r>
      <w:r>
        <w:rPr>
          <w:rFonts w:ascii="仿宋_GB2312" w:hAnsi="Times New Roman" w:cs="Times New Roman"/>
          <w:kern w:val="2"/>
          <w:sz w:val="32"/>
          <w:szCs w:val="32"/>
        </w:rPr>
        <w:t>严厉打击非法生产、销售劣质煤的行为，集中清理、整顿和取缔不达标散煤供应渠道。</w:t>
      </w:r>
    </w:p>
    <w:p>
      <w:pPr>
        <w:pStyle w:val="3"/>
        <w:spacing w:before="219" w:after="219"/>
        <w:rPr>
          <w:rFonts w:hint="eastAsia"/>
        </w:rPr>
      </w:pPr>
      <w:bookmarkStart w:id="4" w:name="_Toc27132"/>
      <w:r>
        <w:rPr>
          <w:rFonts w:hint="eastAsia"/>
        </w:rPr>
        <w:t>（二）坚持植树造林，建设绿色空间</w:t>
      </w:r>
      <w:bookmarkEnd w:id="4"/>
    </w:p>
    <w:p>
      <w:pPr>
        <w:ind w:firstLine="643"/>
        <w:rPr>
          <w:rFonts w:hint="eastAsia"/>
        </w:rPr>
      </w:pPr>
      <w:r>
        <w:rPr>
          <w:rFonts w:hint="eastAsia" w:hAnsi="仿宋_GB2312" w:cs="仿宋_GB2312"/>
          <w:b/>
        </w:rPr>
        <w:t>建设绿色生态系统,</w:t>
      </w:r>
      <w:r>
        <w:rPr>
          <w:rFonts w:hint="eastAsia" w:hAnsi="仿宋_GB2312" w:cs="仿宋_GB2312"/>
          <w:bCs/>
        </w:rPr>
        <w:t>继续实施平原生态林建设工程，推进湿地系统恢复与建设，加强重要交通干线、河道绿化，加快防护林更新改造，全面提升新区</w:t>
      </w:r>
      <w:r>
        <w:rPr>
          <w:rFonts w:hint="eastAsia"/>
        </w:rPr>
        <w:t>园林绿化生态保障能力和水平。</w:t>
      </w:r>
      <w:r>
        <w:rPr>
          <w:rFonts w:hint="eastAsia"/>
          <w:b/>
          <w:bCs/>
        </w:rPr>
        <w:t>建设绿色生态空间，</w:t>
      </w:r>
      <w:r>
        <w:rPr>
          <w:rFonts w:hint="eastAsia"/>
        </w:rPr>
        <w:t>实施绿化隔离地区遗留地块、拆迁腾退地块的绿化工程，构建重点新市镇镇域绿地体系，建设服务居民健身休闲和绿色出行的城乡“健康绿道”。</w:t>
      </w:r>
      <w:r>
        <w:rPr>
          <w:rFonts w:hint="eastAsia"/>
          <w:b/>
          <w:bCs/>
        </w:rPr>
        <w:t>建设绿色生态公园，</w:t>
      </w:r>
      <w:r>
        <w:rPr>
          <w:rFonts w:hint="eastAsia"/>
        </w:rPr>
        <w:t>推进开敞型郊野公园建设，继续实施南海子公园二期，积极推进永定河森林公园（大兴段）、南中轴森林公园建设，改造提升半壁店森林公园、孙村组团等沿线重要节点园林景观。</w:t>
      </w:r>
      <w:r>
        <w:rPr>
          <w:rFonts w:hint="eastAsia"/>
          <w:b/>
          <w:bCs/>
        </w:rPr>
        <w:t>建设绿色生态新城，</w:t>
      </w:r>
      <w:r>
        <w:rPr>
          <w:rFonts w:hint="eastAsia"/>
        </w:rPr>
        <w:t>围绕大兴新城、亦庄新城和临空经济区，着力提升城市道路、公园绿地景观，积极挖潜增绿，实施建筑体绿化,打造空间立体绿廊，实现“林在城中，城在绿中”的优美生态环境。</w:t>
      </w:r>
      <w:r>
        <w:rPr>
          <w:rFonts w:hint="eastAsia"/>
          <w:b/>
          <w:bCs/>
        </w:rPr>
        <w:t>加强绿色资源管控，</w:t>
      </w:r>
      <w:r>
        <w:rPr>
          <w:rFonts w:hint="eastAsia"/>
        </w:rPr>
        <w:t>健全绿隔地区腾退空间绿化美化政策机制，加强城镇绿地、平原生态林、防护林养护管理，对林地、绿地实施数据库动态管理，严厉打击毁林侵绿等违法行为。</w:t>
      </w:r>
    </w:p>
    <w:p>
      <w:pPr>
        <w:pStyle w:val="3"/>
        <w:spacing w:before="219" w:after="219"/>
        <w:rPr>
          <w:rFonts w:hint="eastAsia"/>
        </w:rPr>
      </w:pPr>
      <w:bookmarkStart w:id="5" w:name="_Toc17253"/>
      <w:r>
        <w:rPr>
          <w:rFonts w:hint="eastAsia"/>
        </w:rPr>
        <w:t>（三）加大治理力度，打造净水环境</w:t>
      </w:r>
      <w:bookmarkEnd w:id="5"/>
    </w:p>
    <w:p>
      <w:pPr>
        <w:spacing w:before="219" w:beforeLines="50"/>
        <w:ind w:firstLine="630" w:firstLineChars="196"/>
        <w:rPr>
          <w:rFonts w:hint="eastAsia"/>
        </w:rPr>
      </w:pPr>
      <w:r>
        <w:rPr>
          <w:rFonts w:hint="eastAsia"/>
          <w:b/>
        </w:rPr>
        <w:t>实施河道治理工程</w:t>
      </w:r>
      <w:r>
        <w:rPr>
          <w:rFonts w:hint="eastAsia"/>
        </w:rPr>
        <w:t>，对南苑灌渠、新凤河、凉凤灌渠、中堡二干、姜凤支流等进行清淤、截污和生态护坡治理，对新城范围内小龙河上游、大龙河上游采用岸带修复、生态净化等生态修复技术,实施黑臭水体治理工程。</w:t>
      </w:r>
      <w:r>
        <w:rPr>
          <w:rFonts w:hint="eastAsia"/>
          <w:b/>
        </w:rPr>
        <w:t>建设防洪减灾体系</w:t>
      </w:r>
      <w:r>
        <w:rPr>
          <w:rFonts w:hint="eastAsia"/>
        </w:rPr>
        <w:t>，疏挖治理</w:t>
      </w:r>
      <w:r>
        <w:t>凉凤灌渠</w:t>
      </w:r>
      <w:r>
        <w:rPr>
          <w:rFonts w:hint="eastAsia"/>
        </w:rPr>
        <w:t>、旱河、岔河，实施雨洪利用工程，提高对环境变化和自然灾害等的弹性应对能力。</w:t>
      </w:r>
      <w:r>
        <w:rPr>
          <w:rFonts w:hint="eastAsia"/>
          <w:b/>
        </w:rPr>
        <w:t>控制农业用水</w:t>
      </w:r>
      <w:r>
        <w:rPr>
          <w:rFonts w:hint="eastAsia"/>
        </w:rPr>
        <w:t>，按照市级政策逐步新建、改善农业高效节水灌溉设施，实现装表计量全覆盖，逐步压减地下水开采，充分利用雨水、再生水等非常规水资源用于园林绿地及河道等生态环境建设。</w:t>
      </w:r>
      <w:r>
        <w:rPr>
          <w:rFonts w:hint="eastAsia"/>
          <w:b/>
        </w:rPr>
        <w:t>增强污水处理和再生水利用能力</w:t>
      </w:r>
      <w:r>
        <w:rPr>
          <w:rFonts w:hint="eastAsia"/>
        </w:rPr>
        <w:t>，扩建亦庄开发区再生水厂，新建新航城再生水厂，新建和升级改造镇级再生水厂，新建村污水收集储存或处理设施，建设黄村污泥处理厂，完善改造污水收集区域管网系统，配合市级开展小红门再生水调水工程及北运河水资源利用工程</w:t>
      </w:r>
      <w:r>
        <w:rPr>
          <w:rFonts w:hint="eastAsia"/>
          <w:color w:val="000000"/>
        </w:rPr>
        <w:t>。</w:t>
      </w:r>
      <w:r>
        <w:rPr>
          <w:rFonts w:hint="eastAsia"/>
          <w:b/>
          <w:color w:val="000000"/>
        </w:rPr>
        <w:t>打造优美水环境</w:t>
      </w:r>
      <w:r>
        <w:rPr>
          <w:rFonts w:hint="eastAsia"/>
          <w:color w:val="000000"/>
        </w:rPr>
        <w:t>，建设凉水河、新凤河、永兴河、小龙河滨水景观带，</w:t>
      </w:r>
      <w:r>
        <w:rPr>
          <w:rFonts w:hint="eastAsia"/>
        </w:rPr>
        <w:t>建设团河行宫、长子营湿地和永兴河蓄滞洪区等重点水域形成的湿地和公园，建设以湿地公园、运动休闲主题公园、田园主题风光农业园及生态休闲空间为重点的永定河绿色生态走廊。</w:t>
      </w:r>
      <w:r>
        <w:rPr>
          <w:rFonts w:hint="eastAsia"/>
          <w:b/>
        </w:rPr>
        <w:t>加强水环境监测</w:t>
      </w:r>
      <w:r>
        <w:rPr>
          <w:rFonts w:hint="eastAsia"/>
        </w:rPr>
        <w:t>，强化饮用水水源环境保护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</w:rPr>
        <w:t>增强突发性水污染事件的应急处置能力。</w:t>
      </w:r>
    </w:p>
    <w:bookmarkEnd w:id="1"/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32F15"/>
    <w:rsid w:val="7853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2021-12-20T03:05:00Z</dcterms:created>
  <dc:creator>อยู่ชายเล็ก</dc:creator>
  <cp:lastModifiedBy>อยู่ชายเล็ก</cp:lastModifiedBy>
  <dcterms:modified xsi:type="dcterms:W3CDTF">2021-12-20T03:05:47Z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8D641228595D4F099C81B59F65D4257A</vt:lpwstr>
  </property>
</Properties>
</file>